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DFA" w:rsidRDefault="00117DFA">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rsidR="00117DFA" w:rsidRDefault="00117DFA">
      <w:pPr>
        <w:pStyle w:val="newncpi"/>
        <w:ind w:firstLine="0"/>
        <w:jc w:val="center"/>
      </w:pPr>
      <w:r>
        <w:rPr>
          <w:rStyle w:val="datepr"/>
        </w:rPr>
        <w:t>20 июня 2014 г.</w:t>
      </w:r>
      <w:r>
        <w:rPr>
          <w:rStyle w:val="number"/>
        </w:rPr>
        <w:t xml:space="preserve"> № 38</w:t>
      </w:r>
    </w:p>
    <w:p w:rsidR="00117DFA" w:rsidRDefault="00117DFA">
      <w:pPr>
        <w:pStyle w:val="titlencpi"/>
      </w:pPr>
      <w:r>
        <w:t>О нормативах безопасного функционирования для страховых организаций</w:t>
      </w:r>
    </w:p>
    <w:p w:rsidR="00117DFA" w:rsidRDefault="00117DFA">
      <w:pPr>
        <w:pStyle w:val="changei"/>
      </w:pPr>
      <w:r>
        <w:t>Изменения и дополнения:</w:t>
      </w:r>
    </w:p>
    <w:p w:rsidR="00117DFA" w:rsidRDefault="00117DFA">
      <w:pPr>
        <w:pStyle w:val="changeadd"/>
      </w:pPr>
      <w:r>
        <w:t>Постановление Министерства финансов Республики Беларусь от 24 мая 2016 г. № 34 (зарегистрировано в Национальном реестре - № 8/31017 от 20.06.2016 г.) &lt;W21631017&gt;;</w:t>
      </w:r>
    </w:p>
    <w:p w:rsidR="00117DFA" w:rsidRDefault="00117DFA">
      <w:pPr>
        <w:pStyle w:val="changeadd"/>
      </w:pPr>
      <w:r>
        <w:t>Постановление Министерства финансов Республики Беларусь от 28 апреля 2018 г. № 26 (зарегистрировано в Национальном реестре - № 8/33100 от 15.05.2018 г.) &lt;W21833100&gt;;</w:t>
      </w:r>
    </w:p>
    <w:p w:rsidR="00117DFA" w:rsidRDefault="00117DFA">
      <w:pPr>
        <w:pStyle w:val="changeadd"/>
      </w:pPr>
      <w:r>
        <w:t>Постановление Министерства финансов Республики Беларусь от 19 декабря 2019 г. № 77 (зарегистрировано в Национальном реестре - № 8/35020 от 21.01.2020 г.) &lt;W22035020&gt;</w:t>
      </w:r>
    </w:p>
    <w:p w:rsidR="00117DFA" w:rsidRDefault="00117DFA">
      <w:pPr>
        <w:pStyle w:val="newncpi"/>
      </w:pPr>
      <w:r>
        <w:t> </w:t>
      </w:r>
    </w:p>
    <w:p w:rsidR="00117DFA" w:rsidRDefault="00117DFA">
      <w:pPr>
        <w:pStyle w:val="newncpi"/>
      </w:pPr>
      <w:r>
        <w:t>На основании абзаца девятого пункта 13 Положения о страховой деятельности в Республике Беларусь, утвержденного Указом Президента Республики Беларусь от 25 августа 2006 г. № 530, и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117DFA" w:rsidRDefault="00117DFA">
      <w:pPr>
        <w:pStyle w:val="point"/>
      </w:pPr>
      <w:r>
        <w:t>1. Установить нормативы безопасного функционирования для страховых организаций согласно приложению.</w:t>
      </w:r>
    </w:p>
    <w:p w:rsidR="00117DFA" w:rsidRDefault="00117DFA">
      <w:pPr>
        <w:pStyle w:val="point"/>
      </w:pPr>
      <w:r>
        <w:t>2. Утвердить Инструкцию о порядке расчета, применения и оценки выполнения нормативов безопасного функционирования для страховых организаций (прилагается).</w:t>
      </w:r>
    </w:p>
    <w:p w:rsidR="00117DFA" w:rsidRDefault="00117DFA">
      <w:pPr>
        <w:pStyle w:val="point"/>
      </w:pPr>
      <w:r>
        <w:t>3. Настоящее постановление вступает в силу после его официального опубликования.</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117DFA">
        <w:tc>
          <w:tcPr>
            <w:tcW w:w="2500" w:type="pct"/>
            <w:tcMar>
              <w:top w:w="0" w:type="dxa"/>
              <w:left w:w="6" w:type="dxa"/>
              <w:bottom w:w="0" w:type="dxa"/>
              <w:right w:w="6" w:type="dxa"/>
            </w:tcMar>
            <w:vAlign w:val="bottom"/>
            <w:hideMark/>
          </w:tcPr>
          <w:p w:rsidR="00117DFA" w:rsidRDefault="00117DFA">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117DFA" w:rsidRDefault="00117DFA">
            <w:pPr>
              <w:pStyle w:val="newncpi0"/>
              <w:jc w:val="right"/>
            </w:pPr>
            <w:r>
              <w:rPr>
                <w:rStyle w:val="pers"/>
              </w:rPr>
              <w:t>В.В.Амарин</w:t>
            </w:r>
          </w:p>
        </w:tc>
      </w:tr>
    </w:tbl>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6938"/>
        <w:gridCol w:w="2448"/>
      </w:tblGrid>
      <w:tr w:rsidR="00117DFA">
        <w:tc>
          <w:tcPr>
            <w:tcW w:w="3696" w:type="pct"/>
            <w:tcMar>
              <w:top w:w="0" w:type="dxa"/>
              <w:left w:w="6" w:type="dxa"/>
              <w:bottom w:w="0" w:type="dxa"/>
              <w:right w:w="6" w:type="dxa"/>
            </w:tcMar>
            <w:hideMark/>
          </w:tcPr>
          <w:p w:rsidR="00117DFA" w:rsidRDefault="00117DFA">
            <w:pPr>
              <w:pStyle w:val="newncpi"/>
              <w:ind w:firstLine="0"/>
            </w:pPr>
            <w:r>
              <w:t> </w:t>
            </w:r>
          </w:p>
        </w:tc>
        <w:tc>
          <w:tcPr>
            <w:tcW w:w="1304" w:type="pct"/>
            <w:tcMar>
              <w:top w:w="0" w:type="dxa"/>
              <w:left w:w="6" w:type="dxa"/>
              <w:bottom w:w="0" w:type="dxa"/>
              <w:right w:w="6" w:type="dxa"/>
            </w:tcMar>
            <w:hideMark/>
          </w:tcPr>
          <w:p w:rsidR="00117DFA" w:rsidRDefault="00117DFA">
            <w:pPr>
              <w:pStyle w:val="append1"/>
            </w:pPr>
            <w:r>
              <w:t>Приложение</w:t>
            </w:r>
          </w:p>
          <w:p w:rsidR="00117DFA" w:rsidRDefault="00117DFA">
            <w:pPr>
              <w:pStyle w:val="append"/>
            </w:pPr>
            <w:r>
              <w:t xml:space="preserve">к постановлению </w:t>
            </w:r>
            <w:r>
              <w:br/>
              <w:t xml:space="preserve">Министерства финансов </w:t>
            </w:r>
            <w:r>
              <w:br/>
              <w:t>Республики Беларусь</w:t>
            </w:r>
          </w:p>
          <w:p w:rsidR="00117DFA" w:rsidRDefault="00117DFA">
            <w:pPr>
              <w:pStyle w:val="append"/>
            </w:pPr>
            <w:r>
              <w:t>20.06.2014 № 38</w:t>
            </w:r>
          </w:p>
        </w:tc>
      </w:tr>
    </w:tbl>
    <w:p w:rsidR="00117DFA" w:rsidRDefault="00117DFA">
      <w:pPr>
        <w:pStyle w:val="titlep"/>
      </w:pPr>
      <w:r>
        <w:t>Нормативы безопасного функционирования для страховых организаций</w:t>
      </w:r>
    </w:p>
    <w:p w:rsidR="00117DFA" w:rsidRDefault="00117DFA">
      <w:pPr>
        <w:pStyle w:val="point"/>
      </w:pPr>
      <w:r>
        <w:t>1. Для страховых организаций, осуществляющих виды страхования иные, чем страхование жизни, и страховых организаций, осуществляющих страховую деятельность исключительно по перестрахованию:</w:t>
      </w:r>
    </w:p>
    <w:p w:rsidR="00117DFA" w:rsidRDefault="00117DFA">
      <w:pPr>
        <w:pStyle w:val="underpoint"/>
      </w:pPr>
      <w:r>
        <w:t>1.1. норматив, характеризующий убыточность страховой деятельности;</w:t>
      </w:r>
    </w:p>
    <w:p w:rsidR="00117DFA" w:rsidRDefault="00117DFA">
      <w:pPr>
        <w:pStyle w:val="underpoint"/>
      </w:pPr>
      <w:r>
        <w:t>1.2. исключен;</w:t>
      </w:r>
    </w:p>
    <w:p w:rsidR="00117DFA" w:rsidRDefault="00117DFA">
      <w:pPr>
        <w:pStyle w:val="underpoint"/>
      </w:pPr>
      <w:r>
        <w:t>1.3. норматив достаточности резервов убытков;</w:t>
      </w:r>
    </w:p>
    <w:p w:rsidR="00117DFA" w:rsidRDefault="00117DFA">
      <w:pPr>
        <w:pStyle w:val="underpoint"/>
      </w:pPr>
      <w:r>
        <w:t>1.4. норматив достаточности собственного капитала;</w:t>
      </w:r>
    </w:p>
    <w:p w:rsidR="00117DFA" w:rsidRDefault="00117DFA">
      <w:pPr>
        <w:pStyle w:val="underpoint"/>
      </w:pPr>
      <w:r>
        <w:t>1.5. норматив текущей ликвидности;</w:t>
      </w:r>
    </w:p>
    <w:p w:rsidR="00117DFA" w:rsidRDefault="00117DFA">
      <w:pPr>
        <w:pStyle w:val="underpoint"/>
      </w:pPr>
      <w:r>
        <w:t>1.6. норматив, характеризующий эффективность финансово-хозяйственной деятельности.</w:t>
      </w:r>
    </w:p>
    <w:p w:rsidR="00117DFA" w:rsidRDefault="00117DFA">
      <w:pPr>
        <w:pStyle w:val="point"/>
      </w:pPr>
      <w:r>
        <w:t>2. Для страховых организаций, осуществляющих виды страхования, относящиеся к страхованию жизни:</w:t>
      </w:r>
    </w:p>
    <w:p w:rsidR="00117DFA" w:rsidRDefault="00117DFA">
      <w:pPr>
        <w:pStyle w:val="underpoint"/>
      </w:pPr>
      <w:r>
        <w:t>2.1. норматив достаточности собственного капитала;</w:t>
      </w:r>
    </w:p>
    <w:p w:rsidR="00117DFA" w:rsidRDefault="00117DFA">
      <w:pPr>
        <w:pStyle w:val="underpoint"/>
      </w:pPr>
      <w:r>
        <w:lastRenderedPageBreak/>
        <w:t>2.2. норматив покрытия страховых резервов;</w:t>
      </w:r>
    </w:p>
    <w:p w:rsidR="00117DFA" w:rsidRDefault="00117DFA">
      <w:pPr>
        <w:pStyle w:val="underpoint"/>
      </w:pPr>
      <w:r>
        <w:t>2.3. норматив, характеризующий эффективность финансово-хозяйственной деятельности.</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6533"/>
        <w:gridCol w:w="2853"/>
      </w:tblGrid>
      <w:tr w:rsidR="00117DFA">
        <w:tc>
          <w:tcPr>
            <w:tcW w:w="3480" w:type="pct"/>
            <w:tcMar>
              <w:top w:w="0" w:type="dxa"/>
              <w:left w:w="6" w:type="dxa"/>
              <w:bottom w:w="0" w:type="dxa"/>
              <w:right w:w="6" w:type="dxa"/>
            </w:tcMar>
            <w:hideMark/>
          </w:tcPr>
          <w:p w:rsidR="00117DFA" w:rsidRDefault="00117DFA">
            <w:pPr>
              <w:pStyle w:val="cap1"/>
            </w:pPr>
            <w:r>
              <w:t> </w:t>
            </w:r>
          </w:p>
        </w:tc>
        <w:tc>
          <w:tcPr>
            <w:tcW w:w="1520" w:type="pct"/>
            <w:tcMar>
              <w:top w:w="0" w:type="dxa"/>
              <w:left w:w="6" w:type="dxa"/>
              <w:bottom w:w="0" w:type="dxa"/>
              <w:right w:w="6" w:type="dxa"/>
            </w:tcMar>
            <w:hideMark/>
          </w:tcPr>
          <w:p w:rsidR="00117DFA" w:rsidRDefault="00117DFA">
            <w:pPr>
              <w:pStyle w:val="capu1"/>
            </w:pPr>
            <w:r>
              <w:t>УТВЕРЖДЕНО</w:t>
            </w:r>
          </w:p>
          <w:p w:rsidR="00117DFA" w:rsidRDefault="00117DFA">
            <w:pPr>
              <w:pStyle w:val="cap1"/>
            </w:pPr>
            <w:r>
              <w:t>Постановление</w:t>
            </w:r>
            <w:r>
              <w:br/>
              <w:t>Министерства финансов</w:t>
            </w:r>
            <w:r>
              <w:br/>
              <w:t>Республики Беларусь</w:t>
            </w:r>
            <w:r>
              <w:br/>
              <w:t>20.06.2014 № 38</w:t>
            </w:r>
            <w:r>
              <w:br/>
              <w:t>(в редакции постановления</w:t>
            </w:r>
            <w:r>
              <w:br/>
              <w:t>Министерства финансов</w:t>
            </w:r>
            <w:r>
              <w:br/>
              <w:t>Республики Беларусь</w:t>
            </w:r>
            <w:r>
              <w:br/>
              <w:t>19.12.2019 № 77)</w:t>
            </w:r>
          </w:p>
        </w:tc>
      </w:tr>
    </w:tbl>
    <w:p w:rsidR="00117DFA" w:rsidRDefault="00117DFA">
      <w:pPr>
        <w:pStyle w:val="titleu"/>
      </w:pPr>
      <w:r>
        <w:t>ИНСТРУКЦИЯ</w:t>
      </w:r>
      <w:r>
        <w:br/>
        <w:t>о порядке расчета, применения и оценки выполнения нормативов безопасного функционирования для страховых организаций</w:t>
      </w:r>
    </w:p>
    <w:p w:rsidR="00117DFA" w:rsidRDefault="00117DFA">
      <w:pPr>
        <w:pStyle w:val="chapter"/>
      </w:pPr>
      <w:r>
        <w:t>ГЛАВА 1</w:t>
      </w:r>
      <w:r>
        <w:br/>
        <w:t>ОБЩИЕ ПОЛОЖЕНИЯ</w:t>
      </w:r>
    </w:p>
    <w:p w:rsidR="00117DFA" w:rsidRDefault="00117DFA">
      <w:pPr>
        <w:pStyle w:val="point"/>
      </w:pPr>
      <w:r>
        <w:t>1. Настоящая Инструкция определяет порядок расчета, применения и оценки выполнения нормативов безопасного функционирования для страховых организаций.</w:t>
      </w:r>
    </w:p>
    <w:p w:rsidR="00117DFA" w:rsidRDefault="00117DFA">
      <w:pPr>
        <w:pStyle w:val="point"/>
      </w:pPr>
      <w:r>
        <w:t>2. Нормативы безопасного функционирования для страховых организаций рассчитываются ежеквартально на отчетную дату при составлении бухгалтерской отчетности.</w:t>
      </w:r>
    </w:p>
    <w:p w:rsidR="00117DFA" w:rsidRDefault="00117DFA">
      <w:pPr>
        <w:pStyle w:val="newncpi"/>
      </w:pPr>
      <w:r>
        <w:t>Расчет нормативов безопасного функционирования производится на основании данных учета и форм бухгалтерской отчетности страховой организации, составленных в соответствии с постановлением Министерства финансов Республики Беларусь от 11 января 2010 г. № 2 «О ведении бухгалтерского учета, составлении и представлении бухгалтерской отчетности страховыми организациями».</w:t>
      </w:r>
    </w:p>
    <w:p w:rsidR="00117DFA" w:rsidRDefault="00117DFA">
      <w:pPr>
        <w:pStyle w:val="newncpi"/>
      </w:pPr>
      <w:r>
        <w:t>Значения нормативов безопасного функционирования округляются с точностью до двух знаков после запятой.</w:t>
      </w:r>
    </w:p>
    <w:p w:rsidR="00117DFA" w:rsidRDefault="00117DFA">
      <w:pPr>
        <w:pStyle w:val="chapter"/>
      </w:pPr>
      <w:r>
        <w:t>ГЛАВА 2</w:t>
      </w:r>
      <w:r>
        <w:br/>
        <w:t>НОРМАТИВ, ХАРАКТЕРИЗУЮЩИЙ УБЫТОЧНОСТЬ СТРАХОВОЙ ДЕЯТЕЛЬНОСТИ</w:t>
      </w:r>
    </w:p>
    <w:p w:rsidR="00117DFA" w:rsidRDefault="00117DFA">
      <w:pPr>
        <w:pStyle w:val="point"/>
      </w:pPr>
      <w:r>
        <w:t>3. Норматив, характеризующий убыточность страховой деятельности, отражает общую эффективность страховой деятельности и финансовое положение страховой организации.</w:t>
      </w:r>
    </w:p>
    <w:p w:rsidR="00117DFA" w:rsidRDefault="00117DFA">
      <w:pPr>
        <w:pStyle w:val="newncpi"/>
      </w:pPr>
      <w:r>
        <w:t>Расчет норматива, характеризующего убыточность страховой деятельности, производится без учета доходов и расходов 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обязательному государственному страхованию.</w:t>
      </w:r>
    </w:p>
    <w:p w:rsidR="00117DFA" w:rsidRDefault="00117DFA">
      <w:pPr>
        <w:pStyle w:val="point"/>
      </w:pPr>
      <w:r>
        <w:t>4. Норматив, характеризующий убыточность страховой деятельности, рассчитывается как сумма коэффициента затрат (расходов) и коэффициента убыточности и характеризует уровень расходов страховой организации и уровень страховых выплат в заработанной премии.</w:t>
      </w:r>
    </w:p>
    <w:p w:rsidR="00117DFA" w:rsidRDefault="00117DFA">
      <w:pPr>
        <w:pStyle w:val="newncpi"/>
      </w:pPr>
      <w:r>
        <w:lastRenderedPageBreak/>
        <w:t>Расчет норматива, характеризующего убыточность страховой деятельности, производится как с учетом, так и без учета доли перестраховщика в целом по страховому портфелю страховой организации, по каждому виду страхования.</w:t>
      </w:r>
    </w:p>
    <w:p w:rsidR="00117DFA" w:rsidRDefault="00117DFA">
      <w:pPr>
        <w:pStyle w:val="newncpi"/>
      </w:pPr>
      <w:r>
        <w:t>Норматив, характеризующий убыточность страховой деятельности, с учетом доли перестраховщика (К</w:t>
      </w:r>
      <w:r>
        <w:rPr>
          <w:vertAlign w:val="subscript"/>
        </w:rPr>
        <w:t>комб1</w:t>
      </w:r>
      <w:r>
        <w:t>) рассчитывается как сумма коэффициента затрат (расходов) с учетом доли перестраховщика (К</w:t>
      </w:r>
      <w:r>
        <w:rPr>
          <w:vertAlign w:val="subscript"/>
        </w:rPr>
        <w:t>затр1</w:t>
      </w:r>
      <w:r>
        <w:t>) и коэффициента убыточности с учетом доли перестраховщика (К</w:t>
      </w:r>
      <w:r>
        <w:rPr>
          <w:vertAlign w:val="subscript"/>
        </w:rPr>
        <w:t>у1</w:t>
      </w:r>
      <w:r>
        <w:t>) по следующей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t>К</w:t>
            </w:r>
            <w:r>
              <w:rPr>
                <w:vertAlign w:val="subscript"/>
              </w:rPr>
              <w:t>комб1</w:t>
            </w:r>
            <w:r>
              <w:t xml:space="preserve"> = К</w:t>
            </w:r>
            <w:r>
              <w:rPr>
                <w:vertAlign w:val="subscript"/>
              </w:rPr>
              <w:t>затр1</w:t>
            </w:r>
            <w:r>
              <w:t xml:space="preserve"> + К</w:t>
            </w:r>
            <w:r>
              <w:rPr>
                <w:vertAlign w:val="subscript"/>
              </w:rPr>
              <w:t>у1</w:t>
            </w:r>
            <w:r>
              <w:t>.</w:t>
            </w:r>
          </w:p>
        </w:tc>
        <w:tc>
          <w:tcPr>
            <w:tcW w:w="310" w:type="pct"/>
            <w:tcMar>
              <w:top w:w="0" w:type="dxa"/>
              <w:left w:w="6" w:type="dxa"/>
              <w:bottom w:w="0" w:type="dxa"/>
              <w:right w:w="6" w:type="dxa"/>
            </w:tcMar>
            <w:hideMark/>
          </w:tcPr>
          <w:p w:rsidR="00117DFA" w:rsidRDefault="00117DFA">
            <w:pPr>
              <w:pStyle w:val="newncpi0"/>
              <w:jc w:val="right"/>
            </w:pPr>
            <w:r>
              <w:t>(1)</w:t>
            </w:r>
          </w:p>
        </w:tc>
      </w:tr>
    </w:tbl>
    <w:p w:rsidR="00117DFA" w:rsidRDefault="00117DFA">
      <w:pPr>
        <w:pStyle w:val="newncpi"/>
      </w:pPr>
      <w:r>
        <w:t> </w:t>
      </w:r>
    </w:p>
    <w:p w:rsidR="00117DFA" w:rsidRDefault="00117DFA">
      <w:pPr>
        <w:pStyle w:val="newncpi"/>
      </w:pPr>
      <w:r>
        <w:t>Норматив, характеризующий убыточность страховой деятельности, без учета доли перестраховщика (К</w:t>
      </w:r>
      <w:r>
        <w:rPr>
          <w:vertAlign w:val="subscript"/>
        </w:rPr>
        <w:t>комб2</w:t>
      </w:r>
      <w:r>
        <w:t>) рассчитывается как сумма коэффициента затрат (расходов) без учета доли перестраховщика (К</w:t>
      </w:r>
      <w:r>
        <w:rPr>
          <w:vertAlign w:val="subscript"/>
        </w:rPr>
        <w:t>затр2</w:t>
      </w:r>
      <w:r>
        <w:t>) и коэффициента убыточности без учета доли перестраховщика (К</w:t>
      </w:r>
      <w:r>
        <w:rPr>
          <w:vertAlign w:val="subscript"/>
        </w:rPr>
        <w:t>у2</w:t>
      </w:r>
      <w:r>
        <w:t>) по следующей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t>К</w:t>
            </w:r>
            <w:r>
              <w:rPr>
                <w:vertAlign w:val="subscript"/>
              </w:rPr>
              <w:t xml:space="preserve">комб2 </w:t>
            </w:r>
            <w:r>
              <w:t>= К</w:t>
            </w:r>
            <w:r>
              <w:rPr>
                <w:vertAlign w:val="subscript"/>
              </w:rPr>
              <w:t xml:space="preserve">затр2 </w:t>
            </w:r>
            <w:r>
              <w:t>+ К</w:t>
            </w:r>
            <w:r>
              <w:rPr>
                <w:vertAlign w:val="subscript"/>
              </w:rPr>
              <w:t>у2</w:t>
            </w:r>
            <w:r>
              <w:t>.</w:t>
            </w:r>
          </w:p>
        </w:tc>
        <w:tc>
          <w:tcPr>
            <w:tcW w:w="310" w:type="pct"/>
            <w:tcMar>
              <w:top w:w="0" w:type="dxa"/>
              <w:left w:w="6" w:type="dxa"/>
              <w:bottom w:w="0" w:type="dxa"/>
              <w:right w:w="6" w:type="dxa"/>
            </w:tcMar>
            <w:hideMark/>
          </w:tcPr>
          <w:p w:rsidR="00117DFA" w:rsidRDefault="00117DFA">
            <w:pPr>
              <w:pStyle w:val="newncpi0"/>
              <w:jc w:val="right"/>
            </w:pPr>
            <w:r>
              <w:t>(2)</w:t>
            </w:r>
          </w:p>
        </w:tc>
      </w:tr>
    </w:tbl>
    <w:p w:rsidR="00117DFA" w:rsidRDefault="00117DFA">
      <w:pPr>
        <w:pStyle w:val="newncpi"/>
      </w:pPr>
      <w:r>
        <w:t> </w:t>
      </w:r>
    </w:p>
    <w:p w:rsidR="00117DFA" w:rsidRDefault="00117DFA">
      <w:pPr>
        <w:pStyle w:val="newncpi"/>
      </w:pPr>
      <w:r>
        <w:t>Максимально допустимое значение норматива, характеризующего убыточность страховой деятельности, как с учетом, так и без учета доли перестраховщика устанавливается в размере 1,0.</w:t>
      </w:r>
    </w:p>
    <w:p w:rsidR="00117DFA" w:rsidRDefault="00117DFA">
      <w:pPr>
        <w:pStyle w:val="point"/>
      </w:pPr>
      <w:r>
        <w:t>5. Коэффициент затрат (расходов) характеризует уровень расходов (расходы на ведение дела и отчисления в фонды предупредительных (превентивных) мероприятий, гарантийные фонды и иные фонды, образованные в соответствии с законодательством) страховой организации, связанных с осуществлением страховой деятельности (за исключением страховых выплат), в заработанной премии.</w:t>
      </w:r>
    </w:p>
    <w:p w:rsidR="00117DFA" w:rsidRDefault="00117DFA">
      <w:pPr>
        <w:pStyle w:val="newncpi"/>
      </w:pPr>
      <w:r>
        <w:t>Коэффициент затрат (расходов) с учетом доли перестраховщика (К</w:t>
      </w:r>
      <w:r>
        <w:rPr>
          <w:vertAlign w:val="subscript"/>
        </w:rPr>
        <w:t>затр1</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4191585" cy="457264"/>
                  <wp:effectExtent l="0" t="0" r="0" b="0"/>
                  <wp:docPr id="1" name="Рисунок 1" descr="C:\NCPI_CLIENT\EKBD\Texts\w21428993.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1428993.files\08000001wmz.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91585" cy="457264"/>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(3)</w:t>
            </w:r>
          </w:p>
        </w:tc>
      </w:tr>
    </w:tbl>
    <w:p w:rsidR="00117DFA" w:rsidRDefault="00117DFA">
      <w:pPr>
        <w:pStyle w:val="newncpi"/>
      </w:pPr>
      <w:r>
        <w:t> </w:t>
      </w:r>
    </w:p>
    <w:p w:rsidR="00117DFA" w:rsidRDefault="00117DFA">
      <w:pPr>
        <w:pStyle w:val="newncpi0"/>
      </w:pPr>
      <w:r>
        <w:t>где    РВД – расходы на ведение дела (строка 150 отчета о прибылях и убытках*);</w:t>
      </w:r>
    </w:p>
    <w:p w:rsidR="00117DFA" w:rsidRDefault="00117DFA">
      <w:pPr>
        <w:pStyle w:val="newncpi"/>
      </w:pPr>
      <w:r>
        <w:t>КВ</w:t>
      </w:r>
      <w:r>
        <w:rPr>
          <w:vertAlign w:val="subscript"/>
        </w:rPr>
        <w:t>перестрахование</w:t>
      </w:r>
      <w:r>
        <w:t> – комиссионное вознаграждение и тантьемы по рискам, переданным в перестрахование (строка 155 отчета о прибылях и убытках);</w:t>
      </w:r>
    </w:p>
    <w:p w:rsidR="00117DFA" w:rsidRDefault="00117DFA">
      <w:pPr>
        <w:pStyle w:val="newncpi"/>
      </w:pPr>
      <w:r>
        <w:t>КВ</w:t>
      </w:r>
      <w:r>
        <w:rPr>
          <w:vertAlign w:val="subscript"/>
        </w:rPr>
        <w:t>прямое</w:t>
      </w:r>
      <w:r>
        <w:t> – сумма полученного (подлежащего получению) комиссионного вознаграждения при возврате страхового возмещения (соответствующей доли страхового возмещения) по обязательному страхованию гражданской ответственности владельцев транспортных средств страховой организацией (Белорусским бюро по транспортному страхованию) другой страховой организации (Белорусскому бюро по транспортному страхованию), полностью возместившей вред потерпевшему (из строки 160 отчета о прибылях и убытках);</w:t>
      </w:r>
    </w:p>
    <w:p w:rsidR="00117DFA" w:rsidRDefault="00117DFA">
      <w:pPr>
        <w:pStyle w:val="newncpi"/>
      </w:pPr>
      <w:r>
        <w:t>КВ</w:t>
      </w:r>
      <w:r>
        <w:rPr>
          <w:vertAlign w:val="subscript"/>
        </w:rPr>
        <w:t>сострахование</w:t>
      </w:r>
      <w:r>
        <w:t> – сумма полученного (подлежащего получению) комиссионного вознаграждения по договорам сострахования (из строки 160 отчета о прибылях и убытках);</w:t>
      </w:r>
    </w:p>
    <w:p w:rsidR="00117DFA" w:rsidRDefault="00117DFA">
      <w:pPr>
        <w:pStyle w:val="newncpi"/>
      </w:pPr>
      <w:r>
        <w:t>Ф – отчисления в фонды предупредительных (превентивных) мероприятий, гарантийные фонды и иные фонды, образованные в соответствии с законодательством (сумма строк 130 и 140 отчета о прибылях и убытках);</w:t>
      </w:r>
    </w:p>
    <w:p w:rsidR="00117DFA" w:rsidRDefault="00117DFA">
      <w:pPr>
        <w:pStyle w:val="newncpi"/>
      </w:pPr>
      <w:r>
        <w:t>П – сумма премии страховым агентам, осуществляющим от имени страховой организации посредническую деятельность по страхованию на основании гражданско-правового договора (из строки 165 отчета о прибылях и убытках);</w:t>
      </w:r>
    </w:p>
    <w:p w:rsidR="00117DFA" w:rsidRDefault="00117DFA">
      <w:pPr>
        <w:pStyle w:val="newncpi"/>
      </w:pPr>
      <w:r>
        <w:t>Свзн</w:t>
      </w:r>
      <w:r>
        <w:rPr>
          <w:vertAlign w:val="subscript"/>
        </w:rPr>
        <w:t>нетто</w:t>
      </w:r>
      <w:r>
        <w:t> – страховые взносы (страховые премии) с учетом перестрахования, нетто (строка 074 отчета о прибылях и убытках);</w:t>
      </w:r>
    </w:p>
    <w:p w:rsidR="00117DFA" w:rsidRDefault="00117DFA">
      <w:pPr>
        <w:pStyle w:val="newncpi"/>
      </w:pPr>
      <w:r>
        <w:rPr>
          <w:rStyle w:val="onesymbol"/>
        </w:rPr>
        <w:lastRenderedPageBreak/>
        <w:t></w:t>
      </w:r>
      <w:r>
        <w:t>РНП</w:t>
      </w:r>
      <w:r>
        <w:rPr>
          <w:vertAlign w:val="subscript"/>
        </w:rPr>
        <w:t>нетто </w:t>
      </w:r>
      <w:r>
        <w:t>– изменение резерва незаработанной премии с учетом перестрахования, нетто (строка 082 отчета о прибылях и убытках);</w:t>
      </w:r>
    </w:p>
    <w:p w:rsidR="00117DFA" w:rsidRDefault="00117DFA">
      <w:pPr>
        <w:pStyle w:val="newncpi"/>
      </w:pPr>
      <w:r>
        <w:t>Дз – 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w:t>
      </w:r>
    </w:p>
    <w:p w:rsidR="00117DFA" w:rsidRDefault="00117DFA">
      <w:pPr>
        <w:pStyle w:val="newncpi"/>
      </w:pPr>
      <w:r>
        <w:t>Кз – списанная непогашенная кредиторская задолженность перед перестраховщиком по договору перестрахования в случае признания договора перестрахования досрочно прекращенным либо расторгнутым, а также в случае признания перестрахованных договоров страхования досрочно прекращенными либо расторгнутыми, если заключение договора перестрахования и признание в составе расходов начисленных страховых взносов по рискам, переданным в перестрахование, по этим договорам производилось в предшествующем отчетном периоде (из строки 160 отчета о прибылях и убытках).</w:t>
      </w:r>
    </w:p>
    <w:p w:rsidR="00117DFA" w:rsidRDefault="00117DFA">
      <w:pPr>
        <w:pStyle w:val="newncpi"/>
      </w:pPr>
      <w:r>
        <w:t>Коэффициент затрат (расходов) без учета доли перестраховщика (К</w:t>
      </w:r>
      <w:r>
        <w:rPr>
          <w:vertAlign w:val="subscript"/>
        </w:rPr>
        <w:t>затр2</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3153215" cy="476316"/>
                  <wp:effectExtent l="0" t="0" r="9525" b="0"/>
                  <wp:docPr id="2" name="Рисунок 2" descr="C:\NCPI_CLIENT\EKBD\Texts\w21428993.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w21428993.files\08000002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153215" cy="476316"/>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(4)</w:t>
            </w:r>
          </w:p>
        </w:tc>
      </w:tr>
    </w:tbl>
    <w:p w:rsidR="00117DFA" w:rsidRDefault="00117DFA">
      <w:pPr>
        <w:pStyle w:val="newncpi"/>
      </w:pPr>
      <w:r>
        <w:t> </w:t>
      </w:r>
    </w:p>
    <w:p w:rsidR="00117DFA" w:rsidRDefault="00117DFA">
      <w:pPr>
        <w:pStyle w:val="newncpi0"/>
      </w:pPr>
      <w:r>
        <w:t>где    РВД – расходы на ведение дела (строка 150 отчета о прибылях и убытках);</w:t>
      </w:r>
    </w:p>
    <w:p w:rsidR="00117DFA" w:rsidRDefault="00117DFA">
      <w:pPr>
        <w:pStyle w:val="newncpi"/>
      </w:pPr>
      <w:r>
        <w:t>КВ</w:t>
      </w:r>
      <w:r>
        <w:rPr>
          <w:vertAlign w:val="subscript"/>
        </w:rPr>
        <w:t>прямое</w:t>
      </w:r>
      <w:r>
        <w:t> – сумма полученного (подлежащего получению) комиссионного вознаграждения при возврате страхового возмещения (соответствующей доли страхового возмещения) по обязательному страхованию гражданской ответственности владельцев транспортных средств страховой организацией (Белорусским бюро по транспортному страхованию) другой страховой организации (Белорусскому бюро по транспортному страхованию), полностью возместившей вред потерпевшему (из строки 160 отчета о прибылях и убытках);</w:t>
      </w:r>
    </w:p>
    <w:p w:rsidR="00117DFA" w:rsidRDefault="00117DFA">
      <w:pPr>
        <w:pStyle w:val="newncpi"/>
      </w:pPr>
      <w:r>
        <w:t>КВ</w:t>
      </w:r>
      <w:r>
        <w:rPr>
          <w:vertAlign w:val="subscript"/>
        </w:rPr>
        <w:t>сострахование</w:t>
      </w:r>
      <w:r>
        <w:t> – сумма полученного (подлежащего получению) комиссионного вознаграждения по договорам сострахования (из строки 160 отчета о прибылях и убытках);</w:t>
      </w:r>
    </w:p>
    <w:p w:rsidR="00117DFA" w:rsidRDefault="00117DFA">
      <w:pPr>
        <w:pStyle w:val="newncpi"/>
      </w:pPr>
      <w:r>
        <w:t>Ф – отчисления в фонды предупредительных (превентивных) мероприятий, гарантийные фонды и иные фонды, образованные в соответствии с законодательством (сумма строк 130 и 140 отчета о прибылях и убытках);</w:t>
      </w:r>
    </w:p>
    <w:p w:rsidR="00117DFA" w:rsidRDefault="00117DFA">
      <w:pPr>
        <w:pStyle w:val="newncpi"/>
      </w:pPr>
      <w:r>
        <w:t>П – сумма премии страховым агентам, осуществляющим от имени страховой организации посредническую деятельность по страхованию на основании гражданско-правового договора (из строки 165 отчета о прибылях и убытках);</w:t>
      </w:r>
    </w:p>
    <w:p w:rsidR="00117DFA" w:rsidRDefault="00117DFA">
      <w:pPr>
        <w:pStyle w:val="newncpi"/>
      </w:pPr>
      <w:r>
        <w:t>Свзн</w:t>
      </w:r>
      <w:r>
        <w:rPr>
          <w:vertAlign w:val="subscript"/>
        </w:rPr>
        <w:t>брутто</w:t>
      </w:r>
      <w:r>
        <w:t> – страховые взносы (страховые премии), брутто (строка 070 отчета о прибылях и убытках);</w:t>
      </w:r>
    </w:p>
    <w:p w:rsidR="00117DFA" w:rsidRDefault="00117DFA">
      <w:pPr>
        <w:pStyle w:val="newncpi"/>
      </w:pPr>
      <w:r>
        <w:rPr>
          <w:rStyle w:val="onesymbol"/>
        </w:rPr>
        <w:t></w:t>
      </w:r>
      <w:r>
        <w:t>РНП</w:t>
      </w:r>
      <w:r>
        <w:rPr>
          <w:vertAlign w:val="subscript"/>
        </w:rPr>
        <w:t>брутто</w:t>
      </w:r>
      <w:r>
        <w:t> – изменение резерва незаработанной премии, брутто (строка 080 отчета о прибылях и убытках);</w:t>
      </w:r>
    </w:p>
    <w:p w:rsidR="00117DFA" w:rsidRDefault="00117DFA">
      <w:pPr>
        <w:pStyle w:val="newncpi"/>
      </w:pPr>
      <w:r>
        <w:t>Дз – 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w:t>
      </w:r>
    </w:p>
    <w:p w:rsidR="00117DFA" w:rsidRDefault="00117DFA">
      <w:pPr>
        <w:pStyle w:val="snoskiline"/>
      </w:pPr>
      <w:r>
        <w:t>______________________________</w:t>
      </w:r>
    </w:p>
    <w:p w:rsidR="00117DFA" w:rsidRDefault="00117DFA">
      <w:pPr>
        <w:pStyle w:val="snoski"/>
        <w:spacing w:after="240"/>
        <w:ind w:firstLine="567"/>
      </w:pPr>
      <w:r>
        <w:t>* Для целей настоящей Инструкции используются данные отчета о прибылях и убытках, составленного в соответствии с приложением 2 к Инструкции о порядке составления и представления бухгалтерской отчетности страховых организаций, утвержденной постановлением Министерства финансов Республики Беларусь от 11 января 2010 г. № 2.</w:t>
      </w:r>
    </w:p>
    <w:p w:rsidR="00117DFA" w:rsidRDefault="00117DFA">
      <w:pPr>
        <w:pStyle w:val="point"/>
      </w:pPr>
      <w:r>
        <w:t>6. Коэффициент убыточности характеризует уровень страховых выплат в заработанной страховой премии.</w:t>
      </w:r>
    </w:p>
    <w:p w:rsidR="00117DFA" w:rsidRDefault="00117DFA">
      <w:pPr>
        <w:pStyle w:val="newncpi"/>
      </w:pPr>
      <w:r>
        <w:lastRenderedPageBreak/>
        <w:t>Коэффициент убыточности с учетом доли перестраховщика (К</w:t>
      </w:r>
      <w:r>
        <w:rPr>
          <w:vertAlign w:val="subscript"/>
        </w:rPr>
        <w:t>у1</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2553056" cy="428685"/>
                  <wp:effectExtent l="0" t="0" r="0" b="9525"/>
                  <wp:docPr id="3" name="Рисунок 3" descr="C:\NCPI_CLIENT\EKBD\Texts\w21428993.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w21428993.files\08000003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553056" cy="428685"/>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(5)</w:t>
            </w:r>
          </w:p>
        </w:tc>
      </w:tr>
    </w:tbl>
    <w:p w:rsidR="00117DFA" w:rsidRDefault="00117DFA">
      <w:pPr>
        <w:pStyle w:val="newncpi"/>
      </w:pPr>
      <w:r>
        <w:t> </w:t>
      </w:r>
    </w:p>
    <w:p w:rsidR="00117DFA" w:rsidRDefault="00117DFA">
      <w:pPr>
        <w:pStyle w:val="newncpi0"/>
      </w:pPr>
      <w:r>
        <w:t>где    Свып</w:t>
      </w:r>
      <w:r>
        <w:rPr>
          <w:vertAlign w:val="subscript"/>
        </w:rPr>
        <w:t>нетто</w:t>
      </w:r>
      <w:r>
        <w:t> – оплаченные убытки (страховые выплаты) с учетом перестрахования, нетто (строка 092 отчета о прибылях и убытках);</w:t>
      </w:r>
    </w:p>
    <w:p w:rsidR="00117DFA" w:rsidRDefault="00117DFA">
      <w:pPr>
        <w:pStyle w:val="newncpi"/>
      </w:pPr>
      <w:r>
        <w:rPr>
          <w:rStyle w:val="onesymbol"/>
        </w:rPr>
        <w:t></w:t>
      </w:r>
      <w:r>
        <w:t>РУ</w:t>
      </w:r>
      <w:r>
        <w:rPr>
          <w:vertAlign w:val="subscript"/>
        </w:rPr>
        <w:t>нетто</w:t>
      </w:r>
      <w:r>
        <w:t> – изменение резервов убытков (страховых выплат) с учетом перестрахования, нетто (строка 097 отчета о прибылях и убытках);</w:t>
      </w:r>
    </w:p>
    <w:p w:rsidR="00117DFA" w:rsidRDefault="00117DFA">
      <w:pPr>
        <w:pStyle w:val="newncpi"/>
      </w:pPr>
      <w:r>
        <w:t>Р – сумма поступлений, связанных с реализацией перешедшего к страховой организации в соответствии с законодательством права требования страхователя (выгодоприобретателя) к лицу, ответственному за убытки, возмещенные в результате страхования (из строки 160 отчета о прибылях и убытках);</w:t>
      </w:r>
    </w:p>
    <w:p w:rsidR="00117DFA" w:rsidRDefault="00117DFA">
      <w:pPr>
        <w:pStyle w:val="newncpi"/>
      </w:pPr>
      <w:r>
        <w:t>Свзн</w:t>
      </w:r>
      <w:r>
        <w:rPr>
          <w:vertAlign w:val="subscript"/>
        </w:rPr>
        <w:t>нетто</w:t>
      </w:r>
      <w:r>
        <w:t> – страховые взносы (страховые премии) с учетом перестрахования, нетто (строка 074 отчета о прибылях и убытках);</w:t>
      </w:r>
    </w:p>
    <w:p w:rsidR="00117DFA" w:rsidRDefault="00117DFA">
      <w:pPr>
        <w:pStyle w:val="newncpi"/>
      </w:pPr>
      <w:r>
        <w:rPr>
          <w:rStyle w:val="onesymbol"/>
        </w:rPr>
        <w:t></w:t>
      </w:r>
      <w:r>
        <w:t>РНП</w:t>
      </w:r>
      <w:r>
        <w:rPr>
          <w:vertAlign w:val="subscript"/>
        </w:rPr>
        <w:t>нетто </w:t>
      </w:r>
      <w:r>
        <w:t>– изменение резерва незаработанной премии с учетом перестрахования, нетто (строка 082 отчета о прибылях и убытках);</w:t>
      </w:r>
    </w:p>
    <w:p w:rsidR="00117DFA" w:rsidRDefault="00117DFA">
      <w:pPr>
        <w:pStyle w:val="newncpi"/>
      </w:pPr>
      <w:r>
        <w:t>Дз – 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w:t>
      </w:r>
    </w:p>
    <w:p w:rsidR="00117DFA" w:rsidRDefault="00117DFA">
      <w:pPr>
        <w:pStyle w:val="newncpi"/>
      </w:pPr>
      <w:r>
        <w:t>Кз – списанная непогашенная кредиторская задолженность перед перестраховщиком по договору перестрахования в случае признания договора перестрахования досрочно прекращенным либо расторгнутым, а также в случае признания перестрахованных договоров страхования досрочно прекращенными либо расторгнутыми, если заключение договора перестрахования и признание в составе расходов начисленных страховых взносов по рискам, переданным в перестрахование, по этим договорам производилось в предшествующем отчетном периоде (из строки 160 отчета о прибылях и убытках).</w:t>
      </w:r>
    </w:p>
    <w:p w:rsidR="00117DFA" w:rsidRDefault="00117DFA">
      <w:pPr>
        <w:pStyle w:val="newncpi"/>
      </w:pPr>
      <w:r>
        <w:t>Коэффициент убыточности без учета доли перестраховщика (К</w:t>
      </w:r>
      <w:r>
        <w:rPr>
          <w:vertAlign w:val="subscript"/>
        </w:rPr>
        <w:t>у2</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2324424" cy="476316"/>
                  <wp:effectExtent l="0" t="0" r="0" b="0"/>
                  <wp:docPr id="4" name="Рисунок 4" descr="C:\NCPI_CLIENT\EKBD\Texts\w21428993.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w21428993.files\08000004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24424" cy="476316"/>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(6)</w:t>
            </w:r>
          </w:p>
        </w:tc>
      </w:tr>
    </w:tbl>
    <w:p w:rsidR="00117DFA" w:rsidRDefault="00117DFA">
      <w:pPr>
        <w:pStyle w:val="newncpi"/>
      </w:pPr>
      <w:r>
        <w:t> </w:t>
      </w:r>
    </w:p>
    <w:p w:rsidR="00117DFA" w:rsidRDefault="00117DFA">
      <w:pPr>
        <w:pStyle w:val="newncpi0"/>
      </w:pPr>
      <w:r>
        <w:t>где    Свып</w:t>
      </w:r>
      <w:r>
        <w:rPr>
          <w:vertAlign w:val="subscript"/>
        </w:rPr>
        <w:t>брутто</w:t>
      </w:r>
      <w:r>
        <w:t> – оплаченные убытки (страховые выплаты), брутто (строка 090 отчета о прибылях и убытках);</w:t>
      </w:r>
    </w:p>
    <w:p w:rsidR="00117DFA" w:rsidRDefault="00117DFA">
      <w:pPr>
        <w:pStyle w:val="newncpi"/>
      </w:pPr>
      <w:r>
        <w:rPr>
          <w:rStyle w:val="onesymbol"/>
        </w:rPr>
        <w:t></w:t>
      </w:r>
      <w:r>
        <w:t>РУ</w:t>
      </w:r>
      <w:r>
        <w:rPr>
          <w:vertAlign w:val="subscript"/>
        </w:rPr>
        <w:t>брутто</w:t>
      </w:r>
      <w:r>
        <w:t> – изменение резервов убытков (страховых выплат), брутто (строка 095 отчета о прибылях и убытках);</w:t>
      </w:r>
    </w:p>
    <w:p w:rsidR="00117DFA" w:rsidRDefault="00117DFA">
      <w:pPr>
        <w:pStyle w:val="newncpi"/>
      </w:pPr>
      <w:r>
        <w:t>Р – сумма поступлений, связанных с реализацией перешедшего к страховой организации в соответствии с законодательством права требования страхователя (выгодоприобретателя) к лицу, ответственному за убытки, возмещенные в результате страхования (из строки 160 отчета о прибылях и убытках);</w:t>
      </w:r>
    </w:p>
    <w:p w:rsidR="00117DFA" w:rsidRDefault="00117DFA">
      <w:pPr>
        <w:pStyle w:val="newncpi"/>
      </w:pPr>
      <w:r>
        <w:t>Свзн</w:t>
      </w:r>
      <w:r>
        <w:rPr>
          <w:vertAlign w:val="subscript"/>
        </w:rPr>
        <w:t>брутто</w:t>
      </w:r>
      <w:r>
        <w:t> – страховые взносы (страховые премии), брутто (строка 070 отчета о прибылях и убытках);</w:t>
      </w:r>
    </w:p>
    <w:p w:rsidR="00117DFA" w:rsidRDefault="00117DFA">
      <w:pPr>
        <w:pStyle w:val="newncpi"/>
      </w:pPr>
      <w:r>
        <w:rPr>
          <w:rStyle w:val="onesymbol"/>
        </w:rPr>
        <w:t></w:t>
      </w:r>
      <w:r>
        <w:t>РНП</w:t>
      </w:r>
      <w:r>
        <w:rPr>
          <w:vertAlign w:val="subscript"/>
        </w:rPr>
        <w:t>брутто</w:t>
      </w:r>
      <w:r>
        <w:t> – изменение резерва незаработанной премии, брутто (строка 080 отчета о прибылях и убытках);</w:t>
      </w:r>
    </w:p>
    <w:p w:rsidR="00117DFA" w:rsidRDefault="00117DFA">
      <w:pPr>
        <w:pStyle w:val="newncpi"/>
      </w:pPr>
      <w:r>
        <w:t>Дз – 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w:t>
      </w:r>
    </w:p>
    <w:p w:rsidR="00117DFA" w:rsidRDefault="00117DFA">
      <w:pPr>
        <w:pStyle w:val="chapter"/>
      </w:pPr>
      <w:r>
        <w:lastRenderedPageBreak/>
        <w:t>ГЛАВА 3</w:t>
      </w:r>
      <w:r>
        <w:br/>
        <w:t>НОРМАТИВ ДОСТАТОЧНОСТИ РЕЗЕРВОВ УБЫТКОВ</w:t>
      </w:r>
    </w:p>
    <w:p w:rsidR="00117DFA" w:rsidRDefault="00117DFA">
      <w:pPr>
        <w:pStyle w:val="point"/>
      </w:pPr>
      <w:r>
        <w:t>7. Норматив достаточности резервов убытков (резерв произошедших, но незаявленных убытков; резерв заявленных, но неурегулированных убытков) представляет собой соотношение фактических данных за период и расчетных оценок резервов убытков на данный период и служит для оценки точности отражения страховых обязательств.</w:t>
      </w:r>
    </w:p>
    <w:p w:rsidR="00117DFA" w:rsidRDefault="00117DFA">
      <w:pPr>
        <w:pStyle w:val="newncpi"/>
      </w:pPr>
      <w:r>
        <w:t>В случае, если страховые обязательства выражены в иностранной валюте, расчет норматива достаточности резервов убытков производится по видам валют с последующим пересчетом полученного результата по официальным курсам белорусского рубля, установленным Национальным банком, по отношению к соответствующим иностранным валютам на последнее число периода, предшествующего анализируемому.</w:t>
      </w:r>
    </w:p>
    <w:p w:rsidR="00117DFA" w:rsidRDefault="00117DFA">
      <w:pPr>
        <w:pStyle w:val="newncpi"/>
      </w:pPr>
      <w:r>
        <w:t>Расчет норматива достаточности резервов убытков не производится страховыми организациями, осуществляющими страховую деятельность исключительно по перестрахованию.</w:t>
      </w:r>
    </w:p>
    <w:p w:rsidR="00117DFA" w:rsidRDefault="00117DFA">
      <w:pPr>
        <w:pStyle w:val="point"/>
      </w:pPr>
      <w:r>
        <w:t>8. Норматив достаточности резерва произошедших, но незаявленных убытков (РПНУrun-off)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6"/>
        <w:gridCol w:w="580"/>
      </w:tblGrid>
      <w:tr w:rsidR="00117DFA">
        <w:trPr>
          <w:trHeight w:val="240"/>
        </w:trPr>
        <w:tc>
          <w:tcPr>
            <w:tcW w:w="4691" w:type="pct"/>
            <w:tcMar>
              <w:top w:w="0" w:type="dxa"/>
              <w:left w:w="6" w:type="dxa"/>
              <w:bottom w:w="0" w:type="dxa"/>
              <w:right w:w="6" w:type="dxa"/>
            </w:tcMar>
            <w:hideMark/>
          </w:tcPr>
          <w:p w:rsidR="00117DFA" w:rsidRDefault="00117DFA">
            <w:pPr>
              <w:pStyle w:val="newncpi0"/>
              <w:jc w:val="center"/>
            </w:pPr>
            <w:r>
              <w:t>РПНУrun-off = РПНУ</w:t>
            </w:r>
            <w:r>
              <w:rPr>
                <w:vertAlign w:val="subscript"/>
              </w:rPr>
              <w:t xml:space="preserve">0 </w:t>
            </w:r>
            <w:r>
              <w:t>– Спн</w:t>
            </w:r>
            <w:r>
              <w:rPr>
                <w:vertAlign w:val="subscript"/>
              </w:rPr>
              <w:t xml:space="preserve">1 </w:t>
            </w:r>
            <w:r>
              <w:t>– РЗУпн</w:t>
            </w:r>
            <w:r>
              <w:rPr>
                <w:vertAlign w:val="subscript"/>
              </w:rPr>
              <w:t>1</w:t>
            </w:r>
            <w:r>
              <w:t>,</w:t>
            </w:r>
          </w:p>
        </w:tc>
        <w:tc>
          <w:tcPr>
            <w:tcW w:w="309" w:type="pct"/>
            <w:tcMar>
              <w:top w:w="0" w:type="dxa"/>
              <w:left w:w="6" w:type="dxa"/>
              <w:bottom w:w="0" w:type="dxa"/>
              <w:right w:w="6" w:type="dxa"/>
            </w:tcMar>
            <w:hideMark/>
          </w:tcPr>
          <w:p w:rsidR="00117DFA" w:rsidRDefault="00117DFA">
            <w:pPr>
              <w:pStyle w:val="newncpi0"/>
              <w:jc w:val="right"/>
            </w:pPr>
            <w:r>
              <w:t>(7)</w:t>
            </w:r>
          </w:p>
        </w:tc>
      </w:tr>
    </w:tbl>
    <w:p w:rsidR="00117DFA" w:rsidRDefault="00117DFA">
      <w:pPr>
        <w:pStyle w:val="newncpi"/>
      </w:pPr>
      <w:r>
        <w:t> </w:t>
      </w:r>
    </w:p>
    <w:p w:rsidR="00117DFA" w:rsidRDefault="00117DFA">
      <w:pPr>
        <w:pStyle w:val="newncpi0"/>
      </w:pPr>
      <w:r>
        <w:t>где    РПНУ</w:t>
      </w:r>
      <w:r>
        <w:rPr>
          <w:vertAlign w:val="subscript"/>
        </w:rPr>
        <w:t>0</w:t>
      </w:r>
      <w:r>
        <w:t> – резерв произошедших, но незаявленных убытков на последнее число периода, предшествующего анализируемому;</w:t>
      </w:r>
    </w:p>
    <w:p w:rsidR="00117DFA" w:rsidRDefault="00117DFA">
      <w:pPr>
        <w:pStyle w:val="newncpi"/>
      </w:pPr>
      <w:r>
        <w:t>Спн</w:t>
      </w:r>
      <w:r>
        <w:rPr>
          <w:vertAlign w:val="subscript"/>
        </w:rPr>
        <w:t>1</w:t>
      </w:r>
      <w:r>
        <w:t> – выплаты страхового возмещения за анализируемый период по страховым случаям, произошедшим до начала анализируемого периода, но заявленные в анализируемом периоде;</w:t>
      </w:r>
    </w:p>
    <w:p w:rsidR="00117DFA" w:rsidRDefault="00117DFA">
      <w:pPr>
        <w:pStyle w:val="newncpi"/>
      </w:pPr>
      <w:r>
        <w:t>РЗУпн</w:t>
      </w:r>
      <w:r>
        <w:rPr>
          <w:vertAlign w:val="subscript"/>
        </w:rPr>
        <w:t>1</w:t>
      </w:r>
      <w:r>
        <w:t> – резерв заявленных, но неурегулированных убытков по состоянию на последнее число анализируемого периода по страховым случаям, произошедшим до начала анализируемого периода, но заявленным в анализируемом периоде.</w:t>
      </w:r>
    </w:p>
    <w:p w:rsidR="00117DFA" w:rsidRDefault="00117DFA">
      <w:pPr>
        <w:pStyle w:val="newncpi"/>
      </w:pPr>
      <w:r>
        <w:t>Минимально допустимое значение РПНУrun-off устанавливается в размере 0.</w:t>
      </w:r>
    </w:p>
    <w:p w:rsidR="00117DFA" w:rsidRDefault="00117DFA">
      <w:pPr>
        <w:pStyle w:val="point"/>
      </w:pPr>
      <w:r>
        <w:t>9. Норматив достаточности резерва заявленных, но неурегулированных убытков (РЗУrun-off)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6"/>
        <w:gridCol w:w="580"/>
      </w:tblGrid>
      <w:tr w:rsidR="00117DFA">
        <w:trPr>
          <w:trHeight w:val="240"/>
        </w:trPr>
        <w:tc>
          <w:tcPr>
            <w:tcW w:w="4691" w:type="pct"/>
            <w:tcMar>
              <w:top w:w="0" w:type="dxa"/>
              <w:left w:w="6" w:type="dxa"/>
              <w:bottom w:w="0" w:type="dxa"/>
              <w:right w:w="6" w:type="dxa"/>
            </w:tcMar>
            <w:hideMark/>
          </w:tcPr>
          <w:p w:rsidR="00117DFA" w:rsidRPr="00117DFA" w:rsidRDefault="00117DFA">
            <w:pPr>
              <w:pStyle w:val="newncpi0"/>
              <w:jc w:val="center"/>
              <w:rPr>
                <w:lang w:val="en-US"/>
              </w:rPr>
            </w:pPr>
            <w:r>
              <w:t>РЗУ</w:t>
            </w:r>
            <w:r w:rsidRPr="00117DFA">
              <w:rPr>
                <w:lang w:val="en-US"/>
              </w:rPr>
              <w:t xml:space="preserve">run-off = </w:t>
            </w:r>
            <w:r>
              <w:t>РЗУ</w:t>
            </w:r>
            <w:r w:rsidRPr="00117DFA">
              <w:rPr>
                <w:vertAlign w:val="subscript"/>
                <w:lang w:val="en-US"/>
              </w:rPr>
              <w:t xml:space="preserve">0 </w:t>
            </w:r>
            <w:r w:rsidRPr="00117DFA">
              <w:rPr>
                <w:lang w:val="en-US"/>
              </w:rPr>
              <w:t xml:space="preserve">– </w:t>
            </w:r>
            <w:r>
              <w:t>Сзу</w:t>
            </w:r>
            <w:r w:rsidRPr="00117DFA">
              <w:rPr>
                <w:vertAlign w:val="subscript"/>
                <w:lang w:val="en-US"/>
              </w:rPr>
              <w:t xml:space="preserve">1 </w:t>
            </w:r>
            <w:r w:rsidRPr="00117DFA">
              <w:rPr>
                <w:lang w:val="en-US"/>
              </w:rPr>
              <w:t xml:space="preserve">– </w:t>
            </w:r>
            <w:r>
              <w:t>РЗУ</w:t>
            </w:r>
            <w:r w:rsidRPr="00117DFA">
              <w:rPr>
                <w:vertAlign w:val="subscript"/>
                <w:lang w:val="en-US"/>
              </w:rPr>
              <w:t>1</w:t>
            </w:r>
            <w:r w:rsidRPr="00117DFA">
              <w:rPr>
                <w:lang w:val="en-US"/>
              </w:rPr>
              <w:t>,</w:t>
            </w:r>
          </w:p>
        </w:tc>
        <w:tc>
          <w:tcPr>
            <w:tcW w:w="309" w:type="pct"/>
            <w:tcMar>
              <w:top w:w="0" w:type="dxa"/>
              <w:left w:w="6" w:type="dxa"/>
              <w:bottom w:w="0" w:type="dxa"/>
              <w:right w:w="6" w:type="dxa"/>
            </w:tcMar>
            <w:hideMark/>
          </w:tcPr>
          <w:p w:rsidR="00117DFA" w:rsidRDefault="00117DFA">
            <w:pPr>
              <w:pStyle w:val="newncpi0"/>
              <w:jc w:val="right"/>
            </w:pPr>
            <w:r>
              <w:t>(8)</w:t>
            </w:r>
          </w:p>
        </w:tc>
      </w:tr>
    </w:tbl>
    <w:p w:rsidR="00117DFA" w:rsidRDefault="00117DFA">
      <w:pPr>
        <w:pStyle w:val="newncpi"/>
      </w:pPr>
      <w:r>
        <w:rPr>
          <w:vertAlign w:val="subscript"/>
        </w:rPr>
        <w:t> </w:t>
      </w:r>
    </w:p>
    <w:p w:rsidR="00117DFA" w:rsidRDefault="00117DFA">
      <w:pPr>
        <w:pStyle w:val="newncpi0"/>
      </w:pPr>
      <w:r>
        <w:t>где РЗУ</w:t>
      </w:r>
      <w:r>
        <w:rPr>
          <w:vertAlign w:val="subscript"/>
        </w:rPr>
        <w:t>0</w:t>
      </w:r>
      <w:r>
        <w:t> – резерв заявленных, но неурегулированных убытков на последнее число периода, предшествующего анализируемому;</w:t>
      </w:r>
    </w:p>
    <w:p w:rsidR="00117DFA" w:rsidRDefault="00117DFA">
      <w:pPr>
        <w:pStyle w:val="newncpi"/>
      </w:pPr>
      <w:r>
        <w:t>Сзу</w:t>
      </w:r>
      <w:r>
        <w:rPr>
          <w:vertAlign w:val="subscript"/>
        </w:rPr>
        <w:t xml:space="preserve">1 </w:t>
      </w:r>
      <w:r>
        <w:t>– выплаты страхового возмещения за анализируемый период по страховым случаям, произошедшим и заявленным до начала анализируемого периода;</w:t>
      </w:r>
    </w:p>
    <w:p w:rsidR="00117DFA" w:rsidRDefault="00117DFA">
      <w:pPr>
        <w:pStyle w:val="newncpi"/>
      </w:pPr>
      <w:r>
        <w:t>РЗУ</w:t>
      </w:r>
      <w:r>
        <w:rPr>
          <w:vertAlign w:val="subscript"/>
        </w:rPr>
        <w:t>1</w:t>
      </w:r>
      <w:r>
        <w:t> – резерв заявленных, но неурегулированных убытков по состоянию на последнее число анализируемого периода по страховым случаям, произошедшим и заявленным до начала анализируемого периода.</w:t>
      </w:r>
    </w:p>
    <w:p w:rsidR="00117DFA" w:rsidRDefault="00117DFA">
      <w:pPr>
        <w:pStyle w:val="newncpi"/>
      </w:pPr>
      <w:r>
        <w:t>Минимально допустимое значение РЗУrun-off устанавливается в размере 0.</w:t>
      </w:r>
    </w:p>
    <w:p w:rsidR="00117DFA" w:rsidRDefault="00117DFA">
      <w:pPr>
        <w:pStyle w:val="chapter"/>
      </w:pPr>
      <w:r>
        <w:t>ГЛАВА 4</w:t>
      </w:r>
      <w:r>
        <w:br/>
        <w:t>НОРМАТИВ ДОСТАТОЧНОСТИ СОБСТВЕННОГО КАПИТАЛА</w:t>
      </w:r>
    </w:p>
    <w:p w:rsidR="00117DFA" w:rsidRDefault="00117DFA">
      <w:pPr>
        <w:pStyle w:val="point"/>
      </w:pPr>
      <w:r>
        <w:t>10. Норматив достаточности собственного капитала определяет адекватность собственного капитала (как источника средств для выполнения обязательств перед страхователями в случае недостаточности средств страховых резервов) по отношению к объему принятых страховой организацией на себя страховых рисков, выраженных в страховых резервах.</w:t>
      </w:r>
    </w:p>
    <w:p w:rsidR="00117DFA" w:rsidRDefault="00117DFA">
      <w:pPr>
        <w:pStyle w:val="newncpi"/>
      </w:pPr>
      <w:r>
        <w:lastRenderedPageBreak/>
        <w:t>Норматив достаточности собственного капитала определяется как отношение суммы собственного капитала и страховых резервов, сформированных страховой организацией, на отчетную дату.</w:t>
      </w:r>
    </w:p>
    <w:p w:rsidR="00117DFA" w:rsidRDefault="00117DFA">
      <w:pPr>
        <w:pStyle w:val="point"/>
      </w:pPr>
      <w:r>
        <w:t>11. Норматив достаточности собственного капитала (Дост</w:t>
      </w:r>
      <w:r>
        <w:rPr>
          <w:vertAlign w:val="subscript"/>
        </w:rPr>
        <w:t>ск</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943107" cy="419158"/>
                  <wp:effectExtent l="0" t="0" r="9525" b="0"/>
                  <wp:docPr id="5" name="Рисунок 5" descr="C:\NCPI_CLIENT\EKBD\Texts\w21428993.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w21428993.files\08000005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43107" cy="419158"/>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(9)</w:t>
            </w:r>
          </w:p>
        </w:tc>
      </w:tr>
    </w:tbl>
    <w:p w:rsidR="00117DFA" w:rsidRDefault="00117DFA">
      <w:pPr>
        <w:pStyle w:val="newncpi"/>
      </w:pPr>
      <w:r>
        <w:t> </w:t>
      </w:r>
    </w:p>
    <w:p w:rsidR="00117DFA" w:rsidRDefault="00117DFA">
      <w:pPr>
        <w:pStyle w:val="newncpi0"/>
      </w:pPr>
      <w:r>
        <w:t>где    СК – собственный капитал страховой организации (расчет производится в соответствии с Инструкцией о порядке расчета размера собственного капитала страховых организаций, утвержденной постановлением Министерства финансов Республики Беларусь от 13 сентября 2007 г. № 132);</w:t>
      </w:r>
    </w:p>
    <w:p w:rsidR="00117DFA" w:rsidRDefault="00117DFA">
      <w:pPr>
        <w:pStyle w:val="newncpi"/>
      </w:pPr>
      <w:r>
        <w:t>Ср – объем страховых резервов, нетто (сумма строк с 500 по 504 минус строка 240 бухгалтерского баланса*).</w:t>
      </w:r>
    </w:p>
    <w:p w:rsidR="00117DFA" w:rsidRDefault="00117DFA">
      <w:pPr>
        <w:pStyle w:val="newncpi"/>
      </w:pPr>
      <w:r>
        <w:t>Минимально допустимое значение норматива достаточности собственного капитала:</w:t>
      </w:r>
    </w:p>
    <w:p w:rsidR="00117DFA" w:rsidRDefault="00117DFA">
      <w:pPr>
        <w:pStyle w:val="newncpi"/>
      </w:pPr>
      <w:r>
        <w:t>для страховых организаций, осуществляющих виды страхования иные, чем страхование жизни, и страховых организаций, осуществляющих страховую деятельность исключительно по перестрахованию, устанавливается в размере 0,3;</w:t>
      </w:r>
    </w:p>
    <w:p w:rsidR="00117DFA" w:rsidRDefault="00117DFA">
      <w:pPr>
        <w:pStyle w:val="newncpi"/>
      </w:pPr>
      <w:r>
        <w:t>для страховых организаций, осуществляющих виды страхования, относящиеся к страхованию жизни, – 0,04.</w:t>
      </w:r>
    </w:p>
    <w:p w:rsidR="00117DFA" w:rsidRDefault="00117DFA">
      <w:pPr>
        <w:pStyle w:val="snoskiline"/>
      </w:pPr>
      <w:r>
        <w:t>______________________________</w:t>
      </w:r>
    </w:p>
    <w:p w:rsidR="00117DFA" w:rsidRDefault="00117DFA">
      <w:pPr>
        <w:pStyle w:val="snoski"/>
        <w:spacing w:after="240"/>
        <w:ind w:firstLine="567"/>
      </w:pPr>
      <w:r>
        <w:t>* Для целей настоящей Инструкции используются данные бухгалтерского баланса, составленного в соответствии с приложением 1 к Инструкции о порядке составления и представления бухгалтерской отчетности страховых организаций.</w:t>
      </w:r>
    </w:p>
    <w:p w:rsidR="00117DFA" w:rsidRDefault="00117DFA">
      <w:pPr>
        <w:pStyle w:val="chapter"/>
      </w:pPr>
      <w:r>
        <w:t>ГЛАВА 5</w:t>
      </w:r>
      <w:r>
        <w:br/>
        <w:t>НОРМАТИВ ТЕКУЩЕЙ ЛИКВИДНОСТИ</w:t>
      </w:r>
    </w:p>
    <w:p w:rsidR="00117DFA" w:rsidRDefault="00117DFA">
      <w:pPr>
        <w:pStyle w:val="point"/>
      </w:pPr>
      <w:r>
        <w:t>12. Норматив текущей ликвидности характеризует общую обеспеченность страховой организации собственными оборотными средствами для ведения финансово-хозяйственной деятельности и своевременного погашения срочных обязательств.</w:t>
      </w:r>
    </w:p>
    <w:p w:rsidR="00117DFA" w:rsidRDefault="00117DFA">
      <w:pPr>
        <w:pStyle w:val="newncpi"/>
      </w:pPr>
      <w:r>
        <w:t>Норматив текущей ликвидности определяется как отношение стоимости краткосрочных активов и отдельных долгосрочных финансовых вложений к краткосрочным обязательствам страховой организации.</w:t>
      </w:r>
    </w:p>
    <w:p w:rsidR="00117DFA" w:rsidRDefault="00117DFA">
      <w:pPr>
        <w:pStyle w:val="point"/>
      </w:pPr>
      <w:r>
        <w:t>13. Норматив текущей ликвидности (Л</w:t>
      </w:r>
      <w:r>
        <w:rPr>
          <w:vertAlign w:val="subscript"/>
        </w:rPr>
        <w:t>т</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2124371" cy="438211"/>
                  <wp:effectExtent l="0" t="0" r="9525" b="0"/>
                  <wp:docPr id="6" name="Рисунок 6" descr="C:\NCPI_CLIENT\EKBD\Texts\w21428993.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w21428993.files\08000006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124371" cy="438211"/>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(10)</w:t>
            </w:r>
          </w:p>
        </w:tc>
      </w:tr>
    </w:tbl>
    <w:p w:rsidR="00117DFA" w:rsidRDefault="00117DFA">
      <w:pPr>
        <w:pStyle w:val="newncpi"/>
      </w:pPr>
      <w:r>
        <w:t> </w:t>
      </w:r>
    </w:p>
    <w:p w:rsidR="00117DFA" w:rsidRDefault="00117DFA">
      <w:pPr>
        <w:pStyle w:val="newncpi0"/>
      </w:pPr>
      <w:r>
        <w:t>где    ДС – денежные средства и эквиваленты денежных средств (строка 270 бухгалтерского баланса);</w:t>
      </w:r>
    </w:p>
    <w:p w:rsidR="00117DFA" w:rsidRDefault="00117DFA">
      <w:pPr>
        <w:pStyle w:val="newncpi"/>
      </w:pPr>
      <w:r>
        <w:t>ДЗ</w:t>
      </w:r>
      <w:r>
        <w:rPr>
          <w:vertAlign w:val="subscript"/>
        </w:rPr>
        <w:t>кр</w:t>
      </w:r>
      <w:r>
        <w:t> – краткосрочная дебиторская задолженность (строка 250 бухгалтерского баланса);</w:t>
      </w:r>
    </w:p>
    <w:p w:rsidR="00117DFA" w:rsidRDefault="00117DFA">
      <w:pPr>
        <w:pStyle w:val="newncpi"/>
      </w:pPr>
      <w:r>
        <w:t>ФВ</w:t>
      </w:r>
      <w:r>
        <w:rPr>
          <w:vertAlign w:val="subscript"/>
        </w:rPr>
        <w:t>кр</w:t>
      </w:r>
      <w:r>
        <w:t> – краткосрочные финансовые вложения (строка 260 бухгалтерского баланса);</w:t>
      </w:r>
    </w:p>
    <w:p w:rsidR="00117DFA" w:rsidRDefault="00117DFA">
      <w:pPr>
        <w:pStyle w:val="newncpi"/>
      </w:pPr>
      <w:r>
        <w:t>ФВ</w:t>
      </w:r>
      <w:r>
        <w:rPr>
          <w:vertAlign w:val="subscript"/>
        </w:rPr>
        <w:t>д</w:t>
      </w:r>
      <w:r>
        <w:t> – долгосрочные финансовые вложения, кроме вложений в уставные фонды других организаций (из строки 150 бухгалтерского баланса);</w:t>
      </w:r>
    </w:p>
    <w:p w:rsidR="00117DFA" w:rsidRDefault="00117DFA">
      <w:pPr>
        <w:pStyle w:val="newncpi"/>
      </w:pPr>
      <w:r>
        <w:t>КО – краткосрочные обязательства (строка 690 бухгалтерского баланса);</w:t>
      </w:r>
    </w:p>
    <w:p w:rsidR="00117DFA" w:rsidRDefault="00117DFA">
      <w:pPr>
        <w:pStyle w:val="newncpi"/>
      </w:pPr>
      <w:r>
        <w:t>Ср – объем страховых резервов, нетто (сумма строк с 501 по 504 минус сумма строк с 242 по 244 бухгалтерского баланса);</w:t>
      </w:r>
    </w:p>
    <w:p w:rsidR="00117DFA" w:rsidRDefault="00117DFA">
      <w:pPr>
        <w:pStyle w:val="newncpi"/>
      </w:pPr>
      <w:r>
        <w:t xml:space="preserve">ФСГ – остатки фондов предупредительных (превентивных) мероприятий, гарантийных фондов по видам обязательного страхования и добровольному страхованию </w:t>
      </w:r>
      <w:r>
        <w:lastRenderedPageBreak/>
        <w:t>медицинских расходов и иных фондов, образованных в соответствии с законодательством (сумма из строк 505, 506, 507 бухгалтерского баланса).</w:t>
      </w:r>
    </w:p>
    <w:p w:rsidR="00117DFA" w:rsidRDefault="00117DFA">
      <w:pPr>
        <w:pStyle w:val="newncpi"/>
      </w:pPr>
      <w:r>
        <w:t>Минимально допустимое значение норматива текущей ликвидности устанавливается в размере 1,0.</w:t>
      </w:r>
    </w:p>
    <w:p w:rsidR="00117DFA" w:rsidRDefault="00117DFA">
      <w:pPr>
        <w:pStyle w:val="chapter"/>
      </w:pPr>
      <w:r>
        <w:t>ГЛАВА 6</w:t>
      </w:r>
      <w:r>
        <w:br/>
        <w:t>НОРМАТИВ, ХАРАКТЕРИЗУЮЩИЙ ЭФФЕКТИВНОСТЬ ФИНАНСОВО-ХОЗЯЙСТВЕННОЙ ДЕЯТЕЛЬНОСТИ</w:t>
      </w:r>
    </w:p>
    <w:p w:rsidR="00117DFA" w:rsidRDefault="00117DFA">
      <w:pPr>
        <w:pStyle w:val="point"/>
      </w:pPr>
      <w:r>
        <w:t>14. Норматив, характеризующий эффективность финансово-хозяйственной деятельности страховых организаций, осуществляющих виды страхования иные, чем страхование жизни, и страховую деятельность исключительно по перестрахованию, отражает уровень расходов страховой организации и страховых выплат в заработанной премии с учетом влияния результатов по инвестиционной деятельности на общую эффективность деятельности страховой организации и определяет уровень рентабельности финансово-хозяйственной деятельности.</w:t>
      </w:r>
    </w:p>
    <w:p w:rsidR="00117DFA" w:rsidRDefault="00117DFA">
      <w:pPr>
        <w:pStyle w:val="newncpi"/>
      </w:pPr>
      <w:r>
        <w:t>Расчет норматива, характеризующего эффективность финансово-хозяйственной деятельности, производится без учета доходов и расходов 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обязательному государственному страхованию.</w:t>
      </w:r>
    </w:p>
    <w:p w:rsidR="00117DFA" w:rsidRDefault="00117DFA">
      <w:pPr>
        <w:pStyle w:val="point"/>
      </w:pPr>
      <w:r>
        <w:t>15. Норматив, характеризующий эффективность финансово-хозяйственной деятельности, рассчитывается как разница между нормативом, характеризующим убыточность страховой деятельности, и коэффициентом инвестиционного дохода.</w:t>
      </w:r>
    </w:p>
    <w:p w:rsidR="00117DFA" w:rsidRDefault="00117DFA">
      <w:pPr>
        <w:pStyle w:val="newncpi"/>
      </w:pPr>
      <w:r>
        <w:t>Расчет норматива, характеризующего эффективность финансово-хозяйственной деятельности, производится как с учетом, так и без учета доли перестраховщика.</w:t>
      </w:r>
    </w:p>
    <w:p w:rsidR="00117DFA" w:rsidRDefault="00117DFA">
      <w:pPr>
        <w:pStyle w:val="newncpi"/>
      </w:pPr>
      <w:r>
        <w:t>Норматив, характеризующий эффективность финансово-хозяйственной деятельности, с учетом доли перестраховщика (К</w:t>
      </w:r>
      <w:r>
        <w:rPr>
          <w:vertAlign w:val="subscript"/>
        </w:rPr>
        <w:t>опер1</w:t>
      </w:r>
      <w:r>
        <w:t>) рассчитывается как разница между нормативом, характеризующим убыточность страховой деятельности, с учетом доли перестраховщика (К</w:t>
      </w:r>
      <w:r>
        <w:rPr>
          <w:vertAlign w:val="subscript"/>
        </w:rPr>
        <w:t>комб1</w:t>
      </w:r>
      <w:r>
        <w:t>) и коэффициентом инвестиционного дохода с учетом доли перестраховщика (К</w:t>
      </w:r>
      <w:r>
        <w:rPr>
          <w:vertAlign w:val="subscript"/>
        </w:rPr>
        <w:t>ид1</w:t>
      </w:r>
      <w:r>
        <w:t>) по следующей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t>К</w:t>
            </w:r>
            <w:r>
              <w:rPr>
                <w:vertAlign w:val="subscript"/>
              </w:rPr>
              <w:t xml:space="preserve">опер1 </w:t>
            </w:r>
            <w:r>
              <w:t>= К</w:t>
            </w:r>
            <w:r>
              <w:rPr>
                <w:vertAlign w:val="subscript"/>
              </w:rPr>
              <w:t>комб1</w:t>
            </w:r>
            <w:r>
              <w:t> – К</w:t>
            </w:r>
            <w:r>
              <w:rPr>
                <w:vertAlign w:val="subscript"/>
              </w:rPr>
              <w:t>ид1.</w:t>
            </w:r>
            <w:r>
              <w:t xml:space="preserve"> </w:t>
            </w:r>
          </w:p>
        </w:tc>
        <w:tc>
          <w:tcPr>
            <w:tcW w:w="310" w:type="pct"/>
            <w:tcMar>
              <w:top w:w="0" w:type="dxa"/>
              <w:left w:w="6" w:type="dxa"/>
              <w:bottom w:w="0" w:type="dxa"/>
              <w:right w:w="6" w:type="dxa"/>
            </w:tcMar>
            <w:hideMark/>
          </w:tcPr>
          <w:p w:rsidR="00117DFA" w:rsidRDefault="00117DFA">
            <w:pPr>
              <w:pStyle w:val="newncpi0"/>
              <w:jc w:val="right"/>
            </w:pPr>
            <w:r>
              <w:t>(11)</w:t>
            </w:r>
          </w:p>
        </w:tc>
      </w:tr>
    </w:tbl>
    <w:p w:rsidR="00117DFA" w:rsidRDefault="00117DFA">
      <w:pPr>
        <w:pStyle w:val="newncpi"/>
      </w:pPr>
      <w:r>
        <w:t> </w:t>
      </w:r>
    </w:p>
    <w:p w:rsidR="00117DFA" w:rsidRDefault="00117DFA">
      <w:pPr>
        <w:pStyle w:val="newncpi"/>
      </w:pPr>
      <w:r>
        <w:t>Норматив, характеризующий эффективность финансово-хозяйственной деятельности, без учета доли перестраховщика (К</w:t>
      </w:r>
      <w:r>
        <w:rPr>
          <w:vertAlign w:val="subscript"/>
        </w:rPr>
        <w:t>опер2</w:t>
      </w:r>
      <w:r>
        <w:t>) рассчитывается как разница между нормативом, характеризующим убыточность страховой деятельности, без учета доли перестраховщика (К</w:t>
      </w:r>
      <w:r>
        <w:rPr>
          <w:vertAlign w:val="subscript"/>
        </w:rPr>
        <w:t>комб2</w:t>
      </w:r>
      <w:r>
        <w:t>) и коэффициентом инвестиционного дохода без учета доли перестраховщика (К</w:t>
      </w:r>
      <w:r>
        <w:rPr>
          <w:vertAlign w:val="subscript"/>
        </w:rPr>
        <w:t>ид2</w:t>
      </w:r>
      <w:r>
        <w:t>) по следующей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t>К</w:t>
            </w:r>
            <w:r>
              <w:rPr>
                <w:vertAlign w:val="subscript"/>
              </w:rPr>
              <w:t xml:space="preserve">опер2 </w:t>
            </w:r>
            <w:r>
              <w:t>= К</w:t>
            </w:r>
            <w:r>
              <w:rPr>
                <w:vertAlign w:val="subscript"/>
              </w:rPr>
              <w:t>комб2</w:t>
            </w:r>
            <w:r>
              <w:t> – К</w:t>
            </w:r>
            <w:r>
              <w:rPr>
                <w:vertAlign w:val="subscript"/>
              </w:rPr>
              <w:t>ид2.</w:t>
            </w:r>
          </w:p>
        </w:tc>
        <w:tc>
          <w:tcPr>
            <w:tcW w:w="310" w:type="pct"/>
            <w:tcMar>
              <w:top w:w="0" w:type="dxa"/>
              <w:left w:w="6" w:type="dxa"/>
              <w:bottom w:w="0" w:type="dxa"/>
              <w:right w:w="6" w:type="dxa"/>
            </w:tcMar>
            <w:hideMark/>
          </w:tcPr>
          <w:p w:rsidR="00117DFA" w:rsidRDefault="00117DFA">
            <w:pPr>
              <w:pStyle w:val="newncpi0"/>
              <w:jc w:val="right"/>
            </w:pPr>
            <w:r>
              <w:t>(12)</w:t>
            </w:r>
          </w:p>
        </w:tc>
      </w:tr>
    </w:tbl>
    <w:p w:rsidR="00117DFA" w:rsidRDefault="00117DFA">
      <w:pPr>
        <w:pStyle w:val="newncpi"/>
      </w:pPr>
      <w:r>
        <w:t> </w:t>
      </w:r>
    </w:p>
    <w:p w:rsidR="00117DFA" w:rsidRDefault="00117DFA">
      <w:pPr>
        <w:pStyle w:val="newncpi"/>
      </w:pPr>
      <w:r>
        <w:t>Максимально допустимое значение норматива, характеризующего эффективность финансово-хозяйственной деятельности, как с учетом, так и без учета доли перестраховщика устанавливается в размере 1,0.</w:t>
      </w:r>
    </w:p>
    <w:p w:rsidR="00117DFA" w:rsidRDefault="00117DFA">
      <w:pPr>
        <w:pStyle w:val="point"/>
      </w:pPr>
      <w:r>
        <w:t>16. Норматив, характеризующий убыточность страховой деятельности, с учетом и без учета доли перестраховщика (К</w:t>
      </w:r>
      <w:r>
        <w:rPr>
          <w:vertAlign w:val="subscript"/>
        </w:rPr>
        <w:t>комб1,</w:t>
      </w:r>
      <w:r>
        <w:t xml:space="preserve"> К</w:t>
      </w:r>
      <w:r>
        <w:rPr>
          <w:vertAlign w:val="subscript"/>
        </w:rPr>
        <w:t>комб2</w:t>
      </w:r>
      <w:r>
        <w:t>) рассчитывается в соответствии с главой 2 настоящей Инструкции.</w:t>
      </w:r>
    </w:p>
    <w:p w:rsidR="00117DFA" w:rsidRDefault="00117DFA">
      <w:pPr>
        <w:pStyle w:val="point"/>
      </w:pPr>
      <w:r>
        <w:t>17. Коэффициент инвестиционного дохода характеризует отношение доходов страховой организации, связанных с осуществлением инвестиционной деятельности, к заработанной страховой премии.</w:t>
      </w:r>
    </w:p>
    <w:p w:rsidR="00117DFA" w:rsidRDefault="00117DFA">
      <w:pPr>
        <w:pStyle w:val="newncpi"/>
      </w:pPr>
      <w:r>
        <w:lastRenderedPageBreak/>
        <w:t>Коэффициент инвестиционного дохода с учетом доли перестраховщика (К</w:t>
      </w:r>
      <w:r>
        <w:rPr>
          <w:vertAlign w:val="subscript"/>
        </w:rPr>
        <w:t>ид1</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2591162" cy="428685"/>
                  <wp:effectExtent l="0" t="0" r="0" b="9525"/>
                  <wp:docPr id="7" name="Рисунок 7" descr="C:\NCPI_CLIENT\EKBD\Texts\w21428993.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w21428993.files\08000007wmz.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1162" cy="428685"/>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(13)</w:t>
            </w:r>
          </w:p>
        </w:tc>
      </w:tr>
    </w:tbl>
    <w:p w:rsidR="00117DFA" w:rsidRDefault="00117DFA">
      <w:pPr>
        <w:pStyle w:val="newncpi"/>
      </w:pPr>
      <w:r>
        <w:t> </w:t>
      </w:r>
    </w:p>
    <w:p w:rsidR="00117DFA" w:rsidRDefault="00117DFA">
      <w:pPr>
        <w:pStyle w:val="newncpi0"/>
      </w:pPr>
      <w:r>
        <w:t>где   Ди – доходы по инвестиционной деятельности, за исключением балансовой стоимости финансовых активов, списываемой при прекращении признания этих активов (сумма строк 182, 183 и сумма из строки 184 отчета о прибылях и убытках);</w:t>
      </w:r>
    </w:p>
    <w:p w:rsidR="00117DFA" w:rsidRDefault="00117DFA">
      <w:pPr>
        <w:pStyle w:val="newncpi"/>
      </w:pPr>
      <w:r>
        <w:t>Ри – расходы по инвестиционной деятельности, за исключением балансовой стоимости финансовых активов, списываемой при прекращении признания этих активов (из строки 192 отчета о прибылях и убытках);</w:t>
      </w:r>
    </w:p>
    <w:p w:rsidR="00117DFA" w:rsidRDefault="00117DFA">
      <w:pPr>
        <w:pStyle w:val="newncpi"/>
      </w:pPr>
      <w:r>
        <w:t>Дк – доходы, возникающие при пересчете выраженной в иностранной валюте стоимости финансового инструмента (курсовые разницы) (строка 201 отчета о прибылях и убытках);</w:t>
      </w:r>
    </w:p>
    <w:p w:rsidR="00117DFA" w:rsidRDefault="00117DFA">
      <w:pPr>
        <w:pStyle w:val="newncpi"/>
      </w:pPr>
      <w:r>
        <w:t>Рк – расходы, возникающие при пересчете выраженной в иностранной валюте стоимости финансового инструмента (курсовые разницы) (строка 212 отчета о прибылях и убытках);</w:t>
      </w:r>
    </w:p>
    <w:p w:rsidR="00117DFA" w:rsidRDefault="00117DFA">
      <w:pPr>
        <w:pStyle w:val="newncpi"/>
      </w:pPr>
      <w:r>
        <w:t>Свзн</w:t>
      </w:r>
      <w:r>
        <w:rPr>
          <w:vertAlign w:val="subscript"/>
        </w:rPr>
        <w:t>нетто</w:t>
      </w:r>
      <w:r>
        <w:t> – сумма страховых взносов (страховых премий) с учетом перестрахования, нетто (строка 074 отчета о прибылях и убытках);</w:t>
      </w:r>
    </w:p>
    <w:p w:rsidR="00117DFA" w:rsidRDefault="00117DFA">
      <w:pPr>
        <w:pStyle w:val="newncpi"/>
      </w:pPr>
      <w:r>
        <w:rPr>
          <w:rStyle w:val="onesymbol"/>
        </w:rPr>
        <w:t></w:t>
      </w:r>
      <w:r>
        <w:t>РНП</w:t>
      </w:r>
      <w:r>
        <w:rPr>
          <w:vertAlign w:val="subscript"/>
        </w:rPr>
        <w:t xml:space="preserve">нетто </w:t>
      </w:r>
      <w:r>
        <w:t>– изменение резерва незаработанной премии с учетом перестрахования, нетто (строка 082 отчета о прибылях и убытках);</w:t>
      </w:r>
    </w:p>
    <w:p w:rsidR="00117DFA" w:rsidRDefault="00117DFA">
      <w:pPr>
        <w:pStyle w:val="newncpi"/>
      </w:pPr>
      <w:r>
        <w:t>Дз – 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w:t>
      </w:r>
    </w:p>
    <w:p w:rsidR="00117DFA" w:rsidRDefault="00117DFA">
      <w:pPr>
        <w:pStyle w:val="newncpi"/>
      </w:pPr>
      <w:r>
        <w:t>Кз – списанная непогашенная кредиторская задолженность перед перестраховщиком по договору перестрахования в случае признания договора перестрахования досрочно прекращенным либо расторгнутым, а также в случае признания перестрахованных договоров страхования досрочно прекращенными либо расторгнутыми, если заключение договора перестрахования и признание в составе расходов начисленных страховых взносов по рискам, переданным в перестрахование, по этим договорам производилось в предшествующем отчетном периоде (из строки 160 отчета о прибылях и убытках).</w:t>
      </w:r>
    </w:p>
    <w:p w:rsidR="00117DFA" w:rsidRDefault="00117DFA">
      <w:pPr>
        <w:pStyle w:val="newncpi"/>
      </w:pPr>
      <w:r>
        <w:t>Коэффициент инвестиционного дохода без учета доли перестраховщика (К</w:t>
      </w:r>
      <w:r>
        <w:rPr>
          <w:vertAlign w:val="subscript"/>
        </w:rPr>
        <w:t>ид2</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2400635" cy="447737"/>
                  <wp:effectExtent l="0" t="0" r="0" b="9525"/>
                  <wp:docPr id="8" name="Рисунок 8" descr="C:\NCPI_CLIENT\EKBD\Texts\w21428993.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w21428993.files\08000008wmz.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400635" cy="447737"/>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(14)</w:t>
            </w:r>
          </w:p>
        </w:tc>
      </w:tr>
    </w:tbl>
    <w:p w:rsidR="00117DFA" w:rsidRDefault="00117DFA">
      <w:pPr>
        <w:pStyle w:val="newncpi"/>
      </w:pPr>
      <w:r>
        <w:t> </w:t>
      </w:r>
    </w:p>
    <w:p w:rsidR="00117DFA" w:rsidRDefault="00117DFA">
      <w:pPr>
        <w:pStyle w:val="newncpi0"/>
      </w:pPr>
      <w:r>
        <w:t>где    Ди – доходы по инвестиционной деятельности, за исключением балансовой стоимости финансовых активов, списываемой при прекращении признания этих активов (сумма строк 182, 183 и сумма из строки 184 отчета о прибылях и убытках);</w:t>
      </w:r>
    </w:p>
    <w:p w:rsidR="00117DFA" w:rsidRDefault="00117DFA">
      <w:pPr>
        <w:pStyle w:val="newncpi"/>
      </w:pPr>
      <w:r>
        <w:t>Ри – расходы по инвестиционной деятельности, за исключением балансовой стоимости финансовых активов, списываемой при прекращении признания этих активов (из строки 192 отчета о прибылях и убытках);</w:t>
      </w:r>
    </w:p>
    <w:p w:rsidR="00117DFA" w:rsidRDefault="00117DFA">
      <w:pPr>
        <w:pStyle w:val="newncpi"/>
      </w:pPr>
      <w:r>
        <w:t>Дк – доходы, возникающие при пересчете выраженной в иностранной валюте стоимости финансового инструмента (курсовые разницы) (строка 201 отчета о прибылях и убытках);</w:t>
      </w:r>
    </w:p>
    <w:p w:rsidR="00117DFA" w:rsidRDefault="00117DFA">
      <w:pPr>
        <w:pStyle w:val="newncpi"/>
      </w:pPr>
      <w:r>
        <w:t>Рк – расходы, возникающие при пересчете выраженной в иностранной валюте стоимости финансового инструмента (курсовые разницы) (строка 212 отчета о прибылях и убытках);</w:t>
      </w:r>
    </w:p>
    <w:p w:rsidR="00117DFA" w:rsidRDefault="00117DFA">
      <w:pPr>
        <w:pStyle w:val="newncpi"/>
      </w:pPr>
      <w:r>
        <w:lastRenderedPageBreak/>
        <w:t>Свзн</w:t>
      </w:r>
      <w:r>
        <w:rPr>
          <w:vertAlign w:val="subscript"/>
        </w:rPr>
        <w:t>брутто</w:t>
      </w:r>
      <w:r>
        <w:t> – сумма страховых взносов (страховых премий) без учета перестрахования, брутто (строка 070 отчета о прибылях и убытках);</w:t>
      </w:r>
    </w:p>
    <w:p w:rsidR="00117DFA" w:rsidRDefault="00117DFA">
      <w:pPr>
        <w:pStyle w:val="newncpi"/>
      </w:pPr>
      <w:r>
        <w:rPr>
          <w:rStyle w:val="onesymbol"/>
        </w:rPr>
        <w:t></w:t>
      </w:r>
      <w:r>
        <w:t>РНП</w:t>
      </w:r>
      <w:r>
        <w:rPr>
          <w:vertAlign w:val="subscript"/>
        </w:rPr>
        <w:t xml:space="preserve">брутто </w:t>
      </w:r>
      <w:r>
        <w:t>– изменение резерва незаработанной премии без учета перестрахования, брутто (строка 080 отчета о прибылях и убытках);</w:t>
      </w:r>
    </w:p>
    <w:p w:rsidR="00117DFA" w:rsidRDefault="00117DFA">
      <w:pPr>
        <w:pStyle w:val="newncpi"/>
      </w:pPr>
      <w:r>
        <w:t>Дз – 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w:t>
      </w:r>
    </w:p>
    <w:p w:rsidR="00117DFA" w:rsidRDefault="00117DFA">
      <w:pPr>
        <w:pStyle w:val="point"/>
      </w:pPr>
      <w:r>
        <w:t>18. Норматив, характеризующий эффективность финансово-хозяйственной деятельности страховых организаций, осуществляющих виды страхования, относящиеся к страхованию жизни, отражает эффективность использования активов страховой организации и определяет уровень рентабельности финансово-хозяйственной деятельности.</w:t>
      </w:r>
    </w:p>
    <w:p w:rsidR="00117DFA" w:rsidRDefault="00117DFA">
      <w:pPr>
        <w:pStyle w:val="newncpi"/>
      </w:pPr>
      <w:r>
        <w:t>Норматив, характеризующий эффективность финансово-хозяйственной деятельности, определяется на основании показателя рентабельности активов (Р</w:t>
      </w:r>
      <w:r>
        <w:rPr>
          <w:vertAlign w:val="subscript"/>
        </w:rPr>
        <w:t>а</w:t>
      </w:r>
      <w:r>
        <w:t>), который рассчитывается как отношение прибыли к активам страховой организации по следующей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990738" cy="400106"/>
                  <wp:effectExtent l="0" t="0" r="0" b="0"/>
                  <wp:docPr id="9" name="Рисунок 9" descr="C:\NCPI_CLIENT\EKBD\Texts\w21428993.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EKBD\Texts\w21428993.files\08000009wmz.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90738" cy="400106"/>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(15)</w:t>
            </w:r>
          </w:p>
        </w:tc>
      </w:tr>
    </w:tbl>
    <w:p w:rsidR="00117DFA" w:rsidRDefault="00117DFA">
      <w:pPr>
        <w:pStyle w:val="newncpi"/>
      </w:pPr>
      <w:r>
        <w:t> </w:t>
      </w:r>
    </w:p>
    <w:p w:rsidR="00117DFA" w:rsidRDefault="00117DFA">
      <w:pPr>
        <w:pStyle w:val="newncpi0"/>
      </w:pPr>
      <w:r>
        <w:t>где    П – прибыль (убыток) до налогообложения (строка 240 отчета о прибылях и убытках);</w:t>
      </w:r>
    </w:p>
    <w:p w:rsidR="00117DFA" w:rsidRDefault="00117DFA">
      <w:pPr>
        <w:pStyle w:val="newncpi"/>
      </w:pPr>
      <w:r>
        <w:t>П</w:t>
      </w:r>
      <w:r>
        <w:rPr>
          <w:vertAlign w:val="subscript"/>
        </w:rPr>
        <w:t>ид</w:t>
      </w:r>
      <w:r>
        <w:t> – прибыль, полученная от осуществления инвестиций посредством вложения средств математических резервов и их размещения и направленная на формирование резерва дополнительных выплат (сумма из строк 183, 184 отчета о прибылях и убытках);</w:t>
      </w:r>
    </w:p>
    <w:p w:rsidR="00117DFA" w:rsidRDefault="00117DFA">
      <w:pPr>
        <w:pStyle w:val="newncpi"/>
      </w:pPr>
      <w:r>
        <w:t>А – активы (строка 300 бухгалтерского баланса).</w:t>
      </w:r>
    </w:p>
    <w:p w:rsidR="00117DFA" w:rsidRDefault="00117DFA">
      <w:pPr>
        <w:pStyle w:val="newncpi"/>
      </w:pPr>
      <w:r>
        <w:t>Минимально допустимое значение Р</w:t>
      </w:r>
      <w:r>
        <w:rPr>
          <w:vertAlign w:val="subscript"/>
        </w:rPr>
        <w:t>а</w:t>
      </w:r>
      <w:r>
        <w:t xml:space="preserve"> устанавливается в размере 0.</w:t>
      </w:r>
    </w:p>
    <w:p w:rsidR="00117DFA" w:rsidRDefault="00117DFA">
      <w:pPr>
        <w:pStyle w:val="chapter"/>
      </w:pPr>
      <w:r>
        <w:t>ГЛАВА 7</w:t>
      </w:r>
      <w:r>
        <w:br/>
        <w:t>НОРМАТИВ ПОКРЫТИЯ СТРАХОВЫХ РЕЗЕРВОВ</w:t>
      </w:r>
    </w:p>
    <w:p w:rsidR="00117DFA" w:rsidRDefault="00117DFA">
      <w:pPr>
        <w:pStyle w:val="point"/>
      </w:pPr>
      <w:r>
        <w:t>19. Норматив покрытия страховых резервов отражает величину оборотного капитала страховой организации, способного покрыть свои обязательства, в объеме страховых резервов.</w:t>
      </w:r>
    </w:p>
    <w:p w:rsidR="00117DFA" w:rsidRDefault="00117DFA">
      <w:pPr>
        <w:pStyle w:val="newncpi"/>
      </w:pPr>
      <w:r>
        <w:t>Норматив покрытия страховых резервов определяется как отношение стоимости краткосрочных активов и отдельных долгосрочных финансовых вложений к страховым резервам, образованным на отчетную дату.</w:t>
      </w:r>
    </w:p>
    <w:p w:rsidR="00117DFA" w:rsidRDefault="00117DFA">
      <w:pPr>
        <w:pStyle w:val="point"/>
      </w:pPr>
      <w:r>
        <w:t>20. Норматив покрытия страховых резервов (П</w:t>
      </w:r>
      <w:r>
        <w:rPr>
          <w:vertAlign w:val="subscript"/>
        </w:rPr>
        <w:t>ср</w:t>
      </w:r>
      <w:r>
        <w:t>) рассчитывается по формуле</w:t>
      </w:r>
    </w:p>
    <w:p w:rsidR="00117DFA" w:rsidRDefault="00117DFA">
      <w:pPr>
        <w:pStyle w:val="newncpi"/>
      </w:pPr>
      <w:r>
        <w:t> </w:t>
      </w:r>
    </w:p>
    <w:tbl>
      <w:tblPr>
        <w:tblW w:w="5000" w:type="pct"/>
        <w:tblCellMar>
          <w:left w:w="0" w:type="dxa"/>
          <w:right w:w="0" w:type="dxa"/>
        </w:tblCellMar>
        <w:tblLook w:val="04A0" w:firstRow="1" w:lastRow="0" w:firstColumn="1" w:lastColumn="0" w:noHBand="0" w:noVBand="1"/>
      </w:tblPr>
      <w:tblGrid>
        <w:gridCol w:w="8804"/>
        <w:gridCol w:w="582"/>
      </w:tblGrid>
      <w:tr w:rsidR="00117DFA">
        <w:trPr>
          <w:trHeight w:val="240"/>
        </w:trPr>
        <w:tc>
          <w:tcPr>
            <w:tcW w:w="4690" w:type="pct"/>
            <w:tcMar>
              <w:top w:w="0" w:type="dxa"/>
              <w:left w:w="6" w:type="dxa"/>
              <w:bottom w:w="0" w:type="dxa"/>
              <w:right w:w="6" w:type="dxa"/>
            </w:tcMar>
            <w:hideMark/>
          </w:tcPr>
          <w:p w:rsidR="00117DFA" w:rsidRDefault="00117DFA">
            <w:pPr>
              <w:pStyle w:val="newncpi0"/>
              <w:jc w:val="center"/>
            </w:pPr>
            <w:r>
              <w:rPr>
                <w:noProof/>
              </w:rPr>
              <w:drawing>
                <wp:inline distT="0" distB="0" distL="0" distR="0">
                  <wp:extent cx="2172003" cy="476316"/>
                  <wp:effectExtent l="0" t="0" r="0" b="0"/>
                  <wp:docPr id="10" name="Рисунок 10" descr="C:\NCPI_CLIENT\EKBD\Texts\w21428993.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EKBD\Texts\w21428993.files\0800000Awmz.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172003" cy="476316"/>
                          </a:xfrm>
                          <a:prstGeom prst="rect">
                            <a:avLst/>
                          </a:prstGeom>
                          <a:noFill/>
                          <a:ln>
                            <a:noFill/>
                          </a:ln>
                        </pic:spPr>
                      </pic:pic>
                    </a:graphicData>
                  </a:graphic>
                </wp:inline>
              </w:drawing>
            </w:r>
          </w:p>
        </w:tc>
        <w:tc>
          <w:tcPr>
            <w:tcW w:w="310" w:type="pct"/>
            <w:tcMar>
              <w:top w:w="0" w:type="dxa"/>
              <w:left w:w="6" w:type="dxa"/>
              <w:bottom w:w="0" w:type="dxa"/>
              <w:right w:w="6" w:type="dxa"/>
            </w:tcMar>
            <w:vAlign w:val="center"/>
            <w:hideMark/>
          </w:tcPr>
          <w:p w:rsidR="00117DFA" w:rsidRDefault="00117DFA">
            <w:pPr>
              <w:pStyle w:val="newncpi0"/>
              <w:jc w:val="right"/>
            </w:pPr>
            <w:r>
              <w:t>(16)</w:t>
            </w:r>
          </w:p>
        </w:tc>
      </w:tr>
    </w:tbl>
    <w:p w:rsidR="00117DFA" w:rsidRDefault="00117DFA">
      <w:pPr>
        <w:pStyle w:val="newncpi"/>
      </w:pPr>
      <w:r>
        <w:t> </w:t>
      </w:r>
    </w:p>
    <w:p w:rsidR="00117DFA" w:rsidRDefault="00117DFA">
      <w:pPr>
        <w:pStyle w:val="newncpi0"/>
      </w:pPr>
      <w:r>
        <w:t>где   ДС – денежные средства и эквиваленты денежных средств (строка 270 бухгалтерского баланса);</w:t>
      </w:r>
    </w:p>
    <w:p w:rsidR="00117DFA" w:rsidRDefault="00117DFA">
      <w:pPr>
        <w:pStyle w:val="newncpi"/>
      </w:pPr>
      <w:r>
        <w:t>ДЗ</w:t>
      </w:r>
      <w:r>
        <w:rPr>
          <w:vertAlign w:val="subscript"/>
        </w:rPr>
        <w:t>кр</w:t>
      </w:r>
      <w:r>
        <w:t> – краткосрочная дебиторская задолженность (строка 250 бухгалтерского баланса);</w:t>
      </w:r>
    </w:p>
    <w:p w:rsidR="00117DFA" w:rsidRDefault="00117DFA">
      <w:pPr>
        <w:pStyle w:val="newncpi"/>
      </w:pPr>
      <w:r>
        <w:t>ФВ</w:t>
      </w:r>
      <w:r>
        <w:rPr>
          <w:vertAlign w:val="subscript"/>
        </w:rPr>
        <w:t>кр</w:t>
      </w:r>
      <w:r>
        <w:t> – краткосрочные финансовые вложения (строка 260 бухгалтерского баланса);</w:t>
      </w:r>
    </w:p>
    <w:p w:rsidR="00117DFA" w:rsidRDefault="00117DFA">
      <w:pPr>
        <w:pStyle w:val="newncpi"/>
      </w:pPr>
      <w:r>
        <w:t>ФВ</w:t>
      </w:r>
      <w:r>
        <w:rPr>
          <w:vertAlign w:val="subscript"/>
        </w:rPr>
        <w:t>д</w:t>
      </w:r>
      <w:r>
        <w:t> – долгосрочные финансовые вложения, кроме вложений в уставные фонды других организаций (из строки 150 бухгалтерского баланса);</w:t>
      </w:r>
    </w:p>
    <w:p w:rsidR="00117DFA" w:rsidRDefault="00117DFA">
      <w:pPr>
        <w:pStyle w:val="newncpi"/>
      </w:pPr>
      <w:r>
        <w:t>Ср – объем резервов по видам страхования, относящимся к страхованию жизни (строка 500 бухгалтерского баланса);</w:t>
      </w:r>
    </w:p>
    <w:p w:rsidR="00117DFA" w:rsidRDefault="00117DFA">
      <w:pPr>
        <w:pStyle w:val="newncpi"/>
      </w:pPr>
      <w:r>
        <w:lastRenderedPageBreak/>
        <w:t>ФСГ – остатки фондов предупредительных (превентивных) мероприятий по добровольному страхованию жизни и медицинских расходов, гарантийных фондов по видам страхования, относящимся к страхованию жизни (сумма из строк 505, 506 бухгалтерского баланса).</w:t>
      </w:r>
    </w:p>
    <w:p w:rsidR="00117DFA" w:rsidRDefault="00117DFA">
      <w:pPr>
        <w:pStyle w:val="newncpi"/>
      </w:pPr>
      <w:r>
        <w:t>Минимально допустимое значение норматива покрытия страховых резервов устанавливается в размере 1,0.</w:t>
      </w:r>
    </w:p>
    <w:p w:rsidR="00117DFA" w:rsidRDefault="00117DFA">
      <w:pPr>
        <w:pStyle w:val="chapter"/>
      </w:pPr>
      <w:r>
        <w:t>ГЛАВА 8</w:t>
      </w:r>
      <w:r>
        <w:br/>
        <w:t>ОЦЕНКА ВЫПОЛНЕНИЯ СТРАХОВЫМИ ОРГАНИЗАЦИЯМИ НОРМАТИВОВ БЕЗОПАСНОГО ФУНКЦИОНИРОВАНИЯ</w:t>
      </w:r>
    </w:p>
    <w:p w:rsidR="00117DFA" w:rsidRDefault="00117DFA">
      <w:pPr>
        <w:pStyle w:val="point"/>
      </w:pPr>
      <w:r>
        <w:t>21. Нормативы безопасного функционирования для страховых организаций, рассчитанные в соответствии с настоящей Инструкцией, отражаются в расчете нормативов безопасного функционирования по форме согласно приложению.</w:t>
      </w:r>
    </w:p>
    <w:p w:rsidR="00117DFA" w:rsidRDefault="00117DFA">
      <w:pPr>
        <w:pStyle w:val="point"/>
      </w:pPr>
      <w:r>
        <w:t>22. Оценка выполнения страховыми организациями нормативов безопасного функционирования осуществляется страховыми организациями, Министерством финансов на основании отчетности, представляемой страховыми организациями в установленном законодательством порядке в Министерство финансов, а также в ходе контрольной (надзорной) деятельности.</w:t>
      </w:r>
    </w:p>
    <w:p w:rsidR="00117DFA" w:rsidRDefault="00117DFA">
      <w:pPr>
        <w:pStyle w:val="point"/>
      </w:pPr>
      <w:r>
        <w:t>23. Оценка выполнения и анализ соблюдения страховыми организациями нормативов безопасного функционирования осуществляется в динамике за ряд периодов для выявления тенденций в изменении финансового состояния страховой организации.</w:t>
      </w:r>
    </w:p>
    <w:p w:rsidR="00117DFA" w:rsidRDefault="00117DFA">
      <w:pPr>
        <w:pStyle w:val="newncpi"/>
      </w:pPr>
      <w:r>
        <w:t>Результаты проведенного анализа применяются для выявления факторов, оказывающих влияние на финансовое состояние, подготовки заключений о финансовом состоянии и устойчивости страховой организации, а также для принятия соответствующих управленческих решений.</w:t>
      </w:r>
    </w:p>
    <w:p w:rsidR="00117DFA" w:rsidRDefault="00117DFA">
      <w:pPr>
        <w:pStyle w:val="newncpi"/>
      </w:pPr>
      <w:r>
        <w:t> </w:t>
      </w:r>
    </w:p>
    <w:p w:rsidR="00117DFA" w:rsidRDefault="00117DFA">
      <w:pPr>
        <w:rPr>
          <w:rFonts w:eastAsia="Times New Roman"/>
        </w:rPr>
        <w:sectPr w:rsidR="00117DFA" w:rsidSect="00117DFA">
          <w:headerReference w:type="even" r:id="rId16"/>
          <w:headerReference w:type="default" r:id="rId17"/>
          <w:footerReference w:type="even" r:id="rId18"/>
          <w:footerReference w:type="default" r:id="rId19"/>
          <w:headerReference w:type="first" r:id="rId20"/>
          <w:footerReference w:type="first" r:id="rId21"/>
          <w:pgSz w:w="11906" w:h="16838"/>
          <w:pgMar w:top="1134" w:right="1120" w:bottom="1134" w:left="1400" w:header="280" w:footer="180" w:gutter="0"/>
          <w:cols w:space="708"/>
          <w:titlePg/>
          <w:docGrid w:linePitch="360"/>
        </w:sectPr>
      </w:pPr>
    </w:p>
    <w:p w:rsidR="00117DFA" w:rsidRDefault="00117DF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3"/>
        <w:gridCol w:w="2702"/>
      </w:tblGrid>
      <w:tr w:rsidR="00117DFA">
        <w:tc>
          <w:tcPr>
            <w:tcW w:w="3556" w:type="pct"/>
            <w:tcMar>
              <w:top w:w="0" w:type="dxa"/>
              <w:left w:w="6" w:type="dxa"/>
              <w:bottom w:w="0" w:type="dxa"/>
              <w:right w:w="6" w:type="dxa"/>
            </w:tcMar>
            <w:hideMark/>
          </w:tcPr>
          <w:p w:rsidR="00117DFA" w:rsidRDefault="00117DFA">
            <w:pPr>
              <w:pStyle w:val="newncpi"/>
            </w:pPr>
            <w:r>
              <w:t> </w:t>
            </w:r>
          </w:p>
        </w:tc>
        <w:tc>
          <w:tcPr>
            <w:tcW w:w="1444" w:type="pct"/>
            <w:tcMar>
              <w:top w:w="0" w:type="dxa"/>
              <w:left w:w="6" w:type="dxa"/>
              <w:bottom w:w="0" w:type="dxa"/>
              <w:right w:w="6" w:type="dxa"/>
            </w:tcMar>
            <w:hideMark/>
          </w:tcPr>
          <w:p w:rsidR="00117DFA" w:rsidRDefault="00117DFA">
            <w:pPr>
              <w:pStyle w:val="append1"/>
            </w:pPr>
            <w:r>
              <w:t>Приложение</w:t>
            </w:r>
          </w:p>
          <w:p w:rsidR="00117DFA" w:rsidRDefault="00117DFA">
            <w:pPr>
              <w:pStyle w:val="append"/>
            </w:pPr>
            <w:r>
              <w:t>к Инструкции о порядке</w:t>
            </w:r>
            <w:r>
              <w:br/>
              <w:t xml:space="preserve">расчета, применения </w:t>
            </w:r>
            <w:r>
              <w:br/>
              <w:t>и оценки выполнения</w:t>
            </w:r>
            <w:r>
              <w:br/>
              <w:t>нормативов безопасного</w:t>
            </w:r>
            <w:r>
              <w:br/>
              <w:t xml:space="preserve">функционирования </w:t>
            </w:r>
            <w:r>
              <w:br/>
              <w:t>для страховых организаций</w:t>
            </w:r>
            <w:r>
              <w:br/>
              <w:t>(в редакции постановления</w:t>
            </w:r>
            <w:r>
              <w:br/>
              <w:t>Министерства финансов</w:t>
            </w:r>
            <w:r>
              <w:br/>
              <w:t>Республики Беларусь</w:t>
            </w:r>
            <w:r>
              <w:br/>
              <w:t xml:space="preserve">19.12.2019 № 77) </w:t>
            </w:r>
          </w:p>
        </w:tc>
      </w:tr>
    </w:tbl>
    <w:p w:rsidR="00117DFA" w:rsidRDefault="00117DFA">
      <w:pPr>
        <w:pStyle w:val="newncpi"/>
      </w:pPr>
      <w:r>
        <w:t> </w:t>
      </w:r>
    </w:p>
    <w:p w:rsidR="00117DFA" w:rsidRDefault="00117DFA">
      <w:pPr>
        <w:pStyle w:val="onestring"/>
      </w:pPr>
      <w:r>
        <w:t>Форма</w:t>
      </w:r>
    </w:p>
    <w:p w:rsidR="00117DFA" w:rsidRDefault="00117DFA">
      <w:pPr>
        <w:pStyle w:val="titlep"/>
        <w:spacing w:after="0"/>
      </w:pPr>
      <w:r>
        <w:t>РАСЧЕТ</w:t>
      </w:r>
      <w:r>
        <w:br/>
        <w:t>нормативов безопасного функционирования</w:t>
      </w:r>
    </w:p>
    <w:p w:rsidR="00117DFA" w:rsidRDefault="00117DFA">
      <w:pPr>
        <w:pStyle w:val="newncpi0"/>
        <w:jc w:val="center"/>
      </w:pPr>
      <w:r>
        <w:t>______________________________________</w:t>
      </w:r>
    </w:p>
    <w:p w:rsidR="00117DFA" w:rsidRDefault="00117DFA">
      <w:pPr>
        <w:pStyle w:val="undline"/>
        <w:jc w:val="center"/>
      </w:pPr>
      <w:r>
        <w:t>(наименование страховой организации)</w:t>
      </w:r>
    </w:p>
    <w:p w:rsidR="00117DFA" w:rsidRDefault="00117DFA">
      <w:pPr>
        <w:pStyle w:val="newncpi0"/>
        <w:jc w:val="center"/>
      </w:pPr>
      <w:r>
        <w:t>за _____________________ 20___ года</w:t>
      </w:r>
    </w:p>
    <w:p w:rsidR="00117DFA" w:rsidRDefault="00117DF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637"/>
        <w:gridCol w:w="708"/>
        <w:gridCol w:w="1000"/>
      </w:tblGrid>
      <w:tr w:rsidR="00117DFA">
        <w:trPr>
          <w:trHeight w:val="240"/>
        </w:trPr>
        <w:tc>
          <w:tcPr>
            <w:tcW w:w="4086" w:type="pct"/>
            <w:tcBorders>
              <w:bottom w:val="single" w:sz="4" w:space="0" w:color="auto"/>
              <w:right w:val="single" w:sz="4" w:space="0" w:color="auto"/>
            </w:tcBorders>
            <w:tcMar>
              <w:top w:w="0" w:type="dxa"/>
              <w:left w:w="6" w:type="dxa"/>
              <w:bottom w:w="0" w:type="dxa"/>
              <w:right w:w="6" w:type="dxa"/>
            </w:tcMar>
            <w:vAlign w:val="center"/>
            <w:hideMark/>
          </w:tcPr>
          <w:p w:rsidR="00117DFA" w:rsidRDefault="00117DFA">
            <w:pPr>
              <w:pStyle w:val="table10"/>
              <w:jc w:val="center"/>
            </w:pPr>
            <w:r>
              <w:t>Наименование показателя</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DFA" w:rsidRDefault="00117DFA">
            <w:pPr>
              <w:pStyle w:val="table10"/>
              <w:jc w:val="center"/>
            </w:pPr>
            <w:r>
              <w:t>Код строки</w:t>
            </w:r>
          </w:p>
        </w:tc>
        <w:tc>
          <w:tcPr>
            <w:tcW w:w="535" w:type="pct"/>
            <w:tcBorders>
              <w:left w:val="single" w:sz="4" w:space="0" w:color="auto"/>
              <w:bottom w:val="single" w:sz="4" w:space="0" w:color="auto"/>
            </w:tcBorders>
            <w:tcMar>
              <w:top w:w="0" w:type="dxa"/>
              <w:left w:w="6" w:type="dxa"/>
              <w:bottom w:w="0" w:type="dxa"/>
              <w:right w:w="6" w:type="dxa"/>
            </w:tcMar>
            <w:vAlign w:val="center"/>
            <w:hideMark/>
          </w:tcPr>
          <w:p w:rsidR="00117DFA" w:rsidRDefault="00117DFA">
            <w:pPr>
              <w:pStyle w:val="table10"/>
              <w:jc w:val="center"/>
            </w:pPr>
            <w:r>
              <w:t>Величина</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Расходы на ведение дела (строка 150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Комиссионное вознаграждение и тантьемы по рискам, переданным в перестрахование (строка 155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Сумма полученного (подлежащего получению) комиссионного вознаграждения при возврате страхового возмещения (соответствующей доли страхового возмещения) по обязательному страхованию гражданской ответственности владельцев транспортных средств страховой организацией (Белорусским бюро по транспортному страхованию) другой страховой организации (Белорусскому бюро по транспортному страхованию), полностью возместившей вред потерпевшему (из строки 160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Сумма полученного (подлежащего получению) комиссионного вознаграждения по договорам сострахования (из строки 160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Отчисления в фонды предупредительных (превентивных) мероприятий, гарантийные фонды и иные фонды, образованные в соответствии с законодательством (сумма строк 130 и 140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Сумма премии страховым агентам, осуществляющим от имени страховой организации посредническую деятельность по страхованию на основании гражданско-правового договора (из строки 165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Страховые взносы (страховые премии) с учетом перестрахования, нетто (строка 074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Изменение резерва незаработанной премии с учетом перестрахования, нетто (строка 082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8</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Списанная непогашенная дебиторская задолженность страхователей (перестрахователей) при неисполнении ими обязательств по уплате страховых взносов, начисленных в предшествующем отчетном периоде (из строки 165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9</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Списанная непогашенная кредиторская задолженность перед перестраховщиком по договору перестрахования в случае признания договора перестрахования досрочно прекращенным либо расторгнутым, а также в случае признания перестрахованных договоров страхования досрочно прекращенными либо расторгнутыми, если заключение договора перестрахования и признание в составе расходов начисленных страховых взносов по рискам, переданным в перестрахование, по этим договорам производилось в предшествующем отчетном периоде (из строки 160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Страховые взносы (страховые премии), брутто (строка 070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11</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Изменение резерва незаработанной премии, брутто (строка 080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lastRenderedPageBreak/>
              <w:t>Оплаченные убытки (страховые выплаты) с учетом перестрахования, нетто (строка 092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Изменение резервов убытков (страховых выплат) с учетом перестрахования, нетто (строка 097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14</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Сумма поступлений, связанных с реализацией перешедшего к страховой организации в соответствии с законодательством права требования страхователя (выгодоприобретателя) к лицу, ответственному за убытки, возмещенные в результате страхования (из строки 160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Оплаченные убытки (страховые выплаты), брутто (строка 090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Изменение резервов убытков (страховых выплат), брутто (строка 095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Собственный капитал страховой организации,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18</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Объем страховых резервов, нетто (сумма строк с 500 по 504 минус строка 240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19</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Денежные средства и эквиваленты денежных средств (строка 270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Краткосрочная дебиторская задолженность (строка 250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21</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Краткосрочные финансовые вложения (строка 260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Долгосрочные финансовые вложения, кроме вложений в уставные фонды других организаций (из строки 150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Краткосрочные обязательства (строка 690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24</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Объем страховых резервов, нетто (сумма строк с 501 по 504 минус сумма строк с 242 по 244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Остатки фондов предупредительных (превентивных) мероприятий, гарантийных фондов по видам обязательного страхования и добровольному страхованию медицинских расходов и иных фондов, образованных в соответствии с законодательством (сумма из строк 505, 506, 507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Доходы по инвестиционной деятельности, за исключением балансовой стоимости финансовых активов, списываемой при прекращении признания этих активов (сумма строк 182, 183 и сумма из строки 184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Расходы по инвестиционной деятельности, за исключением балансовой стоимости финансовых активов, списываемой при прекращении признания этих активов (из строки 192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28</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Доходы, возникающие при пересчете выраженной в иностранной валюте стоимости финансового инструмента (курсовые разницы) (строка 201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29</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Расходы, возникающие при пересчете выраженной в иностранной валюте стоимости финансового инструмента (курсовые разницы) (строка 212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Прибыль (убыток) до налогообложения (строка 240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31</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Прибыль, полученная от осуществления инвестиций посредством вложения средств математических резервов и их размещения и направленная на формирование резерва дополнительных выплат (сумма из строк 183, 184 отчета о прибылях и убытках),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Активы (строка 300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Остатки фондов предупредительных (превентивных) мероприятий по добровольному страхованию жизни и медицинских расходов, гарантийных фондов по видам страхования, относящимся к страхованию жизни (сумма из строк 505, 506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34</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Объем резервов по видам страхования, относящимся к страхованию жизни (строка 500 бухгалтерского баланса),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Резерв произошедших, но незаявленных убытков, на последнее число периода, предшествующего анализируемому,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Выплаты страхового возмещения за анализируемый период по страховым случаям, произошедшим до начала анализируемого периода, но заявленные в анализируемом периоде,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Резерв заявленных, но неурегулированных убытков, по состоянию на последнее число анализируемого периода по страховым случаям, произошедшим до начала анализируемого периода, но заявленным в анализируемом периоде,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38</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Резерв заявленных, но неурегулированных убытков, на последнее число периода, предшествующего анализируемому,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39</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lastRenderedPageBreak/>
              <w:t>Выплаты страхового возмещения за анализируемый период по страховым случаям, произошедшим и заявленным до начала анализируемого периода,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Резерв заявленных, но неурегулированных убытков, по состоянию на последнее число анализируемого периода по страховым случаям, произошедшим и заявленным до начала анализируемого периода, белорусских рублей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41</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Коэффициент затрат (расходов) с учетом доли перестраховщика (строка 1 – строка 2 – </w:t>
            </w:r>
            <w:r>
              <w:br/>
              <w:t>– строка 3 – строка 4 + строка 5 + строка 6) / (строка 7 + строка 8 – строка 9 + строка 10)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Коэффициент затрат (расходов) без учета доли перестраховщика (строка 1 – строка 3 – </w:t>
            </w:r>
            <w:r>
              <w:br/>
              <w:t>– строка 4 + строка 5 + строка 6) / (строка 11 + строка 12 – строка 9)</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Коэффициент убыточности с учетом доли перестраховщика (строка 13 – строка 14 – </w:t>
            </w:r>
            <w:r>
              <w:br/>
              <w:t>– строка 15) / (строка 7 + строка 8 – строка 9 + строка 10)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44</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Коэффициент убыточности без учета доли перестраховщика (строка 16 – строка 17 – </w:t>
            </w:r>
            <w:r>
              <w:br/>
              <w:t>– строка 15) / (строка 11 + строка 12 – строка 9)</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Норматив, характеризующий убыточность страховой деятельности, с учетом доли перестраховщика (строка 42 + строка 44)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Норматив, характеризующий убыточность страховой деятельности, без учета доли перестраховщика (строка 43 + строка 45)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Норматив достаточности собственного капитала (строка 18 / строка 19)</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48</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Норматив текущей ликвидности (строка 20 + строка 21 + строка 22 + строка 23) / </w:t>
            </w:r>
            <w:r>
              <w:br/>
              <w:t>/ (строка 24 + строка 25 + строка 26)</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49</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Коэффициент инвестиционного дохода с учетом доли перестраховщика (строка 27 – </w:t>
            </w:r>
            <w:r>
              <w:br/>
              <w:t>– строка 28 + строка 29 – строка 30) / (строка 7 + строка 8 – строка 9 + строка 10)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Коэффициент инвестиционного дохода без учета доли перестраховщика (строка 27 – </w:t>
            </w:r>
            <w:r>
              <w:br/>
              <w:t>– строка 28 + строка 29 – строка 30) / (строка 11 + строка 12 – строка 9)</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51</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Норматив, характеризующий эффективность финансово-хозяйственной деятельности, с учетом доли перестраховщика (строка 46 – строка 50)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Норматив, характеризующий эффективность финансово-хозяйственной деятельности, без учета доли перестраховщика (строка 47 – строка 51)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Рентабельность активов (строка 31 + строка 32) / строка 33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54</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Норматив покрытия страховых резервов (строка 20 + строка 21 + строка 22 + </w:t>
            </w:r>
            <w:r>
              <w:br/>
              <w:t>+ строка 23) / (строка 34 + строка 35)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bottom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Норматив достаточности резерва произошедших, но незаявленных убытков </w:t>
            </w:r>
            <w:r>
              <w:br/>
              <w:t>(строка 36 – строка 37 – строка 38)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r w:rsidR="00117DFA">
        <w:trPr>
          <w:trHeight w:val="240"/>
        </w:trPr>
        <w:tc>
          <w:tcPr>
            <w:tcW w:w="4086" w:type="pct"/>
            <w:tcBorders>
              <w:top w:val="single" w:sz="4" w:space="0" w:color="auto"/>
              <w:right w:val="single" w:sz="4" w:space="0" w:color="auto"/>
            </w:tcBorders>
            <w:tcMar>
              <w:top w:w="0" w:type="dxa"/>
              <w:left w:w="6" w:type="dxa"/>
              <w:bottom w:w="0" w:type="dxa"/>
              <w:right w:w="6" w:type="dxa"/>
            </w:tcMar>
            <w:hideMark/>
          </w:tcPr>
          <w:p w:rsidR="00117DFA" w:rsidRDefault="00117DFA">
            <w:pPr>
              <w:pStyle w:val="table10"/>
            </w:pPr>
            <w:r>
              <w:t xml:space="preserve">Норматив достаточности резерва заявленных, но неурегулированных убытков </w:t>
            </w:r>
            <w:r>
              <w:br/>
              <w:t>(строка 39 – строка 40 – строка 41)</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17DFA" w:rsidRDefault="00117DFA">
            <w:pPr>
              <w:pStyle w:val="table10"/>
              <w:jc w:val="center"/>
            </w:pPr>
            <w:r>
              <w:t>57</w:t>
            </w:r>
          </w:p>
        </w:tc>
        <w:tc>
          <w:tcPr>
            <w:tcW w:w="535" w:type="pct"/>
            <w:tcBorders>
              <w:top w:val="single" w:sz="4" w:space="0" w:color="auto"/>
              <w:left w:val="single" w:sz="4" w:space="0" w:color="auto"/>
            </w:tcBorders>
            <w:tcMar>
              <w:top w:w="0" w:type="dxa"/>
              <w:left w:w="6" w:type="dxa"/>
              <w:bottom w:w="0" w:type="dxa"/>
              <w:right w:w="6" w:type="dxa"/>
            </w:tcMar>
            <w:vAlign w:val="bottom"/>
            <w:hideMark/>
          </w:tcPr>
          <w:p w:rsidR="00117DFA" w:rsidRDefault="00117DFA">
            <w:pPr>
              <w:pStyle w:val="table10"/>
              <w:jc w:val="center"/>
            </w:pPr>
            <w:r>
              <w:t> </w:t>
            </w:r>
          </w:p>
        </w:tc>
      </w:tr>
    </w:tbl>
    <w:p w:rsidR="00117DFA" w:rsidRDefault="00117DFA">
      <w:pPr>
        <w:pStyle w:val="newncpi"/>
      </w:pPr>
      <w:r>
        <w:t> </w:t>
      </w:r>
    </w:p>
    <w:p w:rsidR="00117DFA" w:rsidRDefault="00117DFA">
      <w:pPr>
        <w:pStyle w:val="snoskiline"/>
      </w:pPr>
      <w:r>
        <w:t>______________________________</w:t>
      </w:r>
    </w:p>
    <w:p w:rsidR="00117DFA" w:rsidRDefault="00117DFA">
      <w:pPr>
        <w:pStyle w:val="snoski"/>
        <w:ind w:firstLine="567"/>
      </w:pPr>
      <w:r>
        <w:t>* Используются данные отчета о прибылях и убытках, составленного в соответствии с приложением 2 к Инструкции о порядке составления и представления бухгалтерской отчетности страховых организаций.</w:t>
      </w:r>
    </w:p>
    <w:p w:rsidR="00117DFA" w:rsidRDefault="00117DFA">
      <w:pPr>
        <w:pStyle w:val="snoski"/>
        <w:spacing w:after="240"/>
        <w:ind w:firstLine="567"/>
      </w:pPr>
      <w:r>
        <w:t>** Используются данные бухгалтерского баланса, составленного в соответствии с приложением 1 к Инструкции о порядке составления и представления бухгалтерской отчетности страховых организаций.</w:t>
      </w:r>
    </w:p>
    <w:tbl>
      <w:tblPr>
        <w:tblW w:w="5000" w:type="pct"/>
        <w:tblCellMar>
          <w:left w:w="0" w:type="dxa"/>
          <w:right w:w="0" w:type="dxa"/>
        </w:tblCellMar>
        <w:tblLook w:val="04A0" w:firstRow="1" w:lastRow="0" w:firstColumn="1" w:lastColumn="0" w:noHBand="0" w:noVBand="1"/>
      </w:tblPr>
      <w:tblGrid>
        <w:gridCol w:w="2215"/>
        <w:gridCol w:w="2820"/>
        <w:gridCol w:w="4320"/>
      </w:tblGrid>
      <w:tr w:rsidR="00117DFA">
        <w:trPr>
          <w:trHeight w:val="240"/>
        </w:trPr>
        <w:tc>
          <w:tcPr>
            <w:tcW w:w="1184" w:type="pct"/>
            <w:tcMar>
              <w:top w:w="0" w:type="dxa"/>
              <w:left w:w="6" w:type="dxa"/>
              <w:bottom w:w="0" w:type="dxa"/>
              <w:right w:w="6" w:type="dxa"/>
            </w:tcMar>
            <w:hideMark/>
          </w:tcPr>
          <w:p w:rsidR="00117DFA" w:rsidRDefault="00117DFA">
            <w:pPr>
              <w:pStyle w:val="newncpi0"/>
            </w:pPr>
            <w:r>
              <w:t xml:space="preserve">Руководитель </w:t>
            </w:r>
          </w:p>
        </w:tc>
        <w:tc>
          <w:tcPr>
            <w:tcW w:w="1507" w:type="pct"/>
            <w:tcMar>
              <w:top w:w="0" w:type="dxa"/>
              <w:left w:w="6" w:type="dxa"/>
              <w:bottom w:w="0" w:type="dxa"/>
              <w:right w:w="6" w:type="dxa"/>
            </w:tcMar>
            <w:hideMark/>
          </w:tcPr>
          <w:p w:rsidR="00117DFA" w:rsidRDefault="00117DFA">
            <w:pPr>
              <w:pStyle w:val="newncpi0"/>
            </w:pPr>
            <w:r>
              <w:t xml:space="preserve">_______________ </w:t>
            </w:r>
          </w:p>
        </w:tc>
        <w:tc>
          <w:tcPr>
            <w:tcW w:w="2309" w:type="pct"/>
            <w:tcMar>
              <w:top w:w="0" w:type="dxa"/>
              <w:left w:w="6" w:type="dxa"/>
              <w:bottom w:w="0" w:type="dxa"/>
              <w:right w:w="6" w:type="dxa"/>
            </w:tcMar>
            <w:hideMark/>
          </w:tcPr>
          <w:p w:rsidR="00117DFA" w:rsidRDefault="00117DFA">
            <w:pPr>
              <w:pStyle w:val="newncpi0"/>
              <w:jc w:val="right"/>
            </w:pPr>
            <w:r>
              <w:t>_______________________</w:t>
            </w:r>
          </w:p>
        </w:tc>
      </w:tr>
      <w:tr w:rsidR="00117DFA">
        <w:trPr>
          <w:trHeight w:val="240"/>
        </w:trPr>
        <w:tc>
          <w:tcPr>
            <w:tcW w:w="1184" w:type="pct"/>
            <w:tcMar>
              <w:top w:w="0" w:type="dxa"/>
              <w:left w:w="6" w:type="dxa"/>
              <w:bottom w:w="0" w:type="dxa"/>
              <w:right w:w="6" w:type="dxa"/>
            </w:tcMar>
            <w:hideMark/>
          </w:tcPr>
          <w:p w:rsidR="00117DFA" w:rsidRDefault="00117DFA">
            <w:pPr>
              <w:pStyle w:val="newncpi0"/>
            </w:pPr>
            <w:r>
              <w:t> </w:t>
            </w:r>
          </w:p>
        </w:tc>
        <w:tc>
          <w:tcPr>
            <w:tcW w:w="1507" w:type="pct"/>
            <w:tcMar>
              <w:top w:w="0" w:type="dxa"/>
              <w:left w:w="6" w:type="dxa"/>
              <w:bottom w:w="0" w:type="dxa"/>
              <w:right w:w="6" w:type="dxa"/>
            </w:tcMar>
            <w:hideMark/>
          </w:tcPr>
          <w:p w:rsidR="00117DFA" w:rsidRDefault="00117DFA">
            <w:pPr>
              <w:pStyle w:val="undline"/>
              <w:ind w:left="609"/>
            </w:pPr>
            <w:r>
              <w:t xml:space="preserve">(подпись) </w:t>
            </w:r>
          </w:p>
        </w:tc>
        <w:tc>
          <w:tcPr>
            <w:tcW w:w="2309" w:type="pct"/>
            <w:tcMar>
              <w:top w:w="0" w:type="dxa"/>
              <w:left w:w="6" w:type="dxa"/>
              <w:bottom w:w="0" w:type="dxa"/>
              <w:right w:w="6" w:type="dxa"/>
            </w:tcMar>
            <w:hideMark/>
          </w:tcPr>
          <w:p w:rsidR="00117DFA" w:rsidRDefault="00117DFA">
            <w:pPr>
              <w:pStyle w:val="undline"/>
              <w:ind w:right="431"/>
              <w:jc w:val="right"/>
            </w:pPr>
            <w:r>
              <w:t>(инициалы, фамилия)</w:t>
            </w:r>
          </w:p>
        </w:tc>
      </w:tr>
      <w:tr w:rsidR="00117DFA">
        <w:trPr>
          <w:trHeight w:val="240"/>
        </w:trPr>
        <w:tc>
          <w:tcPr>
            <w:tcW w:w="1184" w:type="pct"/>
            <w:tcMar>
              <w:top w:w="0" w:type="dxa"/>
              <w:left w:w="6" w:type="dxa"/>
              <w:bottom w:w="0" w:type="dxa"/>
              <w:right w:w="6" w:type="dxa"/>
            </w:tcMar>
            <w:hideMark/>
          </w:tcPr>
          <w:p w:rsidR="00117DFA" w:rsidRDefault="00117DFA">
            <w:pPr>
              <w:pStyle w:val="newncpi0"/>
            </w:pPr>
            <w:r>
              <w:t> </w:t>
            </w:r>
          </w:p>
        </w:tc>
        <w:tc>
          <w:tcPr>
            <w:tcW w:w="1507" w:type="pct"/>
            <w:tcMar>
              <w:top w:w="0" w:type="dxa"/>
              <w:left w:w="6" w:type="dxa"/>
              <w:bottom w:w="0" w:type="dxa"/>
              <w:right w:w="6" w:type="dxa"/>
            </w:tcMar>
            <w:hideMark/>
          </w:tcPr>
          <w:p w:rsidR="00117DFA" w:rsidRDefault="00117DFA">
            <w:pPr>
              <w:pStyle w:val="newncpi0"/>
            </w:pPr>
            <w:r>
              <w:t> </w:t>
            </w:r>
          </w:p>
        </w:tc>
        <w:tc>
          <w:tcPr>
            <w:tcW w:w="2309" w:type="pct"/>
            <w:tcMar>
              <w:top w:w="0" w:type="dxa"/>
              <w:left w:w="6" w:type="dxa"/>
              <w:bottom w:w="0" w:type="dxa"/>
              <w:right w:w="6" w:type="dxa"/>
            </w:tcMar>
            <w:hideMark/>
          </w:tcPr>
          <w:p w:rsidR="00117DFA" w:rsidRDefault="00117DFA">
            <w:pPr>
              <w:pStyle w:val="newncpi0"/>
              <w:jc w:val="right"/>
            </w:pPr>
            <w:r>
              <w:t> </w:t>
            </w:r>
          </w:p>
        </w:tc>
      </w:tr>
      <w:tr w:rsidR="00117DFA">
        <w:trPr>
          <w:trHeight w:val="240"/>
        </w:trPr>
        <w:tc>
          <w:tcPr>
            <w:tcW w:w="1184" w:type="pct"/>
            <w:tcMar>
              <w:top w:w="0" w:type="dxa"/>
              <w:left w:w="6" w:type="dxa"/>
              <w:bottom w:w="0" w:type="dxa"/>
              <w:right w:w="6" w:type="dxa"/>
            </w:tcMar>
            <w:hideMark/>
          </w:tcPr>
          <w:p w:rsidR="00117DFA" w:rsidRDefault="00117DFA">
            <w:pPr>
              <w:pStyle w:val="newncpi0"/>
            </w:pPr>
            <w:r>
              <w:t>Главный бухгалтер</w:t>
            </w:r>
          </w:p>
        </w:tc>
        <w:tc>
          <w:tcPr>
            <w:tcW w:w="1507" w:type="pct"/>
            <w:tcMar>
              <w:top w:w="0" w:type="dxa"/>
              <w:left w:w="6" w:type="dxa"/>
              <w:bottom w:w="0" w:type="dxa"/>
              <w:right w:w="6" w:type="dxa"/>
            </w:tcMar>
            <w:hideMark/>
          </w:tcPr>
          <w:p w:rsidR="00117DFA" w:rsidRDefault="00117DFA">
            <w:pPr>
              <w:pStyle w:val="newncpi0"/>
            </w:pPr>
            <w:r>
              <w:t xml:space="preserve">_______________ </w:t>
            </w:r>
          </w:p>
        </w:tc>
        <w:tc>
          <w:tcPr>
            <w:tcW w:w="2309" w:type="pct"/>
            <w:tcMar>
              <w:top w:w="0" w:type="dxa"/>
              <w:left w:w="6" w:type="dxa"/>
              <w:bottom w:w="0" w:type="dxa"/>
              <w:right w:w="6" w:type="dxa"/>
            </w:tcMar>
            <w:hideMark/>
          </w:tcPr>
          <w:p w:rsidR="00117DFA" w:rsidRDefault="00117DFA">
            <w:pPr>
              <w:pStyle w:val="newncpi0"/>
              <w:jc w:val="right"/>
            </w:pPr>
            <w:r>
              <w:t>_______________________</w:t>
            </w:r>
          </w:p>
        </w:tc>
      </w:tr>
      <w:tr w:rsidR="00117DFA">
        <w:trPr>
          <w:trHeight w:val="240"/>
        </w:trPr>
        <w:tc>
          <w:tcPr>
            <w:tcW w:w="1184" w:type="pct"/>
            <w:tcMar>
              <w:top w:w="0" w:type="dxa"/>
              <w:left w:w="6" w:type="dxa"/>
              <w:bottom w:w="0" w:type="dxa"/>
              <w:right w:w="6" w:type="dxa"/>
            </w:tcMar>
            <w:hideMark/>
          </w:tcPr>
          <w:p w:rsidR="00117DFA" w:rsidRDefault="00117DFA">
            <w:pPr>
              <w:pStyle w:val="newncpi0"/>
            </w:pPr>
            <w:r>
              <w:t> </w:t>
            </w:r>
          </w:p>
        </w:tc>
        <w:tc>
          <w:tcPr>
            <w:tcW w:w="1507" w:type="pct"/>
            <w:tcMar>
              <w:top w:w="0" w:type="dxa"/>
              <w:left w:w="6" w:type="dxa"/>
              <w:bottom w:w="0" w:type="dxa"/>
              <w:right w:w="6" w:type="dxa"/>
            </w:tcMar>
            <w:hideMark/>
          </w:tcPr>
          <w:p w:rsidR="00117DFA" w:rsidRDefault="00117DFA">
            <w:pPr>
              <w:pStyle w:val="undline"/>
              <w:ind w:left="609"/>
            </w:pPr>
            <w:r>
              <w:t xml:space="preserve">(подпись) </w:t>
            </w:r>
          </w:p>
        </w:tc>
        <w:tc>
          <w:tcPr>
            <w:tcW w:w="2309" w:type="pct"/>
            <w:tcMar>
              <w:top w:w="0" w:type="dxa"/>
              <w:left w:w="6" w:type="dxa"/>
              <w:bottom w:w="0" w:type="dxa"/>
              <w:right w:w="6" w:type="dxa"/>
            </w:tcMar>
            <w:hideMark/>
          </w:tcPr>
          <w:p w:rsidR="00117DFA" w:rsidRDefault="00117DFA">
            <w:pPr>
              <w:pStyle w:val="undline"/>
              <w:ind w:right="431"/>
              <w:jc w:val="right"/>
            </w:pPr>
            <w:r>
              <w:t>(инициалы, фамилия)</w:t>
            </w:r>
          </w:p>
        </w:tc>
      </w:tr>
    </w:tbl>
    <w:p w:rsidR="00117DFA" w:rsidRDefault="00117DFA">
      <w:pPr>
        <w:pStyle w:val="newncpi"/>
      </w:pPr>
      <w:r>
        <w:t> </w:t>
      </w:r>
    </w:p>
    <w:p w:rsidR="00117DFA" w:rsidRDefault="00117DFA">
      <w:pPr>
        <w:pStyle w:val="newncpi"/>
      </w:pPr>
      <w:r>
        <w:t> </w:t>
      </w:r>
    </w:p>
    <w:p w:rsidR="000472C3" w:rsidRDefault="000472C3"/>
    <w:sectPr w:rsidR="000472C3" w:rsidSect="00117DFA">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589" w:rsidRDefault="00872589" w:rsidP="00117DFA">
      <w:pPr>
        <w:spacing w:after="0" w:line="240" w:lineRule="auto"/>
      </w:pPr>
      <w:r>
        <w:separator/>
      </w:r>
    </w:p>
  </w:endnote>
  <w:endnote w:type="continuationSeparator" w:id="0">
    <w:p w:rsidR="00872589" w:rsidRDefault="00872589" w:rsidP="0011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A" w:rsidRDefault="00117D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A" w:rsidRDefault="00117D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117DFA" w:rsidTr="00117DFA">
      <w:tc>
        <w:tcPr>
          <w:tcW w:w="1800" w:type="dxa"/>
          <w:shd w:val="clear" w:color="auto" w:fill="auto"/>
          <w:vAlign w:val="center"/>
        </w:tcPr>
        <w:p w:rsidR="00117DFA" w:rsidRDefault="00117DFA">
          <w:pPr>
            <w:pStyle w:val="a5"/>
          </w:pPr>
          <w:r>
            <w:rPr>
              <w:noProof/>
            </w:rPr>
            <w:drawing>
              <wp:inline distT="0" distB="0" distL="0" distR="0">
                <wp:extent cx="1292352" cy="390144"/>
                <wp:effectExtent l="0" t="0" r="3175"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117DFA" w:rsidRDefault="00117DF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17DFA" w:rsidRDefault="00117DF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18.06.2020</w:t>
          </w:r>
        </w:p>
        <w:p w:rsidR="00117DFA" w:rsidRPr="00117DFA" w:rsidRDefault="00117DF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17DFA" w:rsidRDefault="00117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589" w:rsidRDefault="00872589" w:rsidP="00117DFA">
      <w:pPr>
        <w:spacing w:after="0" w:line="240" w:lineRule="auto"/>
      </w:pPr>
      <w:r>
        <w:separator/>
      </w:r>
    </w:p>
  </w:footnote>
  <w:footnote w:type="continuationSeparator" w:id="0">
    <w:p w:rsidR="00872589" w:rsidRDefault="00872589" w:rsidP="0011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A" w:rsidRDefault="00117DFA" w:rsidP="0042461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17DFA" w:rsidRDefault="00117D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A" w:rsidRPr="00117DFA" w:rsidRDefault="00117DFA" w:rsidP="00424612">
    <w:pPr>
      <w:pStyle w:val="a3"/>
      <w:framePr w:wrap="around" w:vAnchor="text" w:hAnchor="margin" w:xAlign="center" w:y="1"/>
      <w:rPr>
        <w:rStyle w:val="a7"/>
        <w:rFonts w:ascii="Times New Roman" w:hAnsi="Times New Roman" w:cs="Times New Roman"/>
        <w:sz w:val="24"/>
      </w:rPr>
    </w:pPr>
    <w:r w:rsidRPr="00117DFA">
      <w:rPr>
        <w:rStyle w:val="a7"/>
        <w:rFonts w:ascii="Times New Roman" w:hAnsi="Times New Roman" w:cs="Times New Roman"/>
        <w:sz w:val="24"/>
      </w:rPr>
      <w:fldChar w:fldCharType="begin"/>
    </w:r>
    <w:r w:rsidRPr="00117DFA">
      <w:rPr>
        <w:rStyle w:val="a7"/>
        <w:rFonts w:ascii="Times New Roman" w:hAnsi="Times New Roman" w:cs="Times New Roman"/>
        <w:sz w:val="24"/>
      </w:rPr>
      <w:instrText xml:space="preserve"> PAGE </w:instrText>
    </w:r>
    <w:r w:rsidRPr="00117DFA">
      <w:rPr>
        <w:rStyle w:val="a7"/>
        <w:rFonts w:ascii="Times New Roman" w:hAnsi="Times New Roman" w:cs="Times New Roman"/>
        <w:sz w:val="24"/>
      </w:rPr>
      <w:fldChar w:fldCharType="separate"/>
    </w:r>
    <w:r w:rsidRPr="00117DFA">
      <w:rPr>
        <w:rStyle w:val="a7"/>
        <w:rFonts w:ascii="Times New Roman" w:hAnsi="Times New Roman" w:cs="Times New Roman"/>
        <w:noProof/>
        <w:sz w:val="24"/>
      </w:rPr>
      <w:t>14</w:t>
    </w:r>
    <w:r w:rsidRPr="00117DFA">
      <w:rPr>
        <w:rStyle w:val="a7"/>
        <w:rFonts w:ascii="Times New Roman" w:hAnsi="Times New Roman" w:cs="Times New Roman"/>
        <w:sz w:val="24"/>
      </w:rPr>
      <w:fldChar w:fldCharType="end"/>
    </w:r>
  </w:p>
  <w:p w:rsidR="00117DFA" w:rsidRPr="00117DFA" w:rsidRDefault="00117DF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FA" w:rsidRDefault="00117D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FA"/>
    <w:rsid w:val="000472C3"/>
    <w:rsid w:val="00117DFA"/>
    <w:rsid w:val="005D4193"/>
    <w:rsid w:val="0087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5F76AB-28FA-4ACF-91D9-547734A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7DF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17DF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17DF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17DF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17DF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17D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17D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17DFA"/>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17DF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17DF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17DF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17DF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17DF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17DF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17DF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17DF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17D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17DF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17DF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117DFA"/>
    <w:rPr>
      <w:rFonts w:ascii="Times New Roman" w:hAnsi="Times New Roman" w:cs="Times New Roman" w:hint="default"/>
      <w:caps/>
    </w:rPr>
  </w:style>
  <w:style w:type="character" w:customStyle="1" w:styleId="promulgator">
    <w:name w:val="promulgator"/>
    <w:basedOn w:val="a0"/>
    <w:rsid w:val="00117DFA"/>
    <w:rPr>
      <w:rFonts w:ascii="Times New Roman" w:hAnsi="Times New Roman" w:cs="Times New Roman" w:hint="default"/>
      <w:caps/>
    </w:rPr>
  </w:style>
  <w:style w:type="character" w:customStyle="1" w:styleId="datepr">
    <w:name w:val="datepr"/>
    <w:basedOn w:val="a0"/>
    <w:rsid w:val="00117DFA"/>
    <w:rPr>
      <w:rFonts w:ascii="Times New Roman" w:hAnsi="Times New Roman" w:cs="Times New Roman" w:hint="default"/>
    </w:rPr>
  </w:style>
  <w:style w:type="character" w:customStyle="1" w:styleId="number">
    <w:name w:val="number"/>
    <w:basedOn w:val="a0"/>
    <w:rsid w:val="00117DFA"/>
    <w:rPr>
      <w:rFonts w:ascii="Times New Roman" w:hAnsi="Times New Roman" w:cs="Times New Roman" w:hint="default"/>
    </w:rPr>
  </w:style>
  <w:style w:type="character" w:customStyle="1" w:styleId="onesymbol">
    <w:name w:val="onesymbol"/>
    <w:basedOn w:val="a0"/>
    <w:rsid w:val="00117DFA"/>
    <w:rPr>
      <w:rFonts w:ascii="Symbol" w:hAnsi="Symbol" w:hint="default"/>
    </w:rPr>
  </w:style>
  <w:style w:type="character" w:customStyle="1" w:styleId="post">
    <w:name w:val="post"/>
    <w:basedOn w:val="a0"/>
    <w:rsid w:val="00117DFA"/>
    <w:rPr>
      <w:rFonts w:ascii="Times New Roman" w:hAnsi="Times New Roman" w:cs="Times New Roman" w:hint="default"/>
      <w:b/>
      <w:bCs/>
      <w:sz w:val="22"/>
      <w:szCs w:val="22"/>
    </w:rPr>
  </w:style>
  <w:style w:type="character" w:customStyle="1" w:styleId="pers">
    <w:name w:val="pers"/>
    <w:basedOn w:val="a0"/>
    <w:rsid w:val="00117DFA"/>
    <w:rPr>
      <w:rFonts w:ascii="Times New Roman" w:hAnsi="Times New Roman" w:cs="Times New Roman" w:hint="default"/>
      <w:b/>
      <w:bCs/>
      <w:sz w:val="22"/>
      <w:szCs w:val="22"/>
    </w:rPr>
  </w:style>
  <w:style w:type="paragraph" w:styleId="a3">
    <w:name w:val="header"/>
    <w:basedOn w:val="a"/>
    <w:link w:val="a4"/>
    <w:uiPriority w:val="99"/>
    <w:unhideWhenUsed/>
    <w:rsid w:val="00117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FA"/>
  </w:style>
  <w:style w:type="paragraph" w:styleId="a5">
    <w:name w:val="footer"/>
    <w:basedOn w:val="a"/>
    <w:link w:val="a6"/>
    <w:uiPriority w:val="99"/>
    <w:unhideWhenUsed/>
    <w:rsid w:val="00117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FA"/>
  </w:style>
  <w:style w:type="character" w:styleId="a7">
    <w:name w:val="page number"/>
    <w:basedOn w:val="a0"/>
    <w:uiPriority w:val="99"/>
    <w:semiHidden/>
    <w:unhideWhenUsed/>
    <w:rsid w:val="00117DFA"/>
  </w:style>
  <w:style w:type="table" w:styleId="a8">
    <w:name w:val="Table Grid"/>
    <w:basedOn w:val="a1"/>
    <w:uiPriority w:val="39"/>
    <w:rsid w:val="0011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NCPI_CLIENT\EKBD\Texts\w21428993.files\08000003wmz.png" TargetMode="External"/><Relationship Id="rId13" Type="http://schemas.openxmlformats.org/officeDocument/2006/relationships/image" Target="file:///C:\NCPI_CLIENT\EKBD\Texts\w21428993.files\08000008wmz.pn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file:///C:\NCPI_CLIENT\EKBD\Texts\w21428993.files\08000002wmz.png" TargetMode="External"/><Relationship Id="rId12" Type="http://schemas.openxmlformats.org/officeDocument/2006/relationships/image" Target="file:///C:\NCPI_CLIENT\EKBD\Texts\w21428993.files\08000007wmz.pn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file:///C:\NCPI_CLIENT\EKBD\Texts\w21428993.files\08000001wmz.png" TargetMode="External"/><Relationship Id="rId11" Type="http://schemas.openxmlformats.org/officeDocument/2006/relationships/image" Target="file:///C:\NCPI_CLIENT\EKBD\Texts\w21428993.files\08000006wmz.png" TargetMode="External"/><Relationship Id="rId5" Type="http://schemas.openxmlformats.org/officeDocument/2006/relationships/endnotes" Target="endnotes.xml"/><Relationship Id="rId15" Type="http://schemas.openxmlformats.org/officeDocument/2006/relationships/image" Target="file:///C:\NCPI_CLIENT\EKBD\Texts\w21428993.files\0800000Awmz.png" TargetMode="External"/><Relationship Id="rId23" Type="http://schemas.openxmlformats.org/officeDocument/2006/relationships/theme" Target="theme/theme1.xml"/><Relationship Id="rId10" Type="http://schemas.openxmlformats.org/officeDocument/2006/relationships/image" Target="file:///C:\NCPI_CLIENT\EKBD\Texts\w21428993.files\08000005wmz.pn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file:///C:\NCPI_CLIENT\EKBD\Texts\w21428993.files\08000004wmz.png" TargetMode="External"/><Relationship Id="rId14" Type="http://schemas.openxmlformats.org/officeDocument/2006/relationships/image" Target="file:///C:\NCPI_CLIENT\EKBD\Texts\w21428993.files\08000009wmz.pn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4632</Words>
  <Characters>34282</Characters>
  <Application>Microsoft Office Word</Application>
  <DocSecurity>0</DocSecurity>
  <Lines>857</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2020-06-18T11:48:00Z</dcterms:created>
  <dcterms:modified xsi:type="dcterms:W3CDTF">2020-06-18T11:49:00Z</dcterms:modified>
</cp:coreProperties>
</file>