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7B0" w:rsidRDefault="00A807B0">
      <w:pPr>
        <w:pStyle w:val="newncpi0"/>
        <w:jc w:val="center"/>
      </w:pPr>
      <w:bookmarkStart w:id="0" w:name="_GoBack"/>
      <w:bookmarkEnd w:id="0"/>
      <w:r>
        <w:rPr>
          <w:rStyle w:val="name"/>
        </w:rPr>
        <w:t>ПОСТАНОВЛЕНИЕ </w:t>
      </w:r>
      <w:r>
        <w:rPr>
          <w:rStyle w:val="promulgator"/>
        </w:rPr>
        <w:t>МИНИСТЕРСТВА ФИНАНСОВ РЕСПУБЛИКИ БЕЛАРУСЬ И ПРАВЛЕНИЯ НАЦИОНАЛЬНОГО БАНКА РЕСПУБЛИКИ БЕЛАРУСЬ</w:t>
      </w:r>
    </w:p>
    <w:p w:rsidR="00A807B0" w:rsidRDefault="00A807B0">
      <w:pPr>
        <w:pStyle w:val="newncpi"/>
        <w:ind w:firstLine="0"/>
        <w:jc w:val="center"/>
      </w:pPr>
      <w:r>
        <w:rPr>
          <w:rStyle w:val="datepr"/>
        </w:rPr>
        <w:t>2 апреля 2015 г.</w:t>
      </w:r>
      <w:r>
        <w:rPr>
          <w:rStyle w:val="number"/>
        </w:rPr>
        <w:t xml:space="preserve"> № 20/209</w:t>
      </w:r>
    </w:p>
    <w:p w:rsidR="00A807B0" w:rsidRDefault="00A807B0">
      <w:pPr>
        <w:pStyle w:val="title"/>
      </w:pPr>
      <w:r>
        <w:t>О порядке размещения и учета средств страховых резервов на отдельных специальных счетах</w:t>
      </w:r>
    </w:p>
    <w:p w:rsidR="00A807B0" w:rsidRDefault="00A807B0">
      <w:pPr>
        <w:pStyle w:val="changei"/>
      </w:pPr>
      <w:r>
        <w:t>Изменения и дополнения:</w:t>
      </w:r>
    </w:p>
    <w:p w:rsidR="00A807B0" w:rsidRDefault="00A807B0">
      <w:pPr>
        <w:pStyle w:val="changeadd"/>
      </w:pPr>
      <w:r>
        <w:t>Постановление Министерства финансов Республики Беларусь и Правления Национального банка Республики Беларусь от 14 августа 2019 г. № 45/334 (зарегистрировано в Национальном реестре - № 8/34493 от 22.08.2019 г.) &lt;W21934493&gt;</w:t>
      </w:r>
    </w:p>
    <w:p w:rsidR="00A807B0" w:rsidRDefault="00A807B0">
      <w:pPr>
        <w:pStyle w:val="newncpi"/>
      </w:pPr>
      <w:r>
        <w:t> </w:t>
      </w:r>
    </w:p>
    <w:p w:rsidR="00A807B0" w:rsidRDefault="00A807B0">
      <w:pPr>
        <w:pStyle w:val="newncpi"/>
      </w:pPr>
      <w:r>
        <w:t>На основании части третьей подпункта 56.2 пункта 56 Положения о страховой деятельности в Республике Беларусь, утвержденного Указом Президента Республики Беларусь от 25 августа 2006 г. № 530, пункта 10 Положения о Министерстве финансов Республики Беларусь, утвержденного постановлением Совета Министров Республики Беларусь от 31 октября 2001 г. № 1585, абзаца четырнадцатого статьи 26, абзаца четвертого статьи 33 Банковского кодекса Республики Беларусь Министерство финансов Республики Беларусь и Правление Национального банка Республики Беларусь ПОСТАНОВЛЯЮТ:</w:t>
      </w:r>
    </w:p>
    <w:p w:rsidR="00A807B0" w:rsidRDefault="00A807B0">
      <w:pPr>
        <w:pStyle w:val="point"/>
      </w:pPr>
      <w:r>
        <w:t>1. Страховые организации, принявшие решение осуществлять размещение и учет средств страховых резервов на отдельных специальных счетах (далее – страховые организации, использующие специальные счета):</w:t>
      </w:r>
    </w:p>
    <w:p w:rsidR="00A807B0" w:rsidRDefault="00A807B0">
      <w:pPr>
        <w:pStyle w:val="underpoint"/>
      </w:pPr>
      <w:r>
        <w:t>1.1. открывают в обслуживающих банках специальные счета в белорусских рублях и иностранных валютах для размещения и учета средств страховых резервов (далее – специальные счета).</w:t>
      </w:r>
    </w:p>
    <w:p w:rsidR="00A807B0" w:rsidRDefault="00A807B0">
      <w:pPr>
        <w:pStyle w:val="newncpi"/>
      </w:pPr>
      <w:r>
        <w:t>При открытии специального счета в иностранных валютах на каждый вид иностранной валюты открывается отдельный лицевой счет;</w:t>
      </w:r>
    </w:p>
    <w:p w:rsidR="00A807B0" w:rsidRDefault="00A807B0">
      <w:pPr>
        <w:pStyle w:val="underpoint"/>
      </w:pPr>
      <w:r>
        <w:t>1.2. осуществляют размещение и учет средств страховых резервов на специальных счетах.</w:t>
      </w:r>
    </w:p>
    <w:p w:rsidR="00A807B0" w:rsidRDefault="00A807B0">
      <w:pPr>
        <w:pStyle w:val="newncpi"/>
      </w:pPr>
      <w:r>
        <w:t>Для целей настоящего постановления страховыми резервами являются сформированные в соответствии с законодательством:</w:t>
      </w:r>
    </w:p>
    <w:p w:rsidR="00A807B0" w:rsidRDefault="00A807B0">
      <w:pPr>
        <w:pStyle w:val="newncpi"/>
      </w:pPr>
      <w:r>
        <w:t>технические резервы, за исключением доли перестраховщиков в страховых резервах, уменьшенные на сумму дебиторской задолженности страхователей, перестрахователей за вычетом суммы кредиторской задолженности перестраховщикам по уплате перестраховочной премии по рискам, переданным в перестрахование, но не более чем на 45 процентов от резерва незаработанной премии, за исключением доли перестраховщиков в резерве незаработанной премии;</w:t>
      </w:r>
    </w:p>
    <w:p w:rsidR="00A807B0" w:rsidRDefault="00A807B0">
      <w:pPr>
        <w:pStyle w:val="newncpi"/>
      </w:pPr>
      <w:r>
        <w:t>математические резервы, уменьшенные на сумму дебиторской задолженности страхователей по уплате страховых взносов (страховых премий) в размере, не превышающем 10 процентов от суммы сформированных страховых резервов по видам страхования, относящимся к страхованию жизни;</w:t>
      </w:r>
    </w:p>
    <w:p w:rsidR="00A807B0" w:rsidRDefault="00A807B0">
      <w:pPr>
        <w:pStyle w:val="newncpi"/>
      </w:pPr>
      <w:r>
        <w:t>резерв дополнительных выплат;</w:t>
      </w:r>
    </w:p>
    <w:p w:rsidR="00A807B0" w:rsidRDefault="00A807B0">
      <w:pPr>
        <w:pStyle w:val="newncpi"/>
      </w:pPr>
      <w:r>
        <w:t>специальные страховые резервы, уменьшенные на сумму дебиторской задолженности по обязательному страхованию от несчастных случаев на производстве и профессиональных заболеваний, обязательному страхованию с государственной поддержкой урожая сельскохозяйственных культур, скота и птицы, а также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A807B0" w:rsidRDefault="00A807B0">
      <w:pPr>
        <w:pStyle w:val="newncpi"/>
      </w:pPr>
      <w:r>
        <w:t>стабилизационный резерв по страхованию гражданской ответственности за ядерный ущерб, возникший при осуществлении деятельности по использованию атомной энергии;</w:t>
      </w:r>
    </w:p>
    <w:p w:rsidR="00A807B0" w:rsidRDefault="00A807B0">
      <w:pPr>
        <w:pStyle w:val="underpoint"/>
      </w:pPr>
      <w:r>
        <w:lastRenderedPageBreak/>
        <w:t>1.3. ежемесячно не позднее 20-го числа месяца, следующего за отчетным, перечисляют с текущего (расчетного) банковского счета на специальные счета разницу между суммой страховых резервов и остатками средств на специальных счетах в банках, во вкладах (депозитах) в банках и в объектах инвестиций на 1-е число месяца, следующего за отчетным.</w:t>
      </w:r>
    </w:p>
    <w:p w:rsidR="00A807B0" w:rsidRDefault="00A807B0">
      <w:pPr>
        <w:pStyle w:val="point"/>
      </w:pPr>
      <w:r>
        <w:t>1</w:t>
      </w:r>
      <w:r>
        <w:rPr>
          <w:vertAlign w:val="superscript"/>
        </w:rPr>
        <w:t>1</w:t>
      </w:r>
      <w:r>
        <w:t>. Решение об осуществлении размещения и учета средств страховых резервов на отдельных специальных счетах с указанием даты, с которой страховая организация начнет использовать отдельные специальные счета, принимается путем издания локального правового акта (приказа) страховой организации, использующей специальные счета.</w:t>
      </w:r>
    </w:p>
    <w:p w:rsidR="00A807B0" w:rsidRDefault="00A807B0">
      <w:pPr>
        <w:pStyle w:val="point"/>
      </w:pPr>
      <w:r>
        <w:t>2. Установить, что:</w:t>
      </w:r>
    </w:p>
    <w:p w:rsidR="00A807B0" w:rsidRDefault="00A807B0">
      <w:pPr>
        <w:pStyle w:val="underpoint"/>
      </w:pPr>
      <w:r>
        <w:t>2.1. средства страховых резервов, зачисленные на специальные счета, не подлежат изъятию у страховой организации, за исключением случаев, установленных в подпункте 69.2 пункта 69 Положения о страховой деятельности в Республике Беларусь, имеют целевое назначение, используются только для:</w:t>
      </w:r>
    </w:p>
    <w:p w:rsidR="00A807B0" w:rsidRDefault="00A807B0">
      <w:pPr>
        <w:pStyle w:val="underpoint"/>
      </w:pPr>
      <w:r>
        <w:t>2.1.1. страховых выплат в наличном и (или) безналичном порядке;</w:t>
      </w:r>
    </w:p>
    <w:p w:rsidR="00A807B0" w:rsidRDefault="00A807B0">
      <w:pPr>
        <w:pStyle w:val="underpoint"/>
      </w:pPr>
      <w:r>
        <w:t>2.1.2. направления в соответствии с порядком осуществления инвестиций посредством вложения средств страховых резервов и размещения средств страховых резервов, установленным законодательством, и возврата денежных средств по окончании срока их вложения, размещения;</w:t>
      </w:r>
    </w:p>
    <w:p w:rsidR="00A807B0" w:rsidRDefault="00A807B0">
      <w:pPr>
        <w:pStyle w:val="underpoint"/>
      </w:pPr>
      <w:r>
        <w:t>2.1.3. перечисления между специальными счетами страховой организации для осуществления страховых выплат в наличном и (или) безналичном порядке;</w:t>
      </w:r>
    </w:p>
    <w:p w:rsidR="00A807B0" w:rsidRDefault="00A807B0">
      <w:pPr>
        <w:pStyle w:val="underpoint"/>
      </w:pPr>
      <w:r>
        <w:t>2.1.4. перечисления со специального счета страховой организации, передающей в соответствии с законодательством о страховании обязательства, принятые по договорам добровольного страхования, на специальный счет принимающей такие обязательства страховой организации, использующей специальные счета, либо на текущий (расчетный) банковский счет принимающей такие обязательства страховой организации, не осуществляющей размещение и учет средств страховых резервов на специальных счетах;</w:t>
      </w:r>
    </w:p>
    <w:p w:rsidR="00A807B0" w:rsidRDefault="00A807B0">
      <w:pPr>
        <w:pStyle w:val="underpoint"/>
      </w:pPr>
      <w:r>
        <w:t>2.2. в случаях возврата в наличном и (или) безналичном порядке страховых выплат, произведенных страховой организацией, использующей специальные счета, страхователю (выгодоприобретателю), денежные средства зачисляются на специальный счет, с которого была произведена страховая выплата;</w:t>
      </w:r>
    </w:p>
    <w:p w:rsidR="00A807B0" w:rsidRDefault="00A807B0">
      <w:pPr>
        <w:pStyle w:val="underpoint"/>
      </w:pPr>
      <w:r>
        <w:t>2.3. по истечении срока действия договора по объекту инвестиций, срока размещения средств страховых резервов на счетах в банках на специальные счета зачисляются денежные средства, соответствующие ранее вложенным в объект инвестиций и размещенным на счетах в банках, а начисленный доход от осуществления инвестиций посредством вложения средств страховых резервов, их размещения – на текущий (расчетный) банковский счет страховой организации, использующей специальные счета;</w:t>
      </w:r>
    </w:p>
    <w:p w:rsidR="00A807B0" w:rsidRDefault="00A807B0">
      <w:pPr>
        <w:pStyle w:val="underpoint"/>
      </w:pPr>
      <w:r>
        <w:t>2.4. в случае изменения страховых резервов в сторону уменьшения денежные средства в сумме, соответствующей уменьшению страховых резервов, перечисляются со специального счета на текущий (расчетный) банковский счет страховой организации, использующей специальные счета, на основании произведенного расчета, заверенного руководителем и главным бухгалтером данной страховой организации.</w:t>
      </w:r>
    </w:p>
    <w:p w:rsidR="00A807B0" w:rsidRDefault="00A807B0">
      <w:pPr>
        <w:pStyle w:val="point"/>
      </w:pPr>
      <w:r>
        <w:t>3. Исключен.</w:t>
      </w:r>
    </w:p>
    <w:p w:rsidR="00A807B0" w:rsidRDefault="00A807B0">
      <w:pPr>
        <w:pStyle w:val="point"/>
      </w:pPr>
      <w:r>
        <w:t>4. Исключен.</w:t>
      </w:r>
    </w:p>
    <w:p w:rsidR="00A807B0" w:rsidRDefault="00A807B0">
      <w:pPr>
        <w:pStyle w:val="point"/>
      </w:pPr>
      <w:r>
        <w:t>5. Страховые организации, использующие специальные счета, должны иметь по состоянию на 1-е число каждого месяца, следующего за отчетным, на специальных, иных счетах страховой организации в банках и в объектах инвестиций средства в размере, соответствующем страховым резервам на 1-е число отчетного месяца, за вычетом произведенных страховых выплат в течение отчетного месяца.</w:t>
      </w:r>
    </w:p>
    <w:p w:rsidR="00A807B0" w:rsidRDefault="00A807B0">
      <w:pPr>
        <w:pStyle w:val="point"/>
      </w:pPr>
      <w:r>
        <w:t>6. Исключен.</w:t>
      </w:r>
    </w:p>
    <w:p w:rsidR="00A807B0" w:rsidRDefault="00A807B0">
      <w:pPr>
        <w:pStyle w:val="point"/>
      </w:pPr>
      <w:r>
        <w:t>7. Признать утратившими силу:</w:t>
      </w:r>
    </w:p>
    <w:p w:rsidR="00A807B0" w:rsidRDefault="00A807B0">
      <w:pPr>
        <w:pStyle w:val="newncpi"/>
      </w:pPr>
      <w:r>
        <w:lastRenderedPageBreak/>
        <w:t>постановление Министерства финансов Республики Беларусь и Правления Национального банка Республики Беларусь от 17 мая 2005 г. № 62/67 «О размещении и учете средств страховых резервов на специальных счетах» (Национальный реестр правовых актов Республики Беларусь, 2005 г., № 87, 8/12634);</w:t>
      </w:r>
    </w:p>
    <w:p w:rsidR="00A807B0" w:rsidRDefault="00A807B0">
      <w:pPr>
        <w:pStyle w:val="newncpi"/>
      </w:pPr>
      <w:r>
        <w:t>постановление Министерства финансов Республики Беларусь и Правления Национального банка Республики Беларусь от 17 января 2007 г. № 8/5 «О внесении изменений в постановление Министерства финансов Республики Беларусь и Правления Национального банка Республики Беларусь от 17 мая 2005 г. № 62/67» (Национальный реестр правовых актов Республики Беларусь, 2007 г., № 68, 8/15898);</w:t>
      </w:r>
    </w:p>
    <w:p w:rsidR="00A807B0" w:rsidRDefault="00A807B0">
      <w:pPr>
        <w:pStyle w:val="newncpi"/>
      </w:pPr>
      <w:r>
        <w:t>постановление Министерства финансов Республики Беларусь и Правления Национального банка Республики Беларусь от 18 февраля 2008 г. № 20/26 «О внесении изменения и дополнений в постановление Министерства финансов Республики Беларусь, Правления Национального банка Республики Беларусь от 17 мая 2005 г. № 62/67» (Национальный реестр правовых актов Республики Беларусь, 2008 г., № 54, 8/18265).</w:t>
      </w:r>
    </w:p>
    <w:p w:rsidR="00A807B0" w:rsidRDefault="00A807B0">
      <w:pPr>
        <w:pStyle w:val="point"/>
      </w:pPr>
      <w:r>
        <w:t>8. Настоящее постановление вступает в силу после его официального опубликования.</w:t>
      </w:r>
    </w:p>
    <w:p w:rsidR="00A807B0" w:rsidRDefault="00A807B0">
      <w:pPr>
        <w:pStyle w:val="newncpi"/>
      </w:pPr>
      <w:r>
        <w:t> </w:t>
      </w:r>
    </w:p>
    <w:tbl>
      <w:tblPr>
        <w:tblStyle w:val="tablencpi"/>
        <w:tblW w:w="5000" w:type="pct"/>
        <w:tblLook w:val="04A0" w:firstRow="1" w:lastRow="0" w:firstColumn="1" w:lastColumn="0" w:noHBand="0" w:noVBand="1"/>
      </w:tblPr>
      <w:tblGrid>
        <w:gridCol w:w="3073"/>
        <w:gridCol w:w="3595"/>
        <w:gridCol w:w="2718"/>
      </w:tblGrid>
      <w:tr w:rsidR="00A807B0">
        <w:trPr>
          <w:trHeight w:val="240"/>
        </w:trPr>
        <w:tc>
          <w:tcPr>
            <w:tcW w:w="1637" w:type="pct"/>
            <w:tcMar>
              <w:top w:w="0" w:type="dxa"/>
              <w:left w:w="6" w:type="dxa"/>
              <w:bottom w:w="0" w:type="dxa"/>
              <w:right w:w="6" w:type="dxa"/>
            </w:tcMar>
            <w:hideMark/>
          </w:tcPr>
          <w:p w:rsidR="00A807B0" w:rsidRDefault="00A807B0">
            <w:pPr>
              <w:pStyle w:val="agree"/>
            </w:pPr>
            <w:r>
              <w:rPr>
                <w:rStyle w:val="post"/>
              </w:rPr>
              <w:t xml:space="preserve">Министр финансов </w:t>
            </w:r>
            <w:r>
              <w:br/>
            </w:r>
            <w:r>
              <w:rPr>
                <w:rStyle w:val="post"/>
              </w:rPr>
              <w:t xml:space="preserve">Республики Беларусь </w:t>
            </w:r>
          </w:p>
          <w:p w:rsidR="00A807B0" w:rsidRDefault="00A807B0">
            <w:pPr>
              <w:pStyle w:val="agreefio"/>
              <w:ind w:firstLine="1134"/>
            </w:pPr>
            <w:proofErr w:type="spellStart"/>
            <w:r>
              <w:rPr>
                <w:rStyle w:val="pers"/>
              </w:rPr>
              <w:t>В.В.Амарин</w:t>
            </w:r>
            <w:proofErr w:type="spellEnd"/>
          </w:p>
        </w:tc>
        <w:tc>
          <w:tcPr>
            <w:tcW w:w="1915" w:type="pct"/>
            <w:tcMar>
              <w:top w:w="0" w:type="dxa"/>
              <w:left w:w="6" w:type="dxa"/>
              <w:bottom w:w="0" w:type="dxa"/>
              <w:right w:w="6" w:type="dxa"/>
            </w:tcMar>
            <w:hideMark/>
          </w:tcPr>
          <w:p w:rsidR="00A807B0" w:rsidRDefault="00A807B0">
            <w:pPr>
              <w:pStyle w:val="agree"/>
            </w:pPr>
            <w:r>
              <w:t> </w:t>
            </w:r>
          </w:p>
        </w:tc>
        <w:tc>
          <w:tcPr>
            <w:tcW w:w="1448" w:type="pct"/>
            <w:tcMar>
              <w:top w:w="0" w:type="dxa"/>
              <w:left w:w="6" w:type="dxa"/>
              <w:bottom w:w="0" w:type="dxa"/>
              <w:right w:w="6" w:type="dxa"/>
            </w:tcMar>
            <w:hideMark/>
          </w:tcPr>
          <w:p w:rsidR="00A807B0" w:rsidRDefault="00A807B0">
            <w:pPr>
              <w:pStyle w:val="agree"/>
            </w:pPr>
            <w:r>
              <w:rPr>
                <w:rStyle w:val="post"/>
              </w:rPr>
              <w:t xml:space="preserve">Председатель Правления </w:t>
            </w:r>
            <w:r>
              <w:br/>
            </w:r>
            <w:r>
              <w:rPr>
                <w:rStyle w:val="post"/>
              </w:rPr>
              <w:t xml:space="preserve">Национального банка </w:t>
            </w:r>
            <w:r>
              <w:br/>
            </w:r>
            <w:r>
              <w:rPr>
                <w:rStyle w:val="post"/>
              </w:rPr>
              <w:t xml:space="preserve">Республики Беларусь </w:t>
            </w:r>
          </w:p>
          <w:p w:rsidR="00A807B0" w:rsidRDefault="00A807B0">
            <w:pPr>
              <w:pStyle w:val="agreefio"/>
              <w:ind w:firstLine="1134"/>
            </w:pPr>
            <w:proofErr w:type="spellStart"/>
            <w:r>
              <w:rPr>
                <w:rStyle w:val="pers"/>
              </w:rPr>
              <w:t>П.В.Каллаур</w:t>
            </w:r>
            <w:proofErr w:type="spellEnd"/>
          </w:p>
        </w:tc>
      </w:tr>
    </w:tbl>
    <w:p w:rsidR="00A807B0" w:rsidRDefault="00A807B0">
      <w:pPr>
        <w:pStyle w:val="newncpi"/>
      </w:pPr>
      <w:r>
        <w:t> </w:t>
      </w:r>
    </w:p>
    <w:tbl>
      <w:tblPr>
        <w:tblStyle w:val="tablencpi"/>
        <w:tblW w:w="5000" w:type="pct"/>
        <w:tblLook w:val="04A0" w:firstRow="1" w:lastRow="0" w:firstColumn="1" w:lastColumn="0" w:noHBand="0" w:noVBand="1"/>
      </w:tblPr>
      <w:tblGrid>
        <w:gridCol w:w="3073"/>
        <w:gridCol w:w="6313"/>
      </w:tblGrid>
      <w:tr w:rsidR="00A807B0">
        <w:trPr>
          <w:trHeight w:val="240"/>
        </w:trPr>
        <w:tc>
          <w:tcPr>
            <w:tcW w:w="1637" w:type="pct"/>
            <w:tcMar>
              <w:top w:w="0" w:type="dxa"/>
              <w:left w:w="6" w:type="dxa"/>
              <w:bottom w:w="0" w:type="dxa"/>
              <w:right w:w="6" w:type="dxa"/>
            </w:tcMar>
            <w:hideMark/>
          </w:tcPr>
          <w:p w:rsidR="00A807B0" w:rsidRDefault="00A807B0">
            <w:pPr>
              <w:pStyle w:val="agree"/>
            </w:pPr>
            <w:r>
              <w:t xml:space="preserve">СОГЛАСОВАНО </w:t>
            </w:r>
          </w:p>
          <w:p w:rsidR="00A807B0" w:rsidRDefault="00A807B0">
            <w:pPr>
              <w:pStyle w:val="agree"/>
            </w:pPr>
            <w:r>
              <w:t xml:space="preserve">Первый заместитель </w:t>
            </w:r>
            <w:r>
              <w:br/>
              <w:t xml:space="preserve">Премьер-министра </w:t>
            </w:r>
            <w:r>
              <w:br/>
              <w:t xml:space="preserve">Республики Беларусь </w:t>
            </w:r>
          </w:p>
          <w:p w:rsidR="00A807B0" w:rsidRDefault="00A807B0">
            <w:pPr>
              <w:pStyle w:val="agreefio"/>
            </w:pPr>
            <w:proofErr w:type="spellStart"/>
            <w:r>
              <w:t>В.С.Матюшевский</w:t>
            </w:r>
            <w:proofErr w:type="spellEnd"/>
            <w:r>
              <w:t xml:space="preserve"> </w:t>
            </w:r>
          </w:p>
          <w:p w:rsidR="00A807B0" w:rsidRDefault="00A807B0">
            <w:pPr>
              <w:pStyle w:val="agreedate"/>
            </w:pPr>
            <w:r>
              <w:t>17.02.2015</w:t>
            </w:r>
          </w:p>
        </w:tc>
        <w:tc>
          <w:tcPr>
            <w:tcW w:w="3363" w:type="pct"/>
            <w:tcMar>
              <w:top w:w="0" w:type="dxa"/>
              <w:left w:w="6" w:type="dxa"/>
              <w:bottom w:w="0" w:type="dxa"/>
              <w:right w:w="6" w:type="dxa"/>
            </w:tcMar>
            <w:hideMark/>
          </w:tcPr>
          <w:p w:rsidR="00A807B0" w:rsidRDefault="00A807B0">
            <w:pPr>
              <w:pStyle w:val="agree"/>
            </w:pPr>
            <w:r>
              <w:t xml:space="preserve">СОГЛАСОВАНО </w:t>
            </w:r>
          </w:p>
          <w:p w:rsidR="00A807B0" w:rsidRDefault="00A807B0">
            <w:pPr>
              <w:pStyle w:val="agree"/>
            </w:pPr>
            <w:r>
              <w:t xml:space="preserve">Председатель Комитета </w:t>
            </w:r>
            <w:r>
              <w:br/>
              <w:t xml:space="preserve">государственного контроля </w:t>
            </w:r>
            <w:r>
              <w:br/>
              <w:t xml:space="preserve">Республики Беларусь </w:t>
            </w:r>
          </w:p>
          <w:p w:rsidR="00A807B0" w:rsidRDefault="00A807B0">
            <w:pPr>
              <w:pStyle w:val="agreefio"/>
            </w:pPr>
            <w:proofErr w:type="spellStart"/>
            <w:r>
              <w:t>Л.В.Анфимов</w:t>
            </w:r>
            <w:proofErr w:type="spellEnd"/>
            <w:r>
              <w:t xml:space="preserve"> </w:t>
            </w:r>
          </w:p>
          <w:p w:rsidR="00A807B0" w:rsidRDefault="00A807B0">
            <w:pPr>
              <w:pStyle w:val="agreedate"/>
            </w:pPr>
            <w:r>
              <w:t>02.04.2015</w:t>
            </w:r>
          </w:p>
        </w:tc>
      </w:tr>
    </w:tbl>
    <w:p w:rsidR="00A807B0" w:rsidRDefault="00A807B0">
      <w:pPr>
        <w:pStyle w:val="newncpi"/>
      </w:pPr>
      <w:r>
        <w:t> </w:t>
      </w:r>
    </w:p>
    <w:p w:rsidR="000472C3" w:rsidRDefault="000472C3"/>
    <w:sectPr w:rsidR="000472C3" w:rsidSect="00A807B0">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53D" w:rsidRDefault="0006153D" w:rsidP="00A807B0">
      <w:pPr>
        <w:spacing w:after="0" w:line="240" w:lineRule="auto"/>
      </w:pPr>
      <w:r>
        <w:separator/>
      </w:r>
    </w:p>
  </w:endnote>
  <w:endnote w:type="continuationSeparator" w:id="0">
    <w:p w:rsidR="0006153D" w:rsidRDefault="0006153D" w:rsidP="00A8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7B0" w:rsidRDefault="00A807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7B0" w:rsidRDefault="00A807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A807B0" w:rsidTr="00A807B0">
      <w:tc>
        <w:tcPr>
          <w:tcW w:w="1800" w:type="dxa"/>
          <w:shd w:val="clear" w:color="auto" w:fill="auto"/>
          <w:vAlign w:val="center"/>
        </w:tcPr>
        <w:p w:rsidR="00A807B0" w:rsidRDefault="00A807B0">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A807B0" w:rsidRDefault="00A807B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807B0" w:rsidRDefault="00A807B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23.10.2019</w:t>
          </w:r>
        </w:p>
        <w:p w:rsidR="00A807B0" w:rsidRPr="00A807B0" w:rsidRDefault="00A807B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807B0" w:rsidRDefault="00A807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53D" w:rsidRDefault="0006153D" w:rsidP="00A807B0">
      <w:pPr>
        <w:spacing w:after="0" w:line="240" w:lineRule="auto"/>
      </w:pPr>
      <w:r>
        <w:separator/>
      </w:r>
    </w:p>
  </w:footnote>
  <w:footnote w:type="continuationSeparator" w:id="0">
    <w:p w:rsidR="0006153D" w:rsidRDefault="0006153D" w:rsidP="00A80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7B0" w:rsidRDefault="00A807B0" w:rsidP="000A143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A807B0" w:rsidRDefault="00A807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7B0" w:rsidRPr="00A807B0" w:rsidRDefault="00A807B0" w:rsidP="000A1434">
    <w:pPr>
      <w:pStyle w:val="a3"/>
      <w:framePr w:wrap="around" w:vAnchor="text" w:hAnchor="margin" w:xAlign="center" w:y="1"/>
      <w:rPr>
        <w:rStyle w:val="a7"/>
        <w:rFonts w:ascii="Times New Roman" w:hAnsi="Times New Roman" w:cs="Times New Roman"/>
        <w:sz w:val="24"/>
      </w:rPr>
    </w:pPr>
    <w:r w:rsidRPr="00A807B0">
      <w:rPr>
        <w:rStyle w:val="a7"/>
        <w:rFonts w:ascii="Times New Roman" w:hAnsi="Times New Roman" w:cs="Times New Roman"/>
        <w:sz w:val="24"/>
      </w:rPr>
      <w:fldChar w:fldCharType="begin"/>
    </w:r>
    <w:r w:rsidRPr="00A807B0">
      <w:rPr>
        <w:rStyle w:val="a7"/>
        <w:rFonts w:ascii="Times New Roman" w:hAnsi="Times New Roman" w:cs="Times New Roman"/>
        <w:sz w:val="24"/>
      </w:rPr>
      <w:instrText xml:space="preserve"> PAGE </w:instrText>
    </w:r>
    <w:r w:rsidRPr="00A807B0">
      <w:rPr>
        <w:rStyle w:val="a7"/>
        <w:rFonts w:ascii="Times New Roman" w:hAnsi="Times New Roman" w:cs="Times New Roman"/>
        <w:sz w:val="24"/>
      </w:rPr>
      <w:fldChar w:fldCharType="separate"/>
    </w:r>
    <w:r w:rsidRPr="00A807B0">
      <w:rPr>
        <w:rStyle w:val="a7"/>
        <w:rFonts w:ascii="Times New Roman" w:hAnsi="Times New Roman" w:cs="Times New Roman"/>
        <w:noProof/>
        <w:sz w:val="24"/>
      </w:rPr>
      <w:t>3</w:t>
    </w:r>
    <w:r w:rsidRPr="00A807B0">
      <w:rPr>
        <w:rStyle w:val="a7"/>
        <w:rFonts w:ascii="Times New Roman" w:hAnsi="Times New Roman" w:cs="Times New Roman"/>
        <w:sz w:val="24"/>
      </w:rPr>
      <w:fldChar w:fldCharType="end"/>
    </w:r>
  </w:p>
  <w:p w:rsidR="00A807B0" w:rsidRPr="00A807B0" w:rsidRDefault="00A807B0">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7B0" w:rsidRDefault="00A807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B0"/>
    <w:rsid w:val="000472C3"/>
    <w:rsid w:val="0006153D"/>
    <w:rsid w:val="005D4193"/>
    <w:rsid w:val="00A80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686ED8-E861-4480-859F-056775D1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807B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A807B0"/>
    <w:pPr>
      <w:spacing w:after="28" w:line="240" w:lineRule="auto"/>
    </w:pPr>
    <w:rPr>
      <w:rFonts w:ascii="Times New Roman" w:eastAsiaTheme="minorEastAsia" w:hAnsi="Times New Roman" w:cs="Times New Roman"/>
      <w:lang w:eastAsia="ru-RU"/>
    </w:rPr>
  </w:style>
  <w:style w:type="paragraph" w:customStyle="1" w:styleId="point">
    <w:name w:val="point"/>
    <w:basedOn w:val="a"/>
    <w:rsid w:val="00A807B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807B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greefio">
    <w:name w:val="agreefio"/>
    <w:basedOn w:val="a"/>
    <w:rsid w:val="00A807B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807B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807B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807B0"/>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807B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807B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807B0"/>
    <w:rPr>
      <w:rFonts w:ascii="Times New Roman" w:hAnsi="Times New Roman" w:cs="Times New Roman" w:hint="default"/>
      <w:caps/>
    </w:rPr>
  </w:style>
  <w:style w:type="character" w:customStyle="1" w:styleId="promulgator">
    <w:name w:val="promulgator"/>
    <w:basedOn w:val="a0"/>
    <w:rsid w:val="00A807B0"/>
    <w:rPr>
      <w:rFonts w:ascii="Times New Roman" w:hAnsi="Times New Roman" w:cs="Times New Roman" w:hint="default"/>
      <w:caps/>
    </w:rPr>
  </w:style>
  <w:style w:type="character" w:customStyle="1" w:styleId="datepr">
    <w:name w:val="datepr"/>
    <w:basedOn w:val="a0"/>
    <w:rsid w:val="00A807B0"/>
    <w:rPr>
      <w:rFonts w:ascii="Times New Roman" w:hAnsi="Times New Roman" w:cs="Times New Roman" w:hint="default"/>
    </w:rPr>
  </w:style>
  <w:style w:type="character" w:customStyle="1" w:styleId="number">
    <w:name w:val="number"/>
    <w:basedOn w:val="a0"/>
    <w:rsid w:val="00A807B0"/>
    <w:rPr>
      <w:rFonts w:ascii="Times New Roman" w:hAnsi="Times New Roman" w:cs="Times New Roman" w:hint="default"/>
    </w:rPr>
  </w:style>
  <w:style w:type="character" w:customStyle="1" w:styleId="post">
    <w:name w:val="post"/>
    <w:basedOn w:val="a0"/>
    <w:rsid w:val="00A807B0"/>
    <w:rPr>
      <w:rFonts w:ascii="Times New Roman" w:hAnsi="Times New Roman" w:cs="Times New Roman" w:hint="default"/>
      <w:b/>
      <w:bCs/>
      <w:sz w:val="22"/>
      <w:szCs w:val="22"/>
    </w:rPr>
  </w:style>
  <w:style w:type="character" w:customStyle="1" w:styleId="pers">
    <w:name w:val="pers"/>
    <w:basedOn w:val="a0"/>
    <w:rsid w:val="00A807B0"/>
    <w:rPr>
      <w:rFonts w:ascii="Times New Roman" w:hAnsi="Times New Roman" w:cs="Times New Roman" w:hint="default"/>
      <w:b/>
      <w:bCs/>
      <w:sz w:val="22"/>
      <w:szCs w:val="22"/>
    </w:rPr>
  </w:style>
  <w:style w:type="table" w:customStyle="1" w:styleId="tablencpi">
    <w:name w:val="tablencpi"/>
    <w:basedOn w:val="a1"/>
    <w:rsid w:val="00A807B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A807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07B0"/>
  </w:style>
  <w:style w:type="paragraph" w:styleId="a5">
    <w:name w:val="footer"/>
    <w:basedOn w:val="a"/>
    <w:link w:val="a6"/>
    <w:uiPriority w:val="99"/>
    <w:unhideWhenUsed/>
    <w:rsid w:val="00A807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07B0"/>
  </w:style>
  <w:style w:type="character" w:styleId="a7">
    <w:name w:val="page number"/>
    <w:basedOn w:val="a0"/>
    <w:uiPriority w:val="99"/>
    <w:semiHidden/>
    <w:unhideWhenUsed/>
    <w:rsid w:val="00A807B0"/>
  </w:style>
  <w:style w:type="table" w:styleId="a8">
    <w:name w:val="Table Grid"/>
    <w:basedOn w:val="a1"/>
    <w:uiPriority w:val="39"/>
    <w:rsid w:val="00A8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980</Words>
  <Characters>7113</Characters>
  <Application>Microsoft Office Word</Application>
  <DocSecurity>0</DocSecurity>
  <Lines>142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Ольга Владимировна</dc:creator>
  <cp:keywords/>
  <dc:description/>
  <cp:lastModifiedBy>Давидюк Ольга Владимировна</cp:lastModifiedBy>
  <cp:revision>1</cp:revision>
  <dcterms:created xsi:type="dcterms:W3CDTF">2019-10-23T13:35:00Z</dcterms:created>
  <dcterms:modified xsi:type="dcterms:W3CDTF">2019-10-23T13:39:00Z</dcterms:modified>
</cp:coreProperties>
</file>