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58" w:rsidRPr="004D2C9E" w:rsidRDefault="00283358" w:rsidP="004D2C9E">
      <w:pPr>
        <w:pStyle w:val="af6"/>
        <w:spacing w:before="0" w:line="276" w:lineRule="auto"/>
        <w:rPr>
          <w:spacing w:val="20"/>
        </w:rPr>
      </w:pPr>
      <w:bookmarkStart w:id="0" w:name="_GoBack"/>
      <w:bookmarkEnd w:id="0"/>
      <w:r w:rsidRPr="004D2C9E">
        <w:rPr>
          <w:spacing w:val="20"/>
        </w:rPr>
        <w:t xml:space="preserve">МЕЖГОСУДАРСТВЕННЫЙ СОВЕТ </w:t>
      </w:r>
      <w:r w:rsidRPr="004D2C9E">
        <w:rPr>
          <w:spacing w:val="20"/>
        </w:rPr>
        <w:br/>
        <w:t>ПО АНТИМОНОПОЛЬНОЙ ПОЛИТИКЕ</w:t>
      </w:r>
    </w:p>
    <w:p w:rsidR="00DD1FD6" w:rsidRPr="00DD1FD6" w:rsidRDefault="00DD1FD6" w:rsidP="004D2C9E">
      <w:pPr>
        <w:spacing w:after="0" w:line="276" w:lineRule="auto"/>
        <w:jc w:val="center"/>
        <w:rPr>
          <w:rFonts w:ascii="Times New Roman" w:hAnsi="Times New Roman"/>
          <w:b/>
          <w:smallCaps/>
          <w:spacing w:val="20"/>
          <w:sz w:val="32"/>
          <w:szCs w:val="32"/>
        </w:rPr>
      </w:pPr>
    </w:p>
    <w:p w:rsidR="00283358" w:rsidRPr="00DD1FD6" w:rsidRDefault="00283358" w:rsidP="004D2C9E">
      <w:pPr>
        <w:spacing w:after="0" w:line="276" w:lineRule="auto"/>
        <w:jc w:val="center"/>
        <w:rPr>
          <w:rFonts w:ascii="Times New Roman" w:hAnsi="Times New Roman"/>
          <w:b/>
          <w:spacing w:val="20"/>
          <w:sz w:val="32"/>
          <w:szCs w:val="32"/>
        </w:rPr>
      </w:pPr>
      <w:r w:rsidRPr="00DD1FD6">
        <w:rPr>
          <w:rFonts w:ascii="Times New Roman" w:hAnsi="Times New Roman"/>
          <w:b/>
          <w:smallCaps/>
          <w:spacing w:val="20"/>
          <w:sz w:val="32"/>
          <w:szCs w:val="32"/>
        </w:rPr>
        <w:t>ИСПОЛНИТЕЛЬНЫЙ КОМИТЕТ СНГ</w:t>
      </w: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Default="00283358" w:rsidP="004D2C9E">
      <w:pPr>
        <w:spacing w:after="0" w:line="240" w:lineRule="auto"/>
        <w:jc w:val="center"/>
        <w:rPr>
          <w:rFonts w:ascii="Times New Roman" w:hAnsi="Times New Roman"/>
          <w:b/>
          <w:sz w:val="32"/>
          <w:szCs w:val="32"/>
        </w:rPr>
      </w:pPr>
    </w:p>
    <w:p w:rsidR="00DD1FD6" w:rsidRPr="00DD1FD6" w:rsidRDefault="00DD1FD6"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r w:rsidRPr="00DD1FD6">
        <w:rPr>
          <w:rFonts w:ascii="Times New Roman" w:hAnsi="Times New Roman"/>
          <w:b/>
          <w:sz w:val="32"/>
          <w:szCs w:val="32"/>
        </w:rPr>
        <w:t>ДОКЛАД</w:t>
      </w:r>
    </w:p>
    <w:p w:rsidR="00283358" w:rsidRPr="00DD1FD6" w:rsidRDefault="004D2C9E" w:rsidP="004D2C9E">
      <w:pPr>
        <w:pStyle w:val="af6"/>
      </w:pPr>
      <w:r>
        <w:t>«</w:t>
      </w:r>
      <w:r w:rsidR="00DD1FD6" w:rsidRPr="00DD1FD6">
        <w:t xml:space="preserve">Формирование конкурентной политики </w:t>
      </w:r>
      <w:r w:rsidR="00DD1FD6" w:rsidRPr="00DD1FD6">
        <w:br/>
        <w:t xml:space="preserve">в государствах – участниках СНГ </w:t>
      </w:r>
      <w:r w:rsidR="00DD1FD6" w:rsidRPr="00DD1FD6">
        <w:br/>
        <w:t>в условиях развития цифровой экономики</w:t>
      </w:r>
      <w:r>
        <w:t>»</w:t>
      </w: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Default="00283358" w:rsidP="004D2C9E">
      <w:pPr>
        <w:spacing w:after="0" w:line="240" w:lineRule="auto"/>
        <w:jc w:val="center"/>
        <w:rPr>
          <w:rFonts w:ascii="Times New Roman" w:hAnsi="Times New Roman"/>
          <w:b/>
          <w:sz w:val="32"/>
          <w:szCs w:val="32"/>
        </w:rPr>
      </w:pPr>
    </w:p>
    <w:p w:rsidR="00DD1FD6" w:rsidRDefault="00DD1FD6" w:rsidP="004D2C9E">
      <w:pPr>
        <w:spacing w:after="0" w:line="240" w:lineRule="auto"/>
        <w:jc w:val="center"/>
        <w:rPr>
          <w:rFonts w:ascii="Times New Roman" w:hAnsi="Times New Roman"/>
          <w:b/>
          <w:sz w:val="32"/>
          <w:szCs w:val="32"/>
        </w:rPr>
      </w:pPr>
    </w:p>
    <w:p w:rsidR="00DD1FD6" w:rsidRDefault="00DD1FD6" w:rsidP="004D2C9E">
      <w:pPr>
        <w:spacing w:after="0" w:line="240" w:lineRule="auto"/>
        <w:jc w:val="center"/>
        <w:rPr>
          <w:rFonts w:ascii="Times New Roman" w:hAnsi="Times New Roman"/>
          <w:b/>
          <w:sz w:val="32"/>
          <w:szCs w:val="32"/>
        </w:rPr>
      </w:pPr>
    </w:p>
    <w:p w:rsidR="00DD1FD6" w:rsidRDefault="00DD1FD6" w:rsidP="004D2C9E">
      <w:pPr>
        <w:spacing w:after="0" w:line="240" w:lineRule="auto"/>
        <w:jc w:val="center"/>
        <w:rPr>
          <w:rFonts w:ascii="Times New Roman" w:hAnsi="Times New Roman"/>
          <w:b/>
          <w:sz w:val="32"/>
          <w:szCs w:val="32"/>
        </w:rPr>
      </w:pPr>
    </w:p>
    <w:p w:rsidR="00DD1FD6" w:rsidRDefault="00DD1FD6" w:rsidP="004D2C9E">
      <w:pPr>
        <w:spacing w:after="0" w:line="240" w:lineRule="auto"/>
        <w:jc w:val="center"/>
        <w:rPr>
          <w:rFonts w:ascii="Times New Roman" w:hAnsi="Times New Roman"/>
          <w:b/>
          <w:sz w:val="32"/>
          <w:szCs w:val="32"/>
        </w:rPr>
      </w:pPr>
    </w:p>
    <w:p w:rsidR="00DD1FD6" w:rsidRDefault="00DD1FD6" w:rsidP="004D2C9E">
      <w:pPr>
        <w:spacing w:after="0" w:line="240" w:lineRule="auto"/>
        <w:jc w:val="center"/>
        <w:rPr>
          <w:rFonts w:ascii="Times New Roman" w:hAnsi="Times New Roman"/>
          <w:b/>
          <w:sz w:val="32"/>
          <w:szCs w:val="32"/>
        </w:rPr>
      </w:pPr>
    </w:p>
    <w:p w:rsidR="00DD1FD6" w:rsidRDefault="00DD1FD6" w:rsidP="004D2C9E">
      <w:pPr>
        <w:spacing w:after="0" w:line="240" w:lineRule="auto"/>
        <w:jc w:val="center"/>
        <w:rPr>
          <w:rFonts w:ascii="Times New Roman" w:hAnsi="Times New Roman"/>
          <w:b/>
          <w:sz w:val="32"/>
          <w:szCs w:val="32"/>
        </w:rPr>
      </w:pPr>
    </w:p>
    <w:p w:rsidR="00DD1FD6" w:rsidRDefault="00DD1FD6" w:rsidP="004D2C9E">
      <w:pPr>
        <w:spacing w:after="0" w:line="240" w:lineRule="auto"/>
        <w:jc w:val="center"/>
        <w:rPr>
          <w:rFonts w:ascii="Times New Roman" w:hAnsi="Times New Roman"/>
          <w:b/>
          <w:sz w:val="32"/>
          <w:szCs w:val="32"/>
        </w:rPr>
      </w:pPr>
    </w:p>
    <w:p w:rsidR="00DD1FD6" w:rsidRDefault="00DD1FD6" w:rsidP="004D2C9E">
      <w:pPr>
        <w:spacing w:after="0" w:line="240" w:lineRule="auto"/>
        <w:jc w:val="center"/>
        <w:rPr>
          <w:rFonts w:ascii="Times New Roman" w:hAnsi="Times New Roman"/>
          <w:b/>
          <w:sz w:val="32"/>
          <w:szCs w:val="32"/>
        </w:rPr>
      </w:pPr>
    </w:p>
    <w:p w:rsidR="00DD1FD6" w:rsidRDefault="00DD1FD6" w:rsidP="004D2C9E">
      <w:pPr>
        <w:spacing w:after="0" w:line="240" w:lineRule="auto"/>
        <w:jc w:val="center"/>
        <w:rPr>
          <w:rFonts w:ascii="Times New Roman" w:hAnsi="Times New Roman"/>
          <w:b/>
          <w:sz w:val="32"/>
          <w:szCs w:val="32"/>
        </w:rPr>
      </w:pPr>
    </w:p>
    <w:p w:rsidR="00E9454A" w:rsidRDefault="00E9454A" w:rsidP="004D2C9E">
      <w:pPr>
        <w:spacing w:after="0" w:line="240" w:lineRule="auto"/>
        <w:jc w:val="center"/>
        <w:rPr>
          <w:rFonts w:ascii="Times New Roman" w:hAnsi="Times New Roman"/>
          <w:b/>
          <w:sz w:val="32"/>
          <w:szCs w:val="32"/>
        </w:rPr>
      </w:pPr>
    </w:p>
    <w:p w:rsidR="00E9454A" w:rsidRDefault="00E9454A" w:rsidP="004D2C9E">
      <w:pPr>
        <w:spacing w:after="0" w:line="240" w:lineRule="auto"/>
        <w:jc w:val="center"/>
        <w:rPr>
          <w:rFonts w:ascii="Times New Roman" w:hAnsi="Times New Roman"/>
          <w:b/>
          <w:sz w:val="32"/>
          <w:szCs w:val="32"/>
        </w:rPr>
      </w:pPr>
    </w:p>
    <w:p w:rsidR="00F9318B" w:rsidRDefault="00F9318B"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Pr="00DD1FD6" w:rsidRDefault="00283358" w:rsidP="004D2C9E">
      <w:pPr>
        <w:spacing w:after="0" w:line="240" w:lineRule="auto"/>
        <w:jc w:val="center"/>
        <w:rPr>
          <w:rFonts w:ascii="Times New Roman" w:hAnsi="Times New Roman"/>
          <w:b/>
          <w:sz w:val="32"/>
          <w:szCs w:val="32"/>
        </w:rPr>
      </w:pPr>
    </w:p>
    <w:p w:rsidR="00283358" w:rsidRPr="00F9318B" w:rsidRDefault="00283358" w:rsidP="00F9318B">
      <w:pPr>
        <w:pStyle w:val="8"/>
      </w:pPr>
      <w:bookmarkStart w:id="1" w:name="_Toc520899672"/>
      <w:r w:rsidRPr="00F9318B">
        <w:t>Москва, 2018 год</w:t>
      </w:r>
      <w:bookmarkEnd w:id="1"/>
    </w:p>
    <w:p w:rsidR="0068434D" w:rsidRDefault="00DD1FD6" w:rsidP="00F9318B">
      <w:pPr>
        <w:spacing w:after="0"/>
        <w:jc w:val="center"/>
        <w:rPr>
          <w:rFonts w:ascii="Times New Roman" w:hAnsi="Times New Roman"/>
          <w:b/>
          <w:sz w:val="28"/>
          <w:szCs w:val="28"/>
        </w:rPr>
      </w:pPr>
      <w:r>
        <w:rPr>
          <w:rFonts w:ascii="Times New Roman" w:hAnsi="Times New Roman"/>
          <w:sz w:val="28"/>
          <w:szCs w:val="28"/>
        </w:rPr>
        <w:br w:type="page"/>
      </w:r>
      <w:bookmarkStart w:id="2" w:name="_Toc520899673"/>
      <w:r w:rsidRPr="00F9318B">
        <w:rPr>
          <w:rFonts w:ascii="Times New Roman" w:hAnsi="Times New Roman"/>
          <w:b/>
          <w:sz w:val="28"/>
          <w:szCs w:val="28"/>
        </w:rPr>
        <w:lastRenderedPageBreak/>
        <w:t>ОГЛАВЛЕНИЕ</w:t>
      </w:r>
      <w:bookmarkEnd w:id="2"/>
    </w:p>
    <w:p w:rsidR="00B94B4A" w:rsidRPr="006F23A1" w:rsidRDefault="004D2C9E" w:rsidP="00B94B4A">
      <w:pPr>
        <w:pStyle w:val="14"/>
        <w:rPr>
          <w:rFonts w:ascii="Calibri" w:eastAsia="Times New Roman" w:hAnsi="Calibri"/>
          <w:noProof/>
          <w:sz w:val="22"/>
          <w:lang w:eastAsia="ru-RU"/>
        </w:rPr>
      </w:pPr>
      <w:r w:rsidRPr="009404EE">
        <w:rPr>
          <w:szCs w:val="28"/>
        </w:rPr>
        <w:fldChar w:fldCharType="begin"/>
      </w:r>
      <w:r w:rsidRPr="009404EE">
        <w:rPr>
          <w:szCs w:val="28"/>
        </w:rPr>
        <w:instrText xml:space="preserve"> TOC \o "1-3" \h \z \u </w:instrText>
      </w:r>
      <w:r w:rsidRPr="009404EE">
        <w:rPr>
          <w:szCs w:val="28"/>
        </w:rPr>
        <w:fldChar w:fldCharType="separate"/>
      </w:r>
      <w:hyperlink w:anchor="_Toc526253873" w:history="1">
        <w:r w:rsidR="00B94B4A" w:rsidRPr="00860785">
          <w:rPr>
            <w:rStyle w:val="a3"/>
            <w:noProof/>
          </w:rPr>
          <w:t>Введение</w:t>
        </w:r>
        <w:r w:rsidR="00B94B4A">
          <w:rPr>
            <w:noProof/>
            <w:webHidden/>
          </w:rPr>
          <w:tab/>
        </w:r>
        <w:r w:rsidR="00B94B4A">
          <w:rPr>
            <w:noProof/>
            <w:webHidden/>
          </w:rPr>
          <w:fldChar w:fldCharType="begin"/>
        </w:r>
        <w:r w:rsidR="00B94B4A">
          <w:rPr>
            <w:noProof/>
            <w:webHidden/>
          </w:rPr>
          <w:instrText xml:space="preserve"> PAGEREF _Toc526253873 \h </w:instrText>
        </w:r>
        <w:r w:rsidR="00B94B4A">
          <w:rPr>
            <w:noProof/>
            <w:webHidden/>
          </w:rPr>
        </w:r>
        <w:r w:rsidR="00B94B4A">
          <w:rPr>
            <w:noProof/>
            <w:webHidden/>
          </w:rPr>
          <w:fldChar w:fldCharType="separate"/>
        </w:r>
        <w:r w:rsidR="00947605">
          <w:rPr>
            <w:noProof/>
            <w:webHidden/>
          </w:rPr>
          <w:t>3</w:t>
        </w:r>
        <w:r w:rsidR="00B94B4A">
          <w:rPr>
            <w:noProof/>
            <w:webHidden/>
          </w:rPr>
          <w:fldChar w:fldCharType="end"/>
        </w:r>
      </w:hyperlink>
    </w:p>
    <w:p w:rsidR="00B94B4A" w:rsidRPr="006F23A1" w:rsidRDefault="00B94B4A" w:rsidP="00B94B4A">
      <w:pPr>
        <w:pStyle w:val="14"/>
        <w:rPr>
          <w:rFonts w:ascii="Calibri" w:eastAsia="Times New Roman" w:hAnsi="Calibri"/>
          <w:noProof/>
          <w:sz w:val="22"/>
          <w:lang w:eastAsia="ru-RU"/>
        </w:rPr>
      </w:pPr>
      <w:hyperlink w:anchor="_Toc526253874" w:history="1">
        <w:r w:rsidRPr="00860785">
          <w:rPr>
            <w:rStyle w:val="a3"/>
            <w:noProof/>
          </w:rPr>
          <w:t>I.</w:t>
        </w:r>
        <w:r>
          <w:rPr>
            <w:rStyle w:val="a3"/>
            <w:noProof/>
          </w:rPr>
          <w:tab/>
        </w:r>
        <w:r w:rsidRPr="00860785">
          <w:rPr>
            <w:rStyle w:val="a3"/>
            <w:noProof/>
          </w:rPr>
          <w:t>Институциональные изменения в экономике.</w:t>
        </w:r>
        <w:r w:rsidR="00636F0D">
          <w:rPr>
            <w:rStyle w:val="a3"/>
            <w:noProof/>
          </w:rPr>
          <w:t xml:space="preserve"> </w:t>
        </w:r>
        <w:r>
          <w:rPr>
            <w:rStyle w:val="a3"/>
            <w:noProof/>
          </w:rPr>
          <w:br/>
        </w:r>
        <w:r w:rsidRPr="00860785">
          <w:rPr>
            <w:rStyle w:val="a3"/>
            <w:noProof/>
          </w:rPr>
          <w:t>Регулирование правоотношений в цифровой экономике</w:t>
        </w:r>
        <w:r>
          <w:rPr>
            <w:noProof/>
            <w:webHidden/>
          </w:rPr>
          <w:tab/>
        </w:r>
        <w:r>
          <w:rPr>
            <w:noProof/>
            <w:webHidden/>
          </w:rPr>
          <w:fldChar w:fldCharType="begin"/>
        </w:r>
        <w:r>
          <w:rPr>
            <w:noProof/>
            <w:webHidden/>
          </w:rPr>
          <w:instrText xml:space="preserve"> PAGEREF _Toc526253874 \h </w:instrText>
        </w:r>
        <w:r>
          <w:rPr>
            <w:noProof/>
            <w:webHidden/>
          </w:rPr>
        </w:r>
        <w:r>
          <w:rPr>
            <w:noProof/>
            <w:webHidden/>
          </w:rPr>
          <w:fldChar w:fldCharType="separate"/>
        </w:r>
        <w:r w:rsidR="00947605">
          <w:rPr>
            <w:noProof/>
            <w:webHidden/>
          </w:rPr>
          <w:t>5</w:t>
        </w:r>
        <w:r>
          <w:rPr>
            <w:noProof/>
            <w:webHidden/>
          </w:rPr>
          <w:fldChar w:fldCharType="end"/>
        </w:r>
      </w:hyperlink>
    </w:p>
    <w:p w:rsidR="00B94B4A" w:rsidRPr="006F23A1" w:rsidRDefault="00B94B4A">
      <w:pPr>
        <w:pStyle w:val="24"/>
        <w:rPr>
          <w:rFonts w:ascii="Calibri" w:eastAsia="Times New Roman" w:hAnsi="Calibri"/>
          <w:noProof/>
          <w:sz w:val="22"/>
          <w:lang w:eastAsia="ru-RU"/>
        </w:rPr>
      </w:pPr>
      <w:hyperlink w:anchor="_Toc526253875" w:history="1">
        <w:r w:rsidRPr="00860785">
          <w:rPr>
            <w:rStyle w:val="a3"/>
            <w:noProof/>
          </w:rPr>
          <w:t xml:space="preserve">1.1. Формирование инициатив по внедрению </w:t>
        </w:r>
        <w:r>
          <w:rPr>
            <w:rStyle w:val="a3"/>
            <w:noProof/>
          </w:rPr>
          <w:br/>
        </w:r>
        <w:r w:rsidRPr="00860785">
          <w:rPr>
            <w:rStyle w:val="a3"/>
            <w:noProof/>
          </w:rPr>
          <w:t>цифровых технологий и введение специальных требований</w:t>
        </w:r>
        <w:r>
          <w:rPr>
            <w:noProof/>
            <w:webHidden/>
          </w:rPr>
          <w:tab/>
        </w:r>
        <w:r>
          <w:rPr>
            <w:noProof/>
            <w:webHidden/>
          </w:rPr>
          <w:fldChar w:fldCharType="begin"/>
        </w:r>
        <w:r>
          <w:rPr>
            <w:noProof/>
            <w:webHidden/>
          </w:rPr>
          <w:instrText xml:space="preserve"> PAGEREF _Toc526253875 \h </w:instrText>
        </w:r>
        <w:r>
          <w:rPr>
            <w:noProof/>
            <w:webHidden/>
          </w:rPr>
        </w:r>
        <w:r>
          <w:rPr>
            <w:noProof/>
            <w:webHidden/>
          </w:rPr>
          <w:fldChar w:fldCharType="separate"/>
        </w:r>
        <w:r w:rsidR="00947605">
          <w:rPr>
            <w:noProof/>
            <w:webHidden/>
          </w:rPr>
          <w:t>5</w:t>
        </w:r>
        <w:r>
          <w:rPr>
            <w:noProof/>
            <w:webHidden/>
          </w:rPr>
          <w:fldChar w:fldCharType="end"/>
        </w:r>
      </w:hyperlink>
    </w:p>
    <w:p w:rsidR="00B94B4A" w:rsidRPr="006F23A1" w:rsidRDefault="00B94B4A">
      <w:pPr>
        <w:pStyle w:val="24"/>
        <w:rPr>
          <w:rFonts w:ascii="Calibri" w:eastAsia="Times New Roman" w:hAnsi="Calibri"/>
          <w:noProof/>
          <w:sz w:val="22"/>
          <w:lang w:eastAsia="ru-RU"/>
        </w:rPr>
      </w:pPr>
      <w:hyperlink w:anchor="_Toc526253876" w:history="1">
        <w:r w:rsidRPr="00860785">
          <w:rPr>
            <w:rStyle w:val="a3"/>
            <w:noProof/>
          </w:rPr>
          <w:t>1.2. Основные направления институциональных изменений</w:t>
        </w:r>
        <w:r>
          <w:rPr>
            <w:noProof/>
            <w:webHidden/>
          </w:rPr>
          <w:tab/>
        </w:r>
        <w:r>
          <w:rPr>
            <w:noProof/>
            <w:webHidden/>
          </w:rPr>
          <w:fldChar w:fldCharType="begin"/>
        </w:r>
        <w:r>
          <w:rPr>
            <w:noProof/>
            <w:webHidden/>
          </w:rPr>
          <w:instrText xml:space="preserve"> PAGEREF _Toc526253876 \h </w:instrText>
        </w:r>
        <w:r>
          <w:rPr>
            <w:noProof/>
            <w:webHidden/>
          </w:rPr>
        </w:r>
        <w:r>
          <w:rPr>
            <w:noProof/>
            <w:webHidden/>
          </w:rPr>
          <w:fldChar w:fldCharType="separate"/>
        </w:r>
        <w:r w:rsidR="00947605">
          <w:rPr>
            <w:noProof/>
            <w:webHidden/>
          </w:rPr>
          <w:t>25</w:t>
        </w:r>
        <w:r>
          <w:rPr>
            <w:noProof/>
            <w:webHidden/>
          </w:rPr>
          <w:fldChar w:fldCharType="end"/>
        </w:r>
      </w:hyperlink>
    </w:p>
    <w:p w:rsidR="00B94B4A" w:rsidRPr="006F23A1" w:rsidRDefault="00B94B4A">
      <w:pPr>
        <w:pStyle w:val="24"/>
        <w:rPr>
          <w:rFonts w:ascii="Calibri" w:eastAsia="Times New Roman" w:hAnsi="Calibri"/>
          <w:noProof/>
          <w:sz w:val="22"/>
          <w:lang w:eastAsia="ru-RU"/>
        </w:rPr>
      </w:pPr>
      <w:hyperlink w:anchor="_Toc526253877" w:history="1">
        <w:r w:rsidRPr="00860785">
          <w:rPr>
            <w:rStyle w:val="a3"/>
            <w:noProof/>
          </w:rPr>
          <w:t>1.3. Международная практика</w:t>
        </w:r>
        <w:r>
          <w:rPr>
            <w:noProof/>
            <w:webHidden/>
          </w:rPr>
          <w:tab/>
        </w:r>
        <w:r>
          <w:rPr>
            <w:noProof/>
            <w:webHidden/>
          </w:rPr>
          <w:fldChar w:fldCharType="begin"/>
        </w:r>
        <w:r>
          <w:rPr>
            <w:noProof/>
            <w:webHidden/>
          </w:rPr>
          <w:instrText xml:space="preserve"> PAGEREF _Toc526253877 \h </w:instrText>
        </w:r>
        <w:r>
          <w:rPr>
            <w:noProof/>
            <w:webHidden/>
          </w:rPr>
        </w:r>
        <w:r>
          <w:rPr>
            <w:noProof/>
            <w:webHidden/>
          </w:rPr>
          <w:fldChar w:fldCharType="separate"/>
        </w:r>
        <w:r w:rsidR="00947605">
          <w:rPr>
            <w:noProof/>
            <w:webHidden/>
          </w:rPr>
          <w:t>49</w:t>
        </w:r>
        <w:r>
          <w:rPr>
            <w:noProof/>
            <w:webHidden/>
          </w:rPr>
          <w:fldChar w:fldCharType="end"/>
        </w:r>
      </w:hyperlink>
    </w:p>
    <w:p w:rsidR="00B94B4A" w:rsidRPr="006F23A1" w:rsidRDefault="00B94B4A" w:rsidP="00B94B4A">
      <w:pPr>
        <w:pStyle w:val="14"/>
        <w:rPr>
          <w:rFonts w:ascii="Calibri" w:eastAsia="Times New Roman" w:hAnsi="Calibri"/>
          <w:noProof/>
          <w:sz w:val="22"/>
          <w:lang w:eastAsia="ru-RU"/>
        </w:rPr>
      </w:pPr>
      <w:hyperlink w:anchor="_Toc526253878" w:history="1">
        <w:r w:rsidRPr="00860785">
          <w:rPr>
            <w:rStyle w:val="a3"/>
            <w:noProof/>
            <w:lang w:val="en-US"/>
          </w:rPr>
          <w:t>II.</w:t>
        </w:r>
        <w:r>
          <w:rPr>
            <w:rStyle w:val="a3"/>
            <w:noProof/>
            <w:lang w:val="en-US"/>
          </w:rPr>
          <w:tab/>
        </w:r>
        <w:r w:rsidRPr="00860785">
          <w:rPr>
            <w:rStyle w:val="a3"/>
            <w:noProof/>
          </w:rPr>
          <w:t>Конкурентная политика</w:t>
        </w:r>
        <w:r>
          <w:rPr>
            <w:noProof/>
            <w:webHidden/>
          </w:rPr>
          <w:tab/>
        </w:r>
        <w:r>
          <w:rPr>
            <w:noProof/>
            <w:webHidden/>
          </w:rPr>
          <w:fldChar w:fldCharType="begin"/>
        </w:r>
        <w:r>
          <w:rPr>
            <w:noProof/>
            <w:webHidden/>
          </w:rPr>
          <w:instrText xml:space="preserve"> PAGEREF _Toc526253878 \h </w:instrText>
        </w:r>
        <w:r>
          <w:rPr>
            <w:noProof/>
            <w:webHidden/>
          </w:rPr>
        </w:r>
        <w:r>
          <w:rPr>
            <w:noProof/>
            <w:webHidden/>
          </w:rPr>
          <w:fldChar w:fldCharType="separate"/>
        </w:r>
        <w:r w:rsidR="00947605">
          <w:rPr>
            <w:noProof/>
            <w:webHidden/>
          </w:rPr>
          <w:t>55</w:t>
        </w:r>
        <w:r>
          <w:rPr>
            <w:noProof/>
            <w:webHidden/>
          </w:rPr>
          <w:fldChar w:fldCharType="end"/>
        </w:r>
      </w:hyperlink>
    </w:p>
    <w:p w:rsidR="00B94B4A" w:rsidRPr="006F23A1" w:rsidRDefault="00B94B4A">
      <w:pPr>
        <w:pStyle w:val="24"/>
        <w:rPr>
          <w:rFonts w:ascii="Calibri" w:eastAsia="Times New Roman" w:hAnsi="Calibri"/>
          <w:noProof/>
          <w:sz w:val="22"/>
          <w:lang w:eastAsia="ru-RU"/>
        </w:rPr>
      </w:pPr>
      <w:hyperlink w:anchor="_Toc526253879" w:history="1">
        <w:r w:rsidRPr="00860785">
          <w:rPr>
            <w:rStyle w:val="a3"/>
            <w:noProof/>
          </w:rPr>
          <w:t>2.1. Новые вызовы для конкурентного регулирования</w:t>
        </w:r>
        <w:r w:rsidR="00636F0D">
          <w:rPr>
            <w:rStyle w:val="a3"/>
            <w:noProof/>
          </w:rPr>
          <w:t xml:space="preserve"> </w:t>
        </w:r>
        <w:r>
          <w:rPr>
            <w:rStyle w:val="a3"/>
            <w:noProof/>
          </w:rPr>
          <w:br/>
        </w:r>
        <w:r w:rsidRPr="00860785">
          <w:rPr>
            <w:rStyle w:val="a3"/>
            <w:noProof/>
          </w:rPr>
          <w:t>в условиях цифровой экономики</w:t>
        </w:r>
        <w:r>
          <w:rPr>
            <w:noProof/>
            <w:webHidden/>
          </w:rPr>
          <w:tab/>
        </w:r>
        <w:r>
          <w:rPr>
            <w:noProof/>
            <w:webHidden/>
          </w:rPr>
          <w:fldChar w:fldCharType="begin"/>
        </w:r>
        <w:r>
          <w:rPr>
            <w:noProof/>
            <w:webHidden/>
          </w:rPr>
          <w:instrText xml:space="preserve"> PAGEREF _Toc526253879 \h </w:instrText>
        </w:r>
        <w:r>
          <w:rPr>
            <w:noProof/>
            <w:webHidden/>
          </w:rPr>
        </w:r>
        <w:r>
          <w:rPr>
            <w:noProof/>
            <w:webHidden/>
          </w:rPr>
          <w:fldChar w:fldCharType="separate"/>
        </w:r>
        <w:r w:rsidR="00947605">
          <w:rPr>
            <w:noProof/>
            <w:webHidden/>
          </w:rPr>
          <w:t>55</w:t>
        </w:r>
        <w:r>
          <w:rPr>
            <w:noProof/>
            <w:webHidden/>
          </w:rPr>
          <w:fldChar w:fldCharType="end"/>
        </w:r>
      </w:hyperlink>
    </w:p>
    <w:p w:rsidR="00B94B4A" w:rsidRPr="006F23A1" w:rsidRDefault="00B94B4A">
      <w:pPr>
        <w:pStyle w:val="24"/>
        <w:rPr>
          <w:rFonts w:ascii="Calibri" w:eastAsia="Times New Roman" w:hAnsi="Calibri"/>
          <w:noProof/>
          <w:sz w:val="22"/>
          <w:lang w:eastAsia="ru-RU"/>
        </w:rPr>
      </w:pPr>
      <w:hyperlink w:anchor="_Toc526253880" w:history="1">
        <w:r w:rsidRPr="00860785">
          <w:rPr>
            <w:rStyle w:val="a3"/>
            <w:noProof/>
          </w:rPr>
          <w:t>2.2. Анализ международных практик</w:t>
        </w:r>
        <w:r>
          <w:rPr>
            <w:noProof/>
            <w:webHidden/>
          </w:rPr>
          <w:tab/>
        </w:r>
        <w:r>
          <w:rPr>
            <w:noProof/>
            <w:webHidden/>
          </w:rPr>
          <w:fldChar w:fldCharType="begin"/>
        </w:r>
        <w:r>
          <w:rPr>
            <w:noProof/>
            <w:webHidden/>
          </w:rPr>
          <w:instrText xml:space="preserve"> PAGEREF _Toc526253880 \h </w:instrText>
        </w:r>
        <w:r>
          <w:rPr>
            <w:noProof/>
            <w:webHidden/>
          </w:rPr>
        </w:r>
        <w:r>
          <w:rPr>
            <w:noProof/>
            <w:webHidden/>
          </w:rPr>
          <w:fldChar w:fldCharType="separate"/>
        </w:r>
        <w:r w:rsidR="00947605">
          <w:rPr>
            <w:noProof/>
            <w:webHidden/>
          </w:rPr>
          <w:t>60</w:t>
        </w:r>
        <w:r>
          <w:rPr>
            <w:noProof/>
            <w:webHidden/>
          </w:rPr>
          <w:fldChar w:fldCharType="end"/>
        </w:r>
      </w:hyperlink>
    </w:p>
    <w:p w:rsidR="00B94B4A" w:rsidRPr="006F23A1" w:rsidRDefault="00B94B4A">
      <w:pPr>
        <w:pStyle w:val="24"/>
        <w:rPr>
          <w:rFonts w:ascii="Calibri" w:eastAsia="Times New Roman" w:hAnsi="Calibri"/>
          <w:noProof/>
          <w:sz w:val="22"/>
          <w:lang w:eastAsia="ru-RU"/>
        </w:rPr>
      </w:pPr>
      <w:hyperlink w:anchor="_Toc526253881" w:history="1">
        <w:r w:rsidRPr="00860785">
          <w:rPr>
            <w:rStyle w:val="a3"/>
            <w:noProof/>
          </w:rPr>
          <w:t>2.3. Применение антимонопольного законодательства</w:t>
        </w:r>
        <w:r w:rsidR="00636F0D">
          <w:rPr>
            <w:rStyle w:val="a3"/>
            <w:noProof/>
          </w:rPr>
          <w:t xml:space="preserve"> </w:t>
        </w:r>
        <w:r>
          <w:rPr>
            <w:rStyle w:val="a3"/>
            <w:noProof/>
          </w:rPr>
          <w:br/>
        </w:r>
        <w:r w:rsidRPr="00860785">
          <w:rPr>
            <w:rStyle w:val="a3"/>
            <w:noProof/>
          </w:rPr>
          <w:t>в государствах – участниках СНГ</w:t>
        </w:r>
        <w:r>
          <w:rPr>
            <w:noProof/>
            <w:webHidden/>
          </w:rPr>
          <w:tab/>
        </w:r>
        <w:r>
          <w:rPr>
            <w:noProof/>
            <w:webHidden/>
          </w:rPr>
          <w:fldChar w:fldCharType="begin"/>
        </w:r>
        <w:r>
          <w:rPr>
            <w:noProof/>
            <w:webHidden/>
          </w:rPr>
          <w:instrText xml:space="preserve"> PAGEREF _Toc526253881 \h </w:instrText>
        </w:r>
        <w:r>
          <w:rPr>
            <w:noProof/>
            <w:webHidden/>
          </w:rPr>
        </w:r>
        <w:r>
          <w:rPr>
            <w:noProof/>
            <w:webHidden/>
          </w:rPr>
          <w:fldChar w:fldCharType="separate"/>
        </w:r>
        <w:r w:rsidR="00947605">
          <w:rPr>
            <w:noProof/>
            <w:webHidden/>
          </w:rPr>
          <w:t>62</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82" w:history="1">
        <w:r w:rsidRPr="00860785">
          <w:rPr>
            <w:rStyle w:val="a3"/>
            <w:noProof/>
          </w:rPr>
          <w:t>2.3.1. Применение антимонопольного законодательства</w:t>
        </w:r>
        <w:r w:rsidR="00636F0D">
          <w:rPr>
            <w:rStyle w:val="a3"/>
            <w:noProof/>
          </w:rPr>
          <w:t xml:space="preserve"> </w:t>
        </w:r>
        <w:r>
          <w:rPr>
            <w:rStyle w:val="a3"/>
            <w:noProof/>
          </w:rPr>
          <w:br/>
        </w:r>
        <w:r w:rsidRPr="00860785">
          <w:rPr>
            <w:rStyle w:val="a3"/>
            <w:noProof/>
          </w:rPr>
          <w:t>к объектам интеллектуальных прав</w:t>
        </w:r>
        <w:r>
          <w:rPr>
            <w:noProof/>
            <w:webHidden/>
          </w:rPr>
          <w:tab/>
        </w:r>
        <w:r>
          <w:rPr>
            <w:noProof/>
            <w:webHidden/>
          </w:rPr>
          <w:fldChar w:fldCharType="begin"/>
        </w:r>
        <w:r>
          <w:rPr>
            <w:noProof/>
            <w:webHidden/>
          </w:rPr>
          <w:instrText xml:space="preserve"> PAGEREF _Toc526253882 \h </w:instrText>
        </w:r>
        <w:r>
          <w:rPr>
            <w:noProof/>
            <w:webHidden/>
          </w:rPr>
        </w:r>
        <w:r>
          <w:rPr>
            <w:noProof/>
            <w:webHidden/>
          </w:rPr>
          <w:fldChar w:fldCharType="separate"/>
        </w:r>
        <w:r w:rsidR="00947605">
          <w:rPr>
            <w:noProof/>
            <w:webHidden/>
          </w:rPr>
          <w:t>62</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83" w:history="1">
        <w:r w:rsidRPr="00860785">
          <w:rPr>
            <w:rStyle w:val="a3"/>
            <w:noProof/>
          </w:rPr>
          <w:t xml:space="preserve">2.3.2. Изменения подходов к контролю </w:t>
        </w:r>
        <w:r>
          <w:rPr>
            <w:rStyle w:val="a3"/>
            <w:noProof/>
          </w:rPr>
          <w:br/>
        </w:r>
        <w:r w:rsidRPr="00860785">
          <w:rPr>
            <w:rStyle w:val="a3"/>
            <w:noProof/>
          </w:rPr>
          <w:t>экономической концентрации</w:t>
        </w:r>
        <w:r>
          <w:rPr>
            <w:noProof/>
            <w:webHidden/>
          </w:rPr>
          <w:tab/>
        </w:r>
        <w:r>
          <w:rPr>
            <w:noProof/>
            <w:webHidden/>
          </w:rPr>
          <w:fldChar w:fldCharType="begin"/>
        </w:r>
        <w:r>
          <w:rPr>
            <w:noProof/>
            <w:webHidden/>
          </w:rPr>
          <w:instrText xml:space="preserve"> PAGEREF _Toc526253883 \h </w:instrText>
        </w:r>
        <w:r>
          <w:rPr>
            <w:noProof/>
            <w:webHidden/>
          </w:rPr>
        </w:r>
        <w:r>
          <w:rPr>
            <w:noProof/>
            <w:webHidden/>
          </w:rPr>
          <w:fldChar w:fldCharType="separate"/>
        </w:r>
        <w:r w:rsidR="00947605">
          <w:rPr>
            <w:noProof/>
            <w:webHidden/>
          </w:rPr>
          <w:t>67</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84" w:history="1">
        <w:r w:rsidRPr="00860785">
          <w:rPr>
            <w:rStyle w:val="a3"/>
            <w:noProof/>
          </w:rPr>
          <w:t>2.3.3. Новые подходы к проведению анализа рынка</w:t>
        </w:r>
        <w:r>
          <w:rPr>
            <w:noProof/>
            <w:webHidden/>
          </w:rPr>
          <w:tab/>
        </w:r>
        <w:r>
          <w:rPr>
            <w:noProof/>
            <w:webHidden/>
          </w:rPr>
          <w:fldChar w:fldCharType="begin"/>
        </w:r>
        <w:r>
          <w:rPr>
            <w:noProof/>
            <w:webHidden/>
          </w:rPr>
          <w:instrText xml:space="preserve"> PAGEREF _Toc526253884 \h </w:instrText>
        </w:r>
        <w:r>
          <w:rPr>
            <w:noProof/>
            <w:webHidden/>
          </w:rPr>
        </w:r>
        <w:r>
          <w:rPr>
            <w:noProof/>
            <w:webHidden/>
          </w:rPr>
          <w:fldChar w:fldCharType="separate"/>
        </w:r>
        <w:r w:rsidR="00947605">
          <w:rPr>
            <w:noProof/>
            <w:webHidden/>
          </w:rPr>
          <w:t>79</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85" w:history="1">
        <w:r w:rsidRPr="00860785">
          <w:rPr>
            <w:rStyle w:val="a3"/>
            <w:noProof/>
          </w:rPr>
          <w:t xml:space="preserve">2.3.4. Особенности рассмотрения дел </w:t>
        </w:r>
        <w:r>
          <w:rPr>
            <w:rStyle w:val="a3"/>
            <w:noProof/>
          </w:rPr>
          <w:br/>
        </w:r>
        <w:r w:rsidRPr="00860785">
          <w:rPr>
            <w:rStyle w:val="a3"/>
            <w:noProof/>
          </w:rPr>
          <w:t>о нарушении антимонопольного законодательства</w:t>
        </w:r>
        <w:r>
          <w:rPr>
            <w:noProof/>
            <w:webHidden/>
          </w:rPr>
          <w:tab/>
        </w:r>
        <w:r>
          <w:rPr>
            <w:noProof/>
            <w:webHidden/>
          </w:rPr>
          <w:fldChar w:fldCharType="begin"/>
        </w:r>
        <w:r>
          <w:rPr>
            <w:noProof/>
            <w:webHidden/>
          </w:rPr>
          <w:instrText xml:space="preserve"> PAGEREF _Toc526253885 \h </w:instrText>
        </w:r>
        <w:r>
          <w:rPr>
            <w:noProof/>
            <w:webHidden/>
          </w:rPr>
        </w:r>
        <w:r>
          <w:rPr>
            <w:noProof/>
            <w:webHidden/>
          </w:rPr>
          <w:fldChar w:fldCharType="separate"/>
        </w:r>
        <w:r w:rsidR="00947605">
          <w:rPr>
            <w:noProof/>
            <w:webHidden/>
          </w:rPr>
          <w:t>88</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86" w:history="1">
        <w:r w:rsidRPr="00860785">
          <w:rPr>
            <w:rStyle w:val="a3"/>
            <w:noProof/>
          </w:rPr>
          <w:t>2.3.5. Выявление и пресечение антиконкурентных соглашений</w:t>
        </w:r>
        <w:r w:rsidR="00636F0D">
          <w:rPr>
            <w:rStyle w:val="a3"/>
            <w:noProof/>
          </w:rPr>
          <w:t xml:space="preserve"> </w:t>
        </w:r>
        <w:r>
          <w:rPr>
            <w:rStyle w:val="a3"/>
            <w:noProof/>
          </w:rPr>
          <w:br/>
        </w:r>
        <w:r w:rsidRPr="00860785">
          <w:rPr>
            <w:rStyle w:val="a3"/>
            <w:noProof/>
          </w:rPr>
          <w:t>с использованием цифровых технологий</w:t>
        </w:r>
        <w:r>
          <w:rPr>
            <w:noProof/>
            <w:webHidden/>
          </w:rPr>
          <w:tab/>
        </w:r>
        <w:r>
          <w:rPr>
            <w:noProof/>
            <w:webHidden/>
          </w:rPr>
          <w:fldChar w:fldCharType="begin"/>
        </w:r>
        <w:r>
          <w:rPr>
            <w:noProof/>
            <w:webHidden/>
          </w:rPr>
          <w:instrText xml:space="preserve"> PAGEREF _Toc526253886 \h </w:instrText>
        </w:r>
        <w:r>
          <w:rPr>
            <w:noProof/>
            <w:webHidden/>
          </w:rPr>
        </w:r>
        <w:r>
          <w:rPr>
            <w:noProof/>
            <w:webHidden/>
          </w:rPr>
          <w:fldChar w:fldCharType="separate"/>
        </w:r>
        <w:r w:rsidR="00947605">
          <w:rPr>
            <w:noProof/>
            <w:webHidden/>
          </w:rPr>
          <w:t>94</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87" w:history="1">
        <w:r w:rsidRPr="00860785">
          <w:rPr>
            <w:rStyle w:val="a3"/>
            <w:noProof/>
          </w:rPr>
          <w:t>2.3.6. Принудительное лицензирование использования результатов интеллектуальной деятельности</w:t>
        </w:r>
        <w:r>
          <w:rPr>
            <w:noProof/>
            <w:webHidden/>
          </w:rPr>
          <w:tab/>
        </w:r>
        <w:r>
          <w:rPr>
            <w:noProof/>
            <w:webHidden/>
          </w:rPr>
          <w:fldChar w:fldCharType="begin"/>
        </w:r>
        <w:r>
          <w:rPr>
            <w:noProof/>
            <w:webHidden/>
          </w:rPr>
          <w:instrText xml:space="preserve"> PAGEREF _Toc526253887 \h </w:instrText>
        </w:r>
        <w:r>
          <w:rPr>
            <w:noProof/>
            <w:webHidden/>
          </w:rPr>
        </w:r>
        <w:r>
          <w:rPr>
            <w:noProof/>
            <w:webHidden/>
          </w:rPr>
          <w:fldChar w:fldCharType="separate"/>
        </w:r>
        <w:r w:rsidR="00947605">
          <w:rPr>
            <w:noProof/>
            <w:webHidden/>
          </w:rPr>
          <w:t>97</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88" w:history="1">
        <w:r w:rsidRPr="00860785">
          <w:rPr>
            <w:rStyle w:val="a3"/>
            <w:noProof/>
          </w:rPr>
          <w:t xml:space="preserve">2.3.7. Оценка готовности конкурентного законодательства </w:t>
        </w:r>
        <w:r>
          <w:rPr>
            <w:rStyle w:val="a3"/>
            <w:noProof/>
          </w:rPr>
          <w:br/>
        </w:r>
        <w:r w:rsidRPr="00860785">
          <w:rPr>
            <w:rStyle w:val="a3"/>
            <w:noProof/>
          </w:rPr>
          <w:t xml:space="preserve">к новым вызовам и необходимости внесения изменений </w:t>
        </w:r>
        <w:r>
          <w:rPr>
            <w:rStyle w:val="a3"/>
            <w:noProof/>
          </w:rPr>
          <w:br/>
        </w:r>
        <w:r w:rsidRPr="00860785">
          <w:rPr>
            <w:rStyle w:val="a3"/>
            <w:noProof/>
          </w:rPr>
          <w:t>в законодательство</w:t>
        </w:r>
        <w:r>
          <w:rPr>
            <w:noProof/>
            <w:webHidden/>
          </w:rPr>
          <w:tab/>
        </w:r>
        <w:r>
          <w:rPr>
            <w:noProof/>
            <w:webHidden/>
          </w:rPr>
          <w:fldChar w:fldCharType="begin"/>
        </w:r>
        <w:r>
          <w:rPr>
            <w:noProof/>
            <w:webHidden/>
          </w:rPr>
          <w:instrText xml:space="preserve"> PAGEREF _Toc526253888 \h </w:instrText>
        </w:r>
        <w:r>
          <w:rPr>
            <w:noProof/>
            <w:webHidden/>
          </w:rPr>
        </w:r>
        <w:r>
          <w:rPr>
            <w:noProof/>
            <w:webHidden/>
          </w:rPr>
          <w:fldChar w:fldCharType="separate"/>
        </w:r>
        <w:r w:rsidR="00947605">
          <w:rPr>
            <w:noProof/>
            <w:webHidden/>
          </w:rPr>
          <w:t>106</w:t>
        </w:r>
        <w:r>
          <w:rPr>
            <w:noProof/>
            <w:webHidden/>
          </w:rPr>
          <w:fldChar w:fldCharType="end"/>
        </w:r>
      </w:hyperlink>
    </w:p>
    <w:p w:rsidR="00B94B4A" w:rsidRPr="006F23A1" w:rsidRDefault="00B94B4A">
      <w:pPr>
        <w:pStyle w:val="24"/>
        <w:rPr>
          <w:rFonts w:ascii="Calibri" w:eastAsia="Times New Roman" w:hAnsi="Calibri"/>
          <w:noProof/>
          <w:sz w:val="22"/>
          <w:lang w:eastAsia="ru-RU"/>
        </w:rPr>
      </w:pPr>
      <w:hyperlink w:anchor="_Toc526253889" w:history="1">
        <w:r w:rsidRPr="00860785">
          <w:rPr>
            <w:rStyle w:val="a3"/>
            <w:noProof/>
          </w:rPr>
          <w:t>2.4. Важные инициативы, которые влияют или могут повлиять</w:t>
        </w:r>
        <w:r w:rsidR="00636F0D">
          <w:rPr>
            <w:rStyle w:val="a3"/>
            <w:noProof/>
          </w:rPr>
          <w:t xml:space="preserve"> </w:t>
        </w:r>
        <w:r>
          <w:rPr>
            <w:rStyle w:val="a3"/>
            <w:noProof/>
          </w:rPr>
          <w:br/>
        </w:r>
        <w:r w:rsidRPr="00860785">
          <w:rPr>
            <w:rStyle w:val="a3"/>
            <w:noProof/>
          </w:rPr>
          <w:t xml:space="preserve">на развитие конкуренции, функционирование </w:t>
        </w:r>
        <w:r>
          <w:rPr>
            <w:rStyle w:val="a3"/>
            <w:noProof/>
          </w:rPr>
          <w:br/>
        </w:r>
        <w:r w:rsidRPr="00860785">
          <w:rPr>
            <w:rStyle w:val="a3"/>
            <w:noProof/>
          </w:rPr>
          <w:t>цифровой экономики, оценка их разработки и реализации</w:t>
        </w:r>
        <w:r>
          <w:rPr>
            <w:noProof/>
            <w:webHidden/>
          </w:rPr>
          <w:tab/>
        </w:r>
        <w:r>
          <w:rPr>
            <w:noProof/>
            <w:webHidden/>
          </w:rPr>
          <w:fldChar w:fldCharType="begin"/>
        </w:r>
        <w:r>
          <w:rPr>
            <w:noProof/>
            <w:webHidden/>
          </w:rPr>
          <w:instrText xml:space="preserve"> PAGEREF _Toc526253889 \h </w:instrText>
        </w:r>
        <w:r>
          <w:rPr>
            <w:noProof/>
            <w:webHidden/>
          </w:rPr>
        </w:r>
        <w:r>
          <w:rPr>
            <w:noProof/>
            <w:webHidden/>
          </w:rPr>
          <w:fldChar w:fldCharType="separate"/>
        </w:r>
        <w:r w:rsidR="00947605">
          <w:rPr>
            <w:noProof/>
            <w:webHidden/>
          </w:rPr>
          <w:t>107</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90" w:history="1">
        <w:r w:rsidRPr="00860785">
          <w:rPr>
            <w:rStyle w:val="a3"/>
            <w:noProof/>
          </w:rPr>
          <w:t>2.4.1. Цифровизация государственных процессов</w:t>
        </w:r>
        <w:r w:rsidR="00636F0D">
          <w:rPr>
            <w:rStyle w:val="a3"/>
            <w:noProof/>
          </w:rPr>
          <w:t xml:space="preserve"> </w:t>
        </w:r>
        <w:r>
          <w:rPr>
            <w:rStyle w:val="a3"/>
            <w:noProof/>
          </w:rPr>
          <w:br/>
        </w:r>
        <w:r w:rsidRPr="00860785">
          <w:rPr>
            <w:rStyle w:val="a3"/>
            <w:noProof/>
          </w:rPr>
          <w:t xml:space="preserve">предоставления прав в отношении государственного </w:t>
        </w:r>
        <w:r>
          <w:rPr>
            <w:rStyle w:val="a3"/>
            <w:noProof/>
          </w:rPr>
          <w:br/>
        </w:r>
        <w:r w:rsidRPr="00860785">
          <w:rPr>
            <w:rStyle w:val="a3"/>
            <w:noProof/>
          </w:rPr>
          <w:t>имущества,</w:t>
        </w:r>
        <w:r w:rsidR="00636F0D">
          <w:rPr>
            <w:rStyle w:val="a3"/>
            <w:noProof/>
          </w:rPr>
          <w:t xml:space="preserve"> </w:t>
        </w:r>
        <w:r w:rsidRPr="00860785">
          <w:rPr>
            <w:rStyle w:val="a3"/>
            <w:noProof/>
          </w:rPr>
          <w:t>имущественных прав и природных ресурсов</w:t>
        </w:r>
        <w:r>
          <w:rPr>
            <w:noProof/>
            <w:webHidden/>
          </w:rPr>
          <w:tab/>
        </w:r>
        <w:r>
          <w:rPr>
            <w:noProof/>
            <w:webHidden/>
          </w:rPr>
          <w:fldChar w:fldCharType="begin"/>
        </w:r>
        <w:r>
          <w:rPr>
            <w:noProof/>
            <w:webHidden/>
          </w:rPr>
          <w:instrText xml:space="preserve"> PAGEREF _Toc526253890 \h </w:instrText>
        </w:r>
        <w:r>
          <w:rPr>
            <w:noProof/>
            <w:webHidden/>
          </w:rPr>
        </w:r>
        <w:r>
          <w:rPr>
            <w:noProof/>
            <w:webHidden/>
          </w:rPr>
          <w:fldChar w:fldCharType="separate"/>
        </w:r>
        <w:r w:rsidR="00947605">
          <w:rPr>
            <w:noProof/>
            <w:webHidden/>
          </w:rPr>
          <w:t>107</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91" w:history="1">
        <w:r w:rsidRPr="00860785">
          <w:rPr>
            <w:rStyle w:val="a3"/>
            <w:noProof/>
          </w:rPr>
          <w:t>2.4.2. Цифровизация системы закупок товаров, работ, услуг</w:t>
        </w:r>
        <w:r>
          <w:rPr>
            <w:noProof/>
            <w:webHidden/>
          </w:rPr>
          <w:tab/>
        </w:r>
        <w:r>
          <w:rPr>
            <w:noProof/>
            <w:webHidden/>
          </w:rPr>
          <w:fldChar w:fldCharType="begin"/>
        </w:r>
        <w:r>
          <w:rPr>
            <w:noProof/>
            <w:webHidden/>
          </w:rPr>
          <w:instrText xml:space="preserve"> PAGEREF _Toc526253891 \h </w:instrText>
        </w:r>
        <w:r>
          <w:rPr>
            <w:noProof/>
            <w:webHidden/>
          </w:rPr>
        </w:r>
        <w:r>
          <w:rPr>
            <w:noProof/>
            <w:webHidden/>
          </w:rPr>
          <w:fldChar w:fldCharType="separate"/>
        </w:r>
        <w:r w:rsidR="00947605">
          <w:rPr>
            <w:noProof/>
            <w:webHidden/>
          </w:rPr>
          <w:t>113</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92" w:history="1">
        <w:r w:rsidRPr="00860785">
          <w:rPr>
            <w:rStyle w:val="a3"/>
            <w:noProof/>
          </w:rPr>
          <w:t>2.4.3. Система контрактации и электронных торговых площадок</w:t>
        </w:r>
        <w:r>
          <w:rPr>
            <w:noProof/>
            <w:webHidden/>
          </w:rPr>
          <w:tab/>
        </w:r>
        <w:r>
          <w:rPr>
            <w:noProof/>
            <w:webHidden/>
          </w:rPr>
          <w:fldChar w:fldCharType="begin"/>
        </w:r>
        <w:r>
          <w:rPr>
            <w:noProof/>
            <w:webHidden/>
          </w:rPr>
          <w:instrText xml:space="preserve"> PAGEREF _Toc526253892 \h </w:instrText>
        </w:r>
        <w:r>
          <w:rPr>
            <w:noProof/>
            <w:webHidden/>
          </w:rPr>
        </w:r>
        <w:r>
          <w:rPr>
            <w:noProof/>
            <w:webHidden/>
          </w:rPr>
          <w:fldChar w:fldCharType="separate"/>
        </w:r>
        <w:r w:rsidR="00947605">
          <w:rPr>
            <w:noProof/>
            <w:webHidden/>
          </w:rPr>
          <w:t>124</w:t>
        </w:r>
        <w:r>
          <w:rPr>
            <w:noProof/>
            <w:webHidden/>
          </w:rPr>
          <w:fldChar w:fldCharType="end"/>
        </w:r>
      </w:hyperlink>
    </w:p>
    <w:p w:rsidR="00B94B4A" w:rsidRPr="006F23A1" w:rsidRDefault="00B94B4A" w:rsidP="00B94B4A">
      <w:pPr>
        <w:pStyle w:val="35"/>
        <w:rPr>
          <w:rFonts w:ascii="Calibri" w:eastAsia="Times New Roman" w:hAnsi="Calibri"/>
          <w:noProof/>
          <w:sz w:val="22"/>
          <w:lang w:eastAsia="ru-RU"/>
        </w:rPr>
      </w:pPr>
      <w:hyperlink w:anchor="_Toc526253893" w:history="1">
        <w:r w:rsidRPr="00860785">
          <w:rPr>
            <w:rStyle w:val="a3"/>
            <w:noProof/>
          </w:rPr>
          <w:t>2.4.4. Цифровизация контрольно-надзорной деятельности</w:t>
        </w:r>
        <w:r>
          <w:rPr>
            <w:noProof/>
            <w:webHidden/>
          </w:rPr>
          <w:tab/>
        </w:r>
        <w:r>
          <w:rPr>
            <w:noProof/>
            <w:webHidden/>
          </w:rPr>
          <w:fldChar w:fldCharType="begin"/>
        </w:r>
        <w:r>
          <w:rPr>
            <w:noProof/>
            <w:webHidden/>
          </w:rPr>
          <w:instrText xml:space="preserve"> PAGEREF _Toc526253893 \h </w:instrText>
        </w:r>
        <w:r>
          <w:rPr>
            <w:noProof/>
            <w:webHidden/>
          </w:rPr>
        </w:r>
        <w:r>
          <w:rPr>
            <w:noProof/>
            <w:webHidden/>
          </w:rPr>
          <w:fldChar w:fldCharType="separate"/>
        </w:r>
        <w:r w:rsidR="00947605">
          <w:rPr>
            <w:noProof/>
            <w:webHidden/>
          </w:rPr>
          <w:t>128</w:t>
        </w:r>
        <w:r>
          <w:rPr>
            <w:noProof/>
            <w:webHidden/>
          </w:rPr>
          <w:fldChar w:fldCharType="end"/>
        </w:r>
      </w:hyperlink>
    </w:p>
    <w:p w:rsidR="00B94B4A" w:rsidRPr="006F23A1" w:rsidRDefault="00B94B4A" w:rsidP="00B94B4A">
      <w:pPr>
        <w:pStyle w:val="14"/>
        <w:rPr>
          <w:rFonts w:ascii="Calibri" w:eastAsia="Times New Roman" w:hAnsi="Calibri"/>
          <w:noProof/>
          <w:sz w:val="22"/>
          <w:lang w:eastAsia="ru-RU"/>
        </w:rPr>
      </w:pPr>
      <w:hyperlink w:anchor="_Toc526253894" w:history="1">
        <w:r w:rsidRPr="00860785">
          <w:rPr>
            <w:rStyle w:val="a3"/>
            <w:noProof/>
          </w:rPr>
          <w:t>Выводы и предложения</w:t>
        </w:r>
        <w:r>
          <w:rPr>
            <w:noProof/>
            <w:webHidden/>
          </w:rPr>
          <w:tab/>
        </w:r>
        <w:r>
          <w:rPr>
            <w:noProof/>
            <w:webHidden/>
          </w:rPr>
          <w:fldChar w:fldCharType="begin"/>
        </w:r>
        <w:r>
          <w:rPr>
            <w:noProof/>
            <w:webHidden/>
          </w:rPr>
          <w:instrText xml:space="preserve"> PAGEREF _Toc526253894 \h </w:instrText>
        </w:r>
        <w:r>
          <w:rPr>
            <w:noProof/>
            <w:webHidden/>
          </w:rPr>
        </w:r>
        <w:r>
          <w:rPr>
            <w:noProof/>
            <w:webHidden/>
          </w:rPr>
          <w:fldChar w:fldCharType="separate"/>
        </w:r>
        <w:r w:rsidR="00947605">
          <w:rPr>
            <w:noProof/>
            <w:webHidden/>
          </w:rPr>
          <w:t>132</w:t>
        </w:r>
        <w:r>
          <w:rPr>
            <w:noProof/>
            <w:webHidden/>
          </w:rPr>
          <w:fldChar w:fldCharType="end"/>
        </w:r>
      </w:hyperlink>
    </w:p>
    <w:p w:rsidR="004D2C9E" w:rsidRPr="009404EE" w:rsidRDefault="004D2C9E" w:rsidP="004D2C9E">
      <w:pPr>
        <w:spacing w:after="0"/>
        <w:ind w:firstLine="851"/>
        <w:rPr>
          <w:rFonts w:ascii="Times New Roman" w:hAnsi="Times New Roman"/>
          <w:sz w:val="2"/>
          <w:szCs w:val="2"/>
        </w:rPr>
      </w:pPr>
      <w:r w:rsidRPr="009404EE">
        <w:rPr>
          <w:rFonts w:ascii="Times New Roman" w:hAnsi="Times New Roman"/>
          <w:sz w:val="28"/>
          <w:szCs w:val="28"/>
        </w:rPr>
        <w:fldChar w:fldCharType="end"/>
      </w:r>
    </w:p>
    <w:p w:rsidR="0068434D" w:rsidRDefault="00DD1FD6" w:rsidP="004D2C9E">
      <w:pPr>
        <w:pStyle w:val="1"/>
      </w:pPr>
      <w:bookmarkStart w:id="3" w:name="_Toc526253873"/>
      <w:r>
        <w:t>Введение</w:t>
      </w:r>
      <w:bookmarkEnd w:id="3"/>
    </w:p>
    <w:p w:rsidR="005E3E34" w:rsidRPr="004F1241" w:rsidRDefault="005E3E34" w:rsidP="004D2C9E">
      <w:pPr>
        <w:pStyle w:val="af8"/>
      </w:pPr>
      <w:r w:rsidRPr="004F1241">
        <w:t xml:space="preserve">Мировая экономика </w:t>
      </w:r>
      <w:r w:rsidR="00283358" w:rsidRPr="004F1241">
        <w:t xml:space="preserve">сегодня </w:t>
      </w:r>
      <w:r w:rsidRPr="004F1241">
        <w:t xml:space="preserve">находится на этапе глубоких преобразований, </w:t>
      </w:r>
      <w:r w:rsidR="00283358" w:rsidRPr="004F1241">
        <w:t>расширяется</w:t>
      </w:r>
      <w:r w:rsidRPr="004F1241">
        <w:t xml:space="preserve"> цифровая трансформация в повседневной жизни, бизнесе и государственном управлении.</w:t>
      </w:r>
    </w:p>
    <w:p w:rsidR="00A973E8" w:rsidRPr="00E716F8" w:rsidRDefault="00EB2D55" w:rsidP="004D2C9E">
      <w:pPr>
        <w:spacing w:after="0" w:line="240" w:lineRule="auto"/>
        <w:ind w:firstLine="709"/>
        <w:jc w:val="both"/>
        <w:rPr>
          <w:rFonts w:ascii="Times New Roman" w:hAnsi="Times New Roman"/>
          <w:sz w:val="28"/>
          <w:szCs w:val="28"/>
        </w:rPr>
      </w:pPr>
      <w:r w:rsidRPr="004F1241">
        <w:rPr>
          <w:rFonts w:ascii="Times New Roman" w:hAnsi="Times New Roman"/>
          <w:sz w:val="28"/>
          <w:szCs w:val="28"/>
        </w:rPr>
        <w:t>Р</w:t>
      </w:r>
      <w:r w:rsidR="005E3E34" w:rsidRPr="004F1241">
        <w:rPr>
          <w:rFonts w:ascii="Times New Roman" w:hAnsi="Times New Roman"/>
          <w:sz w:val="28"/>
          <w:szCs w:val="28"/>
        </w:rPr>
        <w:t xml:space="preserve">азвитие цифровой экономики </w:t>
      </w:r>
      <w:r w:rsidR="00A973E8" w:rsidRPr="004F1241">
        <w:rPr>
          <w:rFonts w:ascii="Times New Roman" w:hAnsi="Times New Roman"/>
          <w:sz w:val="28"/>
          <w:szCs w:val="28"/>
        </w:rPr>
        <w:t>способствует</w:t>
      </w:r>
      <w:r w:rsidR="005E3E34" w:rsidRPr="004F1241">
        <w:rPr>
          <w:rFonts w:ascii="Times New Roman" w:hAnsi="Times New Roman"/>
          <w:sz w:val="28"/>
          <w:szCs w:val="28"/>
        </w:rPr>
        <w:t xml:space="preserve"> переходу государств – участников СНГ к новому технологическому укладу, созда</w:t>
      </w:r>
      <w:r w:rsidR="00283358" w:rsidRPr="004F1241">
        <w:rPr>
          <w:rFonts w:ascii="Times New Roman" w:hAnsi="Times New Roman"/>
          <w:sz w:val="28"/>
          <w:szCs w:val="28"/>
        </w:rPr>
        <w:t xml:space="preserve">ет дополнительные </w:t>
      </w:r>
      <w:r w:rsidR="005E3E34" w:rsidRPr="004F1241">
        <w:rPr>
          <w:rFonts w:ascii="Times New Roman" w:hAnsi="Times New Roman"/>
          <w:sz w:val="28"/>
          <w:szCs w:val="28"/>
        </w:rPr>
        <w:t>услови</w:t>
      </w:r>
      <w:r w:rsidR="00283358" w:rsidRPr="004F1241">
        <w:rPr>
          <w:rFonts w:ascii="Times New Roman" w:hAnsi="Times New Roman"/>
          <w:sz w:val="28"/>
          <w:szCs w:val="28"/>
        </w:rPr>
        <w:t>я</w:t>
      </w:r>
      <w:r w:rsidR="005E3E34" w:rsidRPr="004F1241">
        <w:rPr>
          <w:rFonts w:ascii="Times New Roman" w:hAnsi="Times New Roman"/>
          <w:sz w:val="28"/>
          <w:szCs w:val="28"/>
        </w:rPr>
        <w:t xml:space="preserve"> для равного доступа на рынки, развития добросовестной конкуренции и предпринимательства.</w:t>
      </w:r>
    </w:p>
    <w:p w:rsidR="0068434D" w:rsidRDefault="0068434D" w:rsidP="006B6DA1">
      <w:pPr>
        <w:spacing w:after="0" w:line="240" w:lineRule="auto"/>
        <w:ind w:firstLine="709"/>
        <w:jc w:val="both"/>
        <w:rPr>
          <w:rFonts w:ascii="Times New Roman" w:hAnsi="Times New Roman"/>
          <w:sz w:val="28"/>
          <w:szCs w:val="28"/>
        </w:rPr>
      </w:pPr>
      <w:r>
        <w:rPr>
          <w:rFonts w:ascii="Times New Roman" w:hAnsi="Times New Roman"/>
          <w:sz w:val="28"/>
          <w:szCs w:val="28"/>
        </w:rPr>
        <w:t>Цифровая экономика</w:t>
      </w:r>
      <w:r w:rsidR="00283358">
        <w:rPr>
          <w:rFonts w:ascii="Times New Roman" w:hAnsi="Times New Roman"/>
          <w:sz w:val="28"/>
          <w:szCs w:val="28"/>
        </w:rPr>
        <w:t xml:space="preserve"> как</w:t>
      </w:r>
      <w:r>
        <w:rPr>
          <w:rFonts w:ascii="Times New Roman" w:hAnsi="Times New Roman"/>
          <w:sz w:val="28"/>
          <w:szCs w:val="28"/>
        </w:rPr>
        <w:t xml:space="preserve"> качественно новая система экономических правоотношений появилась и развивается в новой парадигме цифровых отношений</w:t>
      </w:r>
      <w:r w:rsidRPr="004B0C99">
        <w:rPr>
          <w:rFonts w:ascii="Times New Roman" w:hAnsi="Times New Roman"/>
          <w:sz w:val="28"/>
          <w:szCs w:val="28"/>
        </w:rPr>
        <w:t xml:space="preserve">. </w:t>
      </w:r>
    </w:p>
    <w:p w:rsidR="0068434D" w:rsidRPr="00485C49" w:rsidRDefault="00283358" w:rsidP="004D2C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w:t>
      </w:r>
      <w:r w:rsidR="0068434D" w:rsidRPr="00FE5F1C">
        <w:rPr>
          <w:rFonts w:ascii="Times New Roman" w:hAnsi="Times New Roman"/>
          <w:color w:val="000000"/>
          <w:sz w:val="28"/>
          <w:szCs w:val="28"/>
        </w:rPr>
        <w:t xml:space="preserve">ехнологическая революция стирает грань между пользователями технологий и их создателями, поскольку новые технологии являются прежде всего процессами, которые </w:t>
      </w:r>
      <w:r>
        <w:rPr>
          <w:rFonts w:ascii="Times New Roman" w:hAnsi="Times New Roman"/>
          <w:color w:val="000000"/>
          <w:sz w:val="28"/>
          <w:szCs w:val="28"/>
        </w:rPr>
        <w:t>человечество</w:t>
      </w:r>
      <w:r w:rsidR="0068434D" w:rsidRPr="00FE5F1C">
        <w:rPr>
          <w:rFonts w:ascii="Times New Roman" w:hAnsi="Times New Roman"/>
          <w:color w:val="000000"/>
          <w:sz w:val="28"/>
          <w:szCs w:val="28"/>
        </w:rPr>
        <w:t xml:space="preserve"> адаптиру</w:t>
      </w:r>
      <w:r>
        <w:rPr>
          <w:rFonts w:ascii="Times New Roman" w:hAnsi="Times New Roman"/>
          <w:color w:val="000000"/>
          <w:sz w:val="28"/>
          <w:szCs w:val="28"/>
        </w:rPr>
        <w:t>е</w:t>
      </w:r>
      <w:r w:rsidR="0068434D" w:rsidRPr="00FE5F1C">
        <w:rPr>
          <w:rFonts w:ascii="Times New Roman" w:hAnsi="Times New Roman"/>
          <w:color w:val="000000"/>
          <w:sz w:val="28"/>
          <w:szCs w:val="28"/>
        </w:rPr>
        <w:t>т для своих нужд и</w:t>
      </w:r>
      <w:r w:rsidR="00EF77DE">
        <w:rPr>
          <w:rFonts w:ascii="Times New Roman" w:hAnsi="Times New Roman"/>
          <w:color w:val="000000"/>
          <w:sz w:val="28"/>
          <w:szCs w:val="28"/>
        </w:rPr>
        <w:t>,</w:t>
      </w:r>
      <w:r w:rsidR="0068434D" w:rsidRPr="00FE5F1C">
        <w:rPr>
          <w:rFonts w:ascii="Times New Roman" w:hAnsi="Times New Roman"/>
          <w:color w:val="000000"/>
          <w:sz w:val="28"/>
          <w:szCs w:val="28"/>
        </w:rPr>
        <w:t xml:space="preserve"> таким образом</w:t>
      </w:r>
      <w:r w:rsidR="00EF77DE">
        <w:rPr>
          <w:rFonts w:ascii="Times New Roman" w:hAnsi="Times New Roman"/>
          <w:color w:val="000000"/>
          <w:sz w:val="28"/>
          <w:szCs w:val="28"/>
        </w:rPr>
        <w:t>,</w:t>
      </w:r>
      <w:r w:rsidR="0068434D" w:rsidRPr="00FE5F1C">
        <w:rPr>
          <w:rFonts w:ascii="Times New Roman" w:hAnsi="Times New Roman"/>
          <w:color w:val="000000"/>
          <w:sz w:val="28"/>
          <w:szCs w:val="28"/>
        </w:rPr>
        <w:t xml:space="preserve"> развива</w:t>
      </w:r>
      <w:r>
        <w:rPr>
          <w:rFonts w:ascii="Times New Roman" w:hAnsi="Times New Roman"/>
          <w:color w:val="000000"/>
          <w:sz w:val="28"/>
          <w:szCs w:val="28"/>
        </w:rPr>
        <w:t>е</w:t>
      </w:r>
      <w:r w:rsidR="0068434D" w:rsidRPr="00FE5F1C">
        <w:rPr>
          <w:rFonts w:ascii="Times New Roman" w:hAnsi="Times New Roman"/>
          <w:color w:val="000000"/>
          <w:sz w:val="28"/>
          <w:szCs w:val="28"/>
        </w:rPr>
        <w:t xml:space="preserve">т. </w:t>
      </w:r>
      <w:r>
        <w:rPr>
          <w:rFonts w:ascii="Times New Roman" w:hAnsi="Times New Roman"/>
          <w:color w:val="000000"/>
          <w:sz w:val="28"/>
          <w:szCs w:val="28"/>
        </w:rPr>
        <w:t>При этом</w:t>
      </w:r>
      <w:r w:rsidR="0068434D" w:rsidRPr="00FE5F1C">
        <w:rPr>
          <w:rFonts w:ascii="Times New Roman" w:hAnsi="Times New Roman"/>
          <w:color w:val="000000"/>
          <w:sz w:val="28"/>
          <w:szCs w:val="28"/>
        </w:rPr>
        <w:t xml:space="preserve"> информационные технологии</w:t>
      </w:r>
      <w:r>
        <w:rPr>
          <w:rFonts w:ascii="Times New Roman" w:hAnsi="Times New Roman"/>
          <w:color w:val="000000"/>
          <w:sz w:val="28"/>
          <w:szCs w:val="28"/>
        </w:rPr>
        <w:t>,</w:t>
      </w:r>
      <w:r w:rsidR="0068434D" w:rsidRPr="00FE5F1C">
        <w:rPr>
          <w:rFonts w:ascii="Times New Roman" w:hAnsi="Times New Roman"/>
          <w:color w:val="000000"/>
          <w:sz w:val="28"/>
          <w:szCs w:val="28"/>
        </w:rPr>
        <w:t xml:space="preserve"> име</w:t>
      </w:r>
      <w:r>
        <w:rPr>
          <w:rFonts w:ascii="Times New Roman" w:hAnsi="Times New Roman"/>
          <w:color w:val="000000"/>
          <w:sz w:val="28"/>
          <w:szCs w:val="28"/>
        </w:rPr>
        <w:t>я</w:t>
      </w:r>
      <w:r w:rsidR="0068434D" w:rsidRPr="00FE5F1C">
        <w:rPr>
          <w:rFonts w:ascii="Times New Roman" w:hAnsi="Times New Roman"/>
          <w:color w:val="000000"/>
          <w:sz w:val="28"/>
          <w:szCs w:val="28"/>
        </w:rPr>
        <w:t xml:space="preserve"> глобальный характер</w:t>
      </w:r>
      <w:r>
        <w:rPr>
          <w:rFonts w:ascii="Times New Roman" w:hAnsi="Times New Roman"/>
          <w:color w:val="000000"/>
          <w:sz w:val="28"/>
          <w:szCs w:val="28"/>
        </w:rPr>
        <w:t>,</w:t>
      </w:r>
      <w:r w:rsidR="0068434D" w:rsidRPr="00FE5F1C">
        <w:rPr>
          <w:rFonts w:ascii="Times New Roman" w:hAnsi="Times New Roman"/>
          <w:color w:val="000000"/>
          <w:sz w:val="28"/>
          <w:szCs w:val="28"/>
        </w:rPr>
        <w:t xml:space="preserve"> измен</w:t>
      </w:r>
      <w:r>
        <w:rPr>
          <w:rFonts w:ascii="Times New Roman" w:hAnsi="Times New Roman"/>
          <w:color w:val="000000"/>
          <w:sz w:val="28"/>
          <w:szCs w:val="28"/>
        </w:rPr>
        <w:t>яют</w:t>
      </w:r>
      <w:r w:rsidR="0068434D" w:rsidRPr="00FE5F1C">
        <w:rPr>
          <w:rFonts w:ascii="Times New Roman" w:hAnsi="Times New Roman"/>
          <w:color w:val="000000"/>
          <w:sz w:val="28"/>
          <w:szCs w:val="28"/>
        </w:rPr>
        <w:t xml:space="preserve"> общество, культуру и экономику. </w:t>
      </w:r>
    </w:p>
    <w:p w:rsidR="0068434D" w:rsidRPr="00FE5F1C" w:rsidRDefault="00EF77DE" w:rsidP="004D2C9E">
      <w:pPr>
        <w:spacing w:after="0" w:line="240" w:lineRule="auto"/>
        <w:ind w:firstLine="709"/>
        <w:jc w:val="both"/>
        <w:rPr>
          <w:rFonts w:ascii="Times New Roman" w:hAnsi="Times New Roman"/>
          <w:color w:val="000000"/>
          <w:sz w:val="28"/>
          <w:szCs w:val="28"/>
        </w:rPr>
      </w:pPr>
      <w:r w:rsidRPr="00EF77DE">
        <w:rPr>
          <w:rFonts w:ascii="Times New Roman" w:hAnsi="Times New Roman"/>
          <w:color w:val="000000"/>
          <w:sz w:val="28"/>
          <w:szCs w:val="28"/>
        </w:rPr>
        <w:t>Цифровая экономика</w:t>
      </w:r>
      <w:r w:rsidR="0068434D" w:rsidRPr="00FE5F1C">
        <w:rPr>
          <w:rFonts w:ascii="Times New Roman" w:hAnsi="Times New Roman"/>
          <w:color w:val="000000"/>
          <w:sz w:val="28"/>
          <w:szCs w:val="28"/>
        </w:rPr>
        <w:t xml:space="preserve"> заимствует свои основные черты у информационных технологий: она является информационной, глобальной и сетевой, т</w:t>
      </w:r>
      <w:r>
        <w:rPr>
          <w:rFonts w:ascii="Times New Roman" w:hAnsi="Times New Roman"/>
          <w:color w:val="000000"/>
          <w:sz w:val="28"/>
          <w:szCs w:val="28"/>
        </w:rPr>
        <w:t>.</w:t>
      </w:r>
      <w:r w:rsidR="0068434D" w:rsidRPr="00FE5F1C">
        <w:rPr>
          <w:rFonts w:ascii="Times New Roman" w:hAnsi="Times New Roman"/>
          <w:color w:val="000000"/>
          <w:sz w:val="28"/>
          <w:szCs w:val="28"/>
        </w:rPr>
        <w:t>е</w:t>
      </w:r>
      <w:r>
        <w:rPr>
          <w:rFonts w:ascii="Times New Roman" w:hAnsi="Times New Roman"/>
          <w:color w:val="000000"/>
          <w:sz w:val="28"/>
          <w:szCs w:val="28"/>
        </w:rPr>
        <w:t>.</w:t>
      </w:r>
      <w:r w:rsidR="0068434D" w:rsidRPr="00FE5F1C">
        <w:rPr>
          <w:rFonts w:ascii="Times New Roman" w:hAnsi="Times New Roman"/>
          <w:color w:val="000000"/>
          <w:sz w:val="28"/>
          <w:szCs w:val="28"/>
        </w:rPr>
        <w:t xml:space="preserve"> непосредственно зависит от эффективного производства и использования знания, организует производство, потребление и обмен в мировом масштабе, при котором все экономические процессы оказываются встроенными в глобальную сеть взаимодействия между локальными бизнес-сетями.</w:t>
      </w:r>
    </w:p>
    <w:p w:rsidR="0068434D" w:rsidRPr="004B0C99" w:rsidRDefault="00EB2D55" w:rsidP="004D2C9E">
      <w:pPr>
        <w:spacing w:after="0" w:line="240" w:lineRule="auto"/>
        <w:ind w:firstLine="709"/>
        <w:jc w:val="both"/>
        <w:rPr>
          <w:rFonts w:ascii="Times New Roman" w:hAnsi="Times New Roman"/>
          <w:sz w:val="28"/>
          <w:szCs w:val="28"/>
        </w:rPr>
      </w:pPr>
      <w:r>
        <w:rPr>
          <w:rFonts w:ascii="Times New Roman" w:hAnsi="Times New Roman"/>
          <w:sz w:val="28"/>
          <w:szCs w:val="28"/>
        </w:rPr>
        <w:t>К</w:t>
      </w:r>
      <w:r w:rsidR="0068434D">
        <w:rPr>
          <w:rFonts w:ascii="Times New Roman" w:hAnsi="Times New Roman"/>
          <w:sz w:val="28"/>
          <w:szCs w:val="28"/>
        </w:rPr>
        <w:t>онкуренция</w:t>
      </w:r>
      <w:r>
        <w:rPr>
          <w:rFonts w:ascii="Times New Roman" w:hAnsi="Times New Roman"/>
          <w:sz w:val="28"/>
          <w:szCs w:val="28"/>
        </w:rPr>
        <w:t>,</w:t>
      </w:r>
      <w:r w:rsidR="0068434D">
        <w:rPr>
          <w:rFonts w:ascii="Times New Roman" w:hAnsi="Times New Roman"/>
          <w:sz w:val="28"/>
          <w:szCs w:val="28"/>
        </w:rPr>
        <w:t xml:space="preserve"> явля</w:t>
      </w:r>
      <w:r>
        <w:rPr>
          <w:rFonts w:ascii="Times New Roman" w:hAnsi="Times New Roman"/>
          <w:sz w:val="28"/>
          <w:szCs w:val="28"/>
        </w:rPr>
        <w:t>ясь</w:t>
      </w:r>
      <w:r w:rsidR="0068434D">
        <w:rPr>
          <w:rFonts w:ascii="Times New Roman" w:hAnsi="Times New Roman"/>
          <w:sz w:val="28"/>
          <w:szCs w:val="28"/>
        </w:rPr>
        <w:t xml:space="preserve"> неотъемлемой составляющей экономического развития, в новых условиях цифровой экономики обеспечит инновационное развитие в будущем.</w:t>
      </w:r>
    </w:p>
    <w:p w:rsidR="0068434D" w:rsidRDefault="0068434D" w:rsidP="004D2C9E">
      <w:pPr>
        <w:spacing w:after="0" w:line="240" w:lineRule="auto"/>
        <w:ind w:firstLine="709"/>
        <w:jc w:val="both"/>
        <w:rPr>
          <w:rFonts w:ascii="Times New Roman" w:hAnsi="Times New Roman"/>
          <w:sz w:val="28"/>
          <w:szCs w:val="28"/>
        </w:rPr>
      </w:pPr>
      <w:r w:rsidRPr="00F57C0F">
        <w:rPr>
          <w:rFonts w:ascii="Times New Roman" w:hAnsi="Times New Roman"/>
          <w:sz w:val="28"/>
          <w:szCs w:val="28"/>
        </w:rPr>
        <w:t>В ряде секторов (в т</w:t>
      </w:r>
      <w:r w:rsidR="00EF77DE">
        <w:rPr>
          <w:rFonts w:ascii="Times New Roman" w:hAnsi="Times New Roman"/>
          <w:sz w:val="28"/>
          <w:szCs w:val="28"/>
        </w:rPr>
        <w:t>ом числе</w:t>
      </w:r>
      <w:r w:rsidRPr="00F57C0F">
        <w:rPr>
          <w:rFonts w:ascii="Times New Roman" w:hAnsi="Times New Roman"/>
          <w:sz w:val="28"/>
          <w:szCs w:val="28"/>
        </w:rPr>
        <w:t xml:space="preserve"> энергетик</w:t>
      </w:r>
      <w:r w:rsidR="00EF77DE">
        <w:rPr>
          <w:rFonts w:ascii="Times New Roman" w:hAnsi="Times New Roman"/>
          <w:sz w:val="28"/>
          <w:szCs w:val="28"/>
        </w:rPr>
        <w:t>е</w:t>
      </w:r>
      <w:r w:rsidRPr="00F57C0F">
        <w:rPr>
          <w:rFonts w:ascii="Times New Roman" w:hAnsi="Times New Roman"/>
          <w:sz w:val="28"/>
          <w:szCs w:val="28"/>
        </w:rPr>
        <w:t>, банк</w:t>
      </w:r>
      <w:r w:rsidR="00EF77DE">
        <w:rPr>
          <w:rFonts w:ascii="Times New Roman" w:hAnsi="Times New Roman"/>
          <w:sz w:val="28"/>
          <w:szCs w:val="28"/>
        </w:rPr>
        <w:t>овском секторе</w:t>
      </w:r>
      <w:r w:rsidRPr="00F57C0F">
        <w:rPr>
          <w:rFonts w:ascii="Times New Roman" w:hAnsi="Times New Roman"/>
          <w:sz w:val="28"/>
          <w:szCs w:val="28"/>
        </w:rPr>
        <w:t xml:space="preserve"> и др.) новые цифровые компании заняли доминирующие позиции, значительно влия</w:t>
      </w:r>
      <w:r w:rsidR="001577B2">
        <w:rPr>
          <w:rFonts w:ascii="Times New Roman" w:hAnsi="Times New Roman"/>
          <w:sz w:val="28"/>
          <w:szCs w:val="28"/>
        </w:rPr>
        <w:t>я</w:t>
      </w:r>
      <w:r w:rsidRPr="00F57C0F">
        <w:rPr>
          <w:rFonts w:ascii="Times New Roman" w:hAnsi="Times New Roman"/>
          <w:sz w:val="28"/>
          <w:szCs w:val="28"/>
        </w:rPr>
        <w:t xml:space="preserve"> на реальный сектор экономики. Так, </w:t>
      </w:r>
      <w:r w:rsidR="00EB2D55">
        <w:rPr>
          <w:rFonts w:ascii="Times New Roman" w:hAnsi="Times New Roman"/>
          <w:sz w:val="28"/>
          <w:szCs w:val="28"/>
        </w:rPr>
        <w:t xml:space="preserve">цифровые </w:t>
      </w:r>
      <w:r w:rsidRPr="00F57C0F">
        <w:rPr>
          <w:rFonts w:ascii="Times New Roman" w:hAnsi="Times New Roman"/>
          <w:sz w:val="28"/>
          <w:szCs w:val="28"/>
        </w:rPr>
        <w:t xml:space="preserve">платформы США по обороту в </w:t>
      </w:r>
      <w:r w:rsidR="00584527">
        <w:rPr>
          <w:rFonts w:ascii="Times New Roman" w:hAnsi="Times New Roman"/>
          <w:sz w:val="28"/>
          <w:szCs w:val="28"/>
        </w:rPr>
        <w:br/>
      </w:r>
      <w:r w:rsidRPr="00F57C0F">
        <w:rPr>
          <w:rFonts w:ascii="Times New Roman" w:hAnsi="Times New Roman"/>
          <w:sz w:val="28"/>
          <w:szCs w:val="28"/>
        </w:rPr>
        <w:t>6 раз превосход</w:t>
      </w:r>
      <w:r w:rsidR="00EB2D55">
        <w:rPr>
          <w:rFonts w:ascii="Times New Roman" w:hAnsi="Times New Roman"/>
          <w:sz w:val="28"/>
          <w:szCs w:val="28"/>
        </w:rPr>
        <w:t>я</w:t>
      </w:r>
      <w:r w:rsidRPr="00F57C0F">
        <w:rPr>
          <w:rFonts w:ascii="Times New Roman" w:hAnsi="Times New Roman"/>
          <w:sz w:val="28"/>
          <w:szCs w:val="28"/>
        </w:rPr>
        <w:t xml:space="preserve">т аналогичные площадки азиатского региона и в 10 – европейского. </w:t>
      </w:r>
      <w:r>
        <w:rPr>
          <w:rFonts w:ascii="Times New Roman" w:hAnsi="Times New Roman"/>
          <w:sz w:val="28"/>
          <w:szCs w:val="28"/>
        </w:rPr>
        <w:t xml:space="preserve">Если в </w:t>
      </w:r>
      <w:r w:rsidR="00EB2D55">
        <w:rPr>
          <w:rFonts w:ascii="Times New Roman" w:hAnsi="Times New Roman"/>
          <w:sz w:val="28"/>
          <w:szCs w:val="28"/>
        </w:rPr>
        <w:t>государстве</w:t>
      </w:r>
      <w:r w:rsidRPr="00F57C0F">
        <w:rPr>
          <w:rFonts w:ascii="Times New Roman" w:hAnsi="Times New Roman"/>
          <w:sz w:val="28"/>
          <w:szCs w:val="28"/>
        </w:rPr>
        <w:t xml:space="preserve"> в недостаточной степени используются возможности цифровой экономики, то </w:t>
      </w:r>
      <w:r w:rsidR="00EB2D55">
        <w:rPr>
          <w:rFonts w:ascii="Times New Roman" w:hAnsi="Times New Roman"/>
          <w:sz w:val="28"/>
          <w:szCs w:val="28"/>
        </w:rPr>
        <w:t xml:space="preserve">активные </w:t>
      </w:r>
      <w:r w:rsidRPr="00F57C0F">
        <w:rPr>
          <w:rFonts w:ascii="Times New Roman" w:hAnsi="Times New Roman"/>
          <w:sz w:val="28"/>
          <w:szCs w:val="28"/>
        </w:rPr>
        <w:t xml:space="preserve">страны, транснациональные корпорации, реализующие продвижение цифровой экономики, получают неоспоримое преимущество в глобальном масштабе. </w:t>
      </w:r>
      <w:r w:rsidR="00786124">
        <w:rPr>
          <w:rFonts w:ascii="Times New Roman" w:hAnsi="Times New Roman"/>
          <w:sz w:val="28"/>
          <w:szCs w:val="28"/>
        </w:rPr>
        <w:t>Как отмечается в журнале The Economist, н</w:t>
      </w:r>
      <w:r w:rsidRPr="008A5611">
        <w:rPr>
          <w:rFonts w:ascii="Times New Roman" w:hAnsi="Times New Roman"/>
          <w:sz w:val="28"/>
          <w:szCs w:val="28"/>
        </w:rPr>
        <w:t xml:space="preserve">овый сырьевой товар порождает привлекательную, быстрорастущую отрасль, наводя антимонопольных регуляторов на мысль вступить в игру и ограничить тех, кто контролирует его потоки. </w:t>
      </w:r>
      <w:r w:rsidR="00D73386">
        <w:rPr>
          <w:rFonts w:ascii="Times New Roman" w:hAnsi="Times New Roman"/>
          <w:sz w:val="28"/>
          <w:szCs w:val="28"/>
        </w:rPr>
        <w:t>Ранее</w:t>
      </w:r>
      <w:r w:rsidRPr="008A5611">
        <w:rPr>
          <w:rFonts w:ascii="Times New Roman" w:hAnsi="Times New Roman"/>
          <w:sz w:val="28"/>
          <w:szCs w:val="28"/>
        </w:rPr>
        <w:t xml:space="preserve"> таким товаром была нефть. Теперь подобные опасения вызывают гиганты, занимающиеся данными</w:t>
      </w:r>
      <w:r w:rsidR="001577B2">
        <w:rPr>
          <w:rFonts w:ascii="Times New Roman" w:hAnsi="Times New Roman"/>
          <w:sz w:val="28"/>
          <w:szCs w:val="28"/>
        </w:rPr>
        <w:t>,</w:t>
      </w:r>
      <w:r w:rsidR="00F9318B">
        <w:rPr>
          <w:rFonts w:ascii="Times New Roman" w:hAnsi="Times New Roman"/>
          <w:sz w:val="28"/>
          <w:szCs w:val="28"/>
        </w:rPr>
        <w:t xml:space="preserve"> – </w:t>
      </w:r>
      <w:r w:rsidR="004D2C9E">
        <w:rPr>
          <w:rFonts w:ascii="Times New Roman" w:hAnsi="Times New Roman"/>
          <w:sz w:val="28"/>
          <w:szCs w:val="28"/>
        </w:rPr>
        <w:t>«</w:t>
      </w:r>
      <w:r w:rsidRPr="008A5611">
        <w:rPr>
          <w:rFonts w:ascii="Times New Roman" w:hAnsi="Times New Roman"/>
          <w:sz w:val="28"/>
          <w:szCs w:val="28"/>
        </w:rPr>
        <w:t>нефтью цифровой эпохи</w:t>
      </w:r>
      <w:r w:rsidR="004D2C9E">
        <w:rPr>
          <w:rFonts w:ascii="Times New Roman" w:hAnsi="Times New Roman"/>
          <w:sz w:val="28"/>
          <w:szCs w:val="28"/>
        </w:rPr>
        <w:t>»</w:t>
      </w:r>
      <w:r w:rsidR="001577B2">
        <w:rPr>
          <w:rFonts w:ascii="Times New Roman" w:hAnsi="Times New Roman"/>
          <w:sz w:val="28"/>
          <w:szCs w:val="28"/>
        </w:rPr>
        <w:t xml:space="preserve"> </w:t>
      </w:r>
      <w:r w:rsidRPr="008A5611">
        <w:rPr>
          <w:rFonts w:ascii="Times New Roman" w:hAnsi="Times New Roman"/>
          <w:sz w:val="28"/>
          <w:szCs w:val="28"/>
        </w:rPr>
        <w:t>– Alphabet (материнская компания Google), Amazon, Apple, Facebook и Microsoft</w:t>
      </w:r>
      <w:r w:rsidR="001577B2">
        <w:rPr>
          <w:rFonts w:ascii="Times New Roman" w:hAnsi="Times New Roman"/>
          <w:sz w:val="28"/>
          <w:szCs w:val="28"/>
        </w:rPr>
        <w:t>.</w:t>
      </w:r>
      <w:r>
        <w:rPr>
          <w:rFonts w:ascii="Times New Roman" w:hAnsi="Times New Roman"/>
          <w:sz w:val="28"/>
          <w:szCs w:val="28"/>
        </w:rPr>
        <w:t xml:space="preserve"> Если в 2011 году список крупнейших компаний возглавляли</w:t>
      </w:r>
      <w:r w:rsidR="003C3377">
        <w:rPr>
          <w:rFonts w:ascii="Times New Roman" w:hAnsi="Times New Roman"/>
          <w:sz w:val="28"/>
          <w:szCs w:val="28"/>
        </w:rPr>
        <w:t xml:space="preserve"> </w:t>
      </w:r>
      <w:r>
        <w:rPr>
          <w:rFonts w:ascii="Times New Roman" w:hAnsi="Times New Roman"/>
          <w:sz w:val="28"/>
          <w:szCs w:val="28"/>
        </w:rPr>
        <w:t>4 компании сырьевого сектора, то в 2018</w:t>
      </w:r>
      <w:r w:rsidR="00EB2D55">
        <w:rPr>
          <w:rFonts w:ascii="Times New Roman" w:hAnsi="Times New Roman"/>
          <w:sz w:val="28"/>
          <w:szCs w:val="28"/>
        </w:rPr>
        <w:t xml:space="preserve"> году</w:t>
      </w:r>
      <w:r>
        <w:rPr>
          <w:rFonts w:ascii="Times New Roman" w:hAnsi="Times New Roman"/>
          <w:sz w:val="28"/>
          <w:szCs w:val="28"/>
        </w:rPr>
        <w:t xml:space="preserve"> все </w:t>
      </w:r>
      <w:r w:rsidR="00D73386">
        <w:rPr>
          <w:rFonts w:ascii="Times New Roman" w:hAnsi="Times New Roman"/>
          <w:sz w:val="28"/>
          <w:szCs w:val="28"/>
        </w:rPr>
        <w:t>5</w:t>
      </w:r>
      <w:r>
        <w:rPr>
          <w:rFonts w:ascii="Times New Roman" w:hAnsi="Times New Roman"/>
          <w:sz w:val="28"/>
          <w:szCs w:val="28"/>
        </w:rPr>
        <w:t xml:space="preserve"> лидеров по капитализации – цифровые компании. Ежегодный рост капитализации цифровых гигантов </w:t>
      </w:r>
      <w:r w:rsidR="00EB2D55">
        <w:rPr>
          <w:rFonts w:ascii="Times New Roman" w:hAnsi="Times New Roman"/>
          <w:sz w:val="28"/>
          <w:szCs w:val="28"/>
        </w:rPr>
        <w:t>составляет</w:t>
      </w:r>
      <w:r>
        <w:rPr>
          <w:rFonts w:ascii="Times New Roman" w:hAnsi="Times New Roman"/>
          <w:sz w:val="28"/>
          <w:szCs w:val="28"/>
        </w:rPr>
        <w:t xml:space="preserve"> от 28</w:t>
      </w:r>
      <w:r w:rsidR="004D2C9E">
        <w:rPr>
          <w:rFonts w:ascii="Times New Roman" w:hAnsi="Times New Roman"/>
          <w:sz w:val="28"/>
          <w:szCs w:val="28"/>
        </w:rPr>
        <w:t> %</w:t>
      </w:r>
      <w:r>
        <w:rPr>
          <w:rFonts w:ascii="Times New Roman" w:hAnsi="Times New Roman"/>
          <w:sz w:val="28"/>
          <w:szCs w:val="28"/>
        </w:rPr>
        <w:t xml:space="preserve"> </w:t>
      </w:r>
      <w:r w:rsidR="00EB2D55">
        <w:rPr>
          <w:rFonts w:ascii="Times New Roman" w:hAnsi="Times New Roman"/>
          <w:sz w:val="28"/>
          <w:szCs w:val="28"/>
        </w:rPr>
        <w:t>у</w:t>
      </w:r>
      <w:r>
        <w:rPr>
          <w:rFonts w:ascii="Times New Roman" w:hAnsi="Times New Roman"/>
          <w:sz w:val="28"/>
          <w:szCs w:val="28"/>
        </w:rPr>
        <w:t xml:space="preserve"> </w:t>
      </w:r>
      <w:r w:rsidRPr="008A5611">
        <w:rPr>
          <w:rFonts w:ascii="Times New Roman" w:hAnsi="Times New Roman"/>
          <w:sz w:val="28"/>
          <w:szCs w:val="28"/>
        </w:rPr>
        <w:t>Facebook</w:t>
      </w:r>
      <w:r>
        <w:rPr>
          <w:rFonts w:ascii="Times New Roman" w:hAnsi="Times New Roman"/>
          <w:sz w:val="28"/>
          <w:szCs w:val="28"/>
        </w:rPr>
        <w:t xml:space="preserve"> до 58</w:t>
      </w:r>
      <w:r w:rsidR="004D2C9E">
        <w:rPr>
          <w:rFonts w:ascii="Times New Roman" w:hAnsi="Times New Roman"/>
          <w:sz w:val="28"/>
          <w:szCs w:val="28"/>
        </w:rPr>
        <w:t> %</w:t>
      </w:r>
      <w:r>
        <w:rPr>
          <w:rFonts w:ascii="Times New Roman" w:hAnsi="Times New Roman"/>
          <w:sz w:val="28"/>
          <w:szCs w:val="28"/>
        </w:rPr>
        <w:t xml:space="preserve"> </w:t>
      </w:r>
      <w:r w:rsidR="00EB2D55">
        <w:rPr>
          <w:rFonts w:ascii="Times New Roman" w:hAnsi="Times New Roman"/>
          <w:sz w:val="28"/>
          <w:szCs w:val="28"/>
        </w:rPr>
        <w:t>у</w:t>
      </w:r>
      <w:r>
        <w:rPr>
          <w:rFonts w:ascii="Times New Roman" w:hAnsi="Times New Roman"/>
          <w:sz w:val="28"/>
          <w:szCs w:val="28"/>
        </w:rPr>
        <w:t xml:space="preserve"> </w:t>
      </w:r>
      <w:r w:rsidRPr="00A51914">
        <w:rPr>
          <w:rFonts w:ascii="Times New Roman" w:hAnsi="Times New Roman"/>
          <w:sz w:val="28"/>
          <w:szCs w:val="28"/>
        </w:rPr>
        <w:t>Alibaba Group</w:t>
      </w:r>
      <w:r>
        <w:rPr>
          <w:rFonts w:ascii="Times New Roman" w:hAnsi="Times New Roman"/>
          <w:sz w:val="28"/>
          <w:szCs w:val="28"/>
        </w:rPr>
        <w:t xml:space="preserve"> </w:t>
      </w:r>
      <w:r w:rsidRPr="004F1241">
        <w:rPr>
          <w:rFonts w:ascii="Times New Roman" w:hAnsi="Times New Roman"/>
          <w:sz w:val="28"/>
          <w:szCs w:val="28"/>
        </w:rPr>
        <w:t>(DogsoftheDow.com)</w:t>
      </w:r>
      <w:r>
        <w:rPr>
          <w:rFonts w:ascii="Times New Roman" w:hAnsi="Times New Roman"/>
          <w:sz w:val="28"/>
          <w:szCs w:val="28"/>
        </w:rPr>
        <w:t>.</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Сейчас наступил период, когда формируются базовые экономические заделы, которые в будущем будут определять глобальное инновационное развитие. </w:t>
      </w:r>
      <w:r w:rsidR="003501BD">
        <w:rPr>
          <w:rFonts w:ascii="Times New Roman" w:hAnsi="Times New Roman"/>
          <w:sz w:val="28"/>
          <w:szCs w:val="28"/>
        </w:rPr>
        <w:t>Это требует срочного принятия соответствующих решений на государственном уровне</w:t>
      </w:r>
      <w:r>
        <w:rPr>
          <w:rFonts w:ascii="Times New Roman" w:hAnsi="Times New Roman"/>
          <w:sz w:val="28"/>
          <w:szCs w:val="28"/>
        </w:rPr>
        <w:t xml:space="preserve"> </w:t>
      </w:r>
      <w:r w:rsidR="003501BD">
        <w:rPr>
          <w:rFonts w:ascii="Times New Roman" w:hAnsi="Times New Roman"/>
          <w:sz w:val="28"/>
          <w:szCs w:val="28"/>
        </w:rPr>
        <w:t xml:space="preserve">для </w:t>
      </w:r>
      <w:r>
        <w:rPr>
          <w:rFonts w:ascii="Times New Roman" w:hAnsi="Times New Roman"/>
          <w:sz w:val="28"/>
          <w:szCs w:val="28"/>
        </w:rPr>
        <w:t>формировани</w:t>
      </w:r>
      <w:r w:rsidR="003501BD">
        <w:rPr>
          <w:rFonts w:ascii="Times New Roman" w:hAnsi="Times New Roman"/>
          <w:sz w:val="28"/>
          <w:szCs w:val="28"/>
        </w:rPr>
        <w:t>я</w:t>
      </w:r>
      <w:r>
        <w:rPr>
          <w:rFonts w:ascii="Times New Roman" w:hAnsi="Times New Roman"/>
          <w:sz w:val="28"/>
          <w:szCs w:val="28"/>
        </w:rPr>
        <w:t xml:space="preserve"> </w:t>
      </w:r>
      <w:r w:rsidR="003501BD">
        <w:rPr>
          <w:rFonts w:ascii="Times New Roman" w:hAnsi="Times New Roman"/>
          <w:sz w:val="28"/>
          <w:szCs w:val="28"/>
        </w:rPr>
        <w:t xml:space="preserve">необходимых </w:t>
      </w:r>
      <w:r>
        <w:rPr>
          <w:rFonts w:ascii="Times New Roman" w:hAnsi="Times New Roman"/>
          <w:sz w:val="28"/>
          <w:szCs w:val="28"/>
        </w:rPr>
        <w:t>условий развития цифровой экономики в условиях эффективной конкуренции.</w:t>
      </w:r>
      <w:r w:rsidR="003501BD">
        <w:rPr>
          <w:rFonts w:ascii="Times New Roman" w:hAnsi="Times New Roman"/>
          <w:sz w:val="28"/>
          <w:szCs w:val="28"/>
        </w:rPr>
        <w:t xml:space="preserve"> При этом в</w:t>
      </w:r>
      <w:r>
        <w:rPr>
          <w:rFonts w:ascii="Times New Roman" w:hAnsi="Times New Roman"/>
          <w:sz w:val="28"/>
          <w:szCs w:val="28"/>
        </w:rPr>
        <w:t xml:space="preserve">ажно на </w:t>
      </w:r>
      <w:r w:rsidR="003501BD">
        <w:rPr>
          <w:rFonts w:ascii="Times New Roman" w:hAnsi="Times New Roman"/>
          <w:sz w:val="28"/>
          <w:szCs w:val="28"/>
        </w:rPr>
        <w:t>данном</w:t>
      </w:r>
      <w:r>
        <w:rPr>
          <w:rFonts w:ascii="Times New Roman" w:hAnsi="Times New Roman"/>
          <w:sz w:val="28"/>
          <w:szCs w:val="28"/>
        </w:rPr>
        <w:t xml:space="preserve"> этапе сосредоточить совместные усилия государств – </w:t>
      </w:r>
      <w:r w:rsidR="00EB2D55">
        <w:rPr>
          <w:rFonts w:ascii="Times New Roman" w:hAnsi="Times New Roman"/>
          <w:sz w:val="28"/>
          <w:szCs w:val="28"/>
        </w:rPr>
        <w:t>участников</w:t>
      </w:r>
      <w:r>
        <w:rPr>
          <w:rFonts w:ascii="Times New Roman" w:hAnsi="Times New Roman"/>
          <w:sz w:val="28"/>
          <w:szCs w:val="28"/>
        </w:rPr>
        <w:t xml:space="preserve"> СНГ </w:t>
      </w:r>
      <w:r w:rsidR="001577B2">
        <w:rPr>
          <w:rFonts w:ascii="Times New Roman" w:hAnsi="Times New Roman"/>
          <w:sz w:val="28"/>
          <w:szCs w:val="28"/>
        </w:rPr>
        <w:t>на</w:t>
      </w:r>
      <w:r>
        <w:rPr>
          <w:rFonts w:ascii="Times New Roman" w:hAnsi="Times New Roman"/>
          <w:sz w:val="28"/>
          <w:szCs w:val="28"/>
        </w:rPr>
        <w:t xml:space="preserve"> выработк</w:t>
      </w:r>
      <w:r w:rsidR="001577B2">
        <w:rPr>
          <w:rFonts w:ascii="Times New Roman" w:hAnsi="Times New Roman"/>
          <w:sz w:val="28"/>
          <w:szCs w:val="28"/>
        </w:rPr>
        <w:t>е</w:t>
      </w:r>
      <w:r>
        <w:rPr>
          <w:rFonts w:ascii="Times New Roman" w:hAnsi="Times New Roman"/>
          <w:sz w:val="28"/>
          <w:szCs w:val="28"/>
        </w:rPr>
        <w:t xml:space="preserve"> эффективной антимонопольной политики и ее применени</w:t>
      </w:r>
      <w:r w:rsidR="001577B2">
        <w:rPr>
          <w:rFonts w:ascii="Times New Roman" w:hAnsi="Times New Roman"/>
          <w:sz w:val="28"/>
          <w:szCs w:val="28"/>
        </w:rPr>
        <w:t>и</w:t>
      </w:r>
      <w:r w:rsidR="003501BD">
        <w:rPr>
          <w:rFonts w:ascii="Times New Roman" w:hAnsi="Times New Roman"/>
          <w:sz w:val="28"/>
          <w:szCs w:val="28"/>
        </w:rPr>
        <w:t xml:space="preserve"> в сфере цифровой экономики</w:t>
      </w:r>
      <w:r>
        <w:rPr>
          <w:rFonts w:ascii="Times New Roman" w:hAnsi="Times New Roman"/>
          <w:sz w:val="28"/>
          <w:szCs w:val="28"/>
        </w:rPr>
        <w:t>.</w:t>
      </w:r>
    </w:p>
    <w:p w:rsidR="00E86BEE" w:rsidRPr="004F1241" w:rsidRDefault="00E86BEE" w:rsidP="006B6DA1">
      <w:pPr>
        <w:spacing w:after="0" w:line="240" w:lineRule="auto"/>
        <w:ind w:firstLine="709"/>
        <w:jc w:val="both"/>
        <w:rPr>
          <w:rFonts w:ascii="Times New Roman" w:hAnsi="Times New Roman"/>
          <w:sz w:val="28"/>
          <w:szCs w:val="28"/>
        </w:rPr>
      </w:pPr>
      <w:r w:rsidRPr="004F1241">
        <w:rPr>
          <w:rFonts w:ascii="Times New Roman" w:hAnsi="Times New Roman"/>
          <w:sz w:val="28"/>
          <w:szCs w:val="28"/>
        </w:rPr>
        <w:t xml:space="preserve">В этих целях Межгосударственный совет по антимонопольной политике изучил текущее состояние развития цифровой экономики в рамках СНГ и подготовил Доклад </w:t>
      </w:r>
      <w:r w:rsidR="004D2C9E">
        <w:rPr>
          <w:rFonts w:ascii="Times New Roman" w:hAnsi="Times New Roman"/>
          <w:sz w:val="28"/>
          <w:szCs w:val="28"/>
        </w:rPr>
        <w:t>«</w:t>
      </w:r>
      <w:r w:rsidR="00F35453">
        <w:rPr>
          <w:rFonts w:ascii="Times New Roman" w:hAnsi="Times New Roman"/>
          <w:sz w:val="28"/>
          <w:szCs w:val="28"/>
        </w:rPr>
        <w:t>Ф</w:t>
      </w:r>
      <w:r w:rsidRPr="004F1241">
        <w:rPr>
          <w:rFonts w:ascii="Times New Roman" w:hAnsi="Times New Roman"/>
          <w:sz w:val="28"/>
          <w:szCs w:val="28"/>
        </w:rPr>
        <w:t>ормировани</w:t>
      </w:r>
      <w:r w:rsidR="00F35453">
        <w:rPr>
          <w:rFonts w:ascii="Times New Roman" w:hAnsi="Times New Roman"/>
          <w:sz w:val="28"/>
          <w:szCs w:val="28"/>
        </w:rPr>
        <w:t>е</w:t>
      </w:r>
      <w:r w:rsidRPr="004F1241">
        <w:rPr>
          <w:rFonts w:ascii="Times New Roman" w:hAnsi="Times New Roman"/>
          <w:sz w:val="28"/>
          <w:szCs w:val="28"/>
        </w:rPr>
        <w:t xml:space="preserve"> конкурентной политики </w:t>
      </w:r>
      <w:r w:rsidR="00EB2D55" w:rsidRPr="004F1241">
        <w:rPr>
          <w:rFonts w:ascii="Times New Roman" w:hAnsi="Times New Roman"/>
          <w:sz w:val="28"/>
          <w:szCs w:val="28"/>
        </w:rPr>
        <w:t xml:space="preserve">в государствах – участниках СНГ </w:t>
      </w:r>
      <w:r w:rsidRPr="004F1241">
        <w:rPr>
          <w:rFonts w:ascii="Times New Roman" w:hAnsi="Times New Roman"/>
          <w:sz w:val="28"/>
          <w:szCs w:val="28"/>
        </w:rPr>
        <w:t>в условиях развития цифровой экономики</w:t>
      </w:r>
      <w:r w:rsidR="004D2C9E">
        <w:rPr>
          <w:rFonts w:ascii="Times New Roman" w:hAnsi="Times New Roman"/>
          <w:sz w:val="28"/>
          <w:szCs w:val="28"/>
        </w:rPr>
        <w:t>»</w:t>
      </w:r>
      <w:r w:rsidRPr="004F1241">
        <w:rPr>
          <w:rFonts w:ascii="Times New Roman" w:hAnsi="Times New Roman"/>
          <w:sz w:val="28"/>
          <w:szCs w:val="28"/>
        </w:rPr>
        <w:t>, одобренный на 48</w:t>
      </w:r>
      <w:r w:rsidR="00F9318B">
        <w:rPr>
          <w:rFonts w:ascii="Times New Roman" w:hAnsi="Times New Roman"/>
          <w:sz w:val="28"/>
          <w:szCs w:val="28"/>
        </w:rPr>
        <w:noBreakHyphen/>
      </w:r>
      <w:r w:rsidRPr="004F1241">
        <w:rPr>
          <w:rFonts w:ascii="Times New Roman" w:hAnsi="Times New Roman"/>
          <w:sz w:val="28"/>
          <w:szCs w:val="28"/>
        </w:rPr>
        <w:t xml:space="preserve">м заседании </w:t>
      </w:r>
      <w:r w:rsidR="00BF44B1">
        <w:rPr>
          <w:rFonts w:ascii="Times New Roman" w:hAnsi="Times New Roman"/>
          <w:sz w:val="28"/>
          <w:szCs w:val="28"/>
        </w:rPr>
        <w:t>с</w:t>
      </w:r>
      <w:r w:rsidR="001577B2">
        <w:rPr>
          <w:rFonts w:ascii="Times New Roman" w:hAnsi="Times New Roman"/>
          <w:sz w:val="28"/>
          <w:szCs w:val="28"/>
        </w:rPr>
        <w:t>овета</w:t>
      </w:r>
      <w:r w:rsidRPr="004F1241">
        <w:rPr>
          <w:rFonts w:ascii="Times New Roman" w:hAnsi="Times New Roman"/>
          <w:sz w:val="28"/>
          <w:szCs w:val="28"/>
        </w:rPr>
        <w:t xml:space="preserve"> 30 мая 2018 года.</w:t>
      </w:r>
    </w:p>
    <w:p w:rsidR="00E86BEE" w:rsidRPr="004F1241" w:rsidRDefault="00E86BEE" w:rsidP="004D2C9E">
      <w:pPr>
        <w:spacing w:after="0" w:line="240" w:lineRule="auto"/>
        <w:ind w:firstLine="709"/>
        <w:jc w:val="both"/>
        <w:rPr>
          <w:rFonts w:ascii="Times New Roman" w:hAnsi="Times New Roman"/>
          <w:sz w:val="28"/>
          <w:szCs w:val="28"/>
        </w:rPr>
      </w:pPr>
      <w:r w:rsidRPr="004F1241">
        <w:rPr>
          <w:rFonts w:ascii="Times New Roman" w:hAnsi="Times New Roman"/>
          <w:sz w:val="28"/>
          <w:szCs w:val="28"/>
        </w:rPr>
        <w:t>В исследовании принимали участие антимонопольные органы Республики Армения, Республики Беларусь, Республики Казахстан, Кыргызской Республики,</w:t>
      </w:r>
      <w:r w:rsidR="004D2C9E">
        <w:rPr>
          <w:rFonts w:ascii="Times New Roman" w:hAnsi="Times New Roman"/>
          <w:sz w:val="28"/>
          <w:szCs w:val="28"/>
        </w:rPr>
        <w:t xml:space="preserve"> </w:t>
      </w:r>
      <w:r w:rsidRPr="004F1241">
        <w:rPr>
          <w:rFonts w:ascii="Times New Roman" w:hAnsi="Times New Roman"/>
          <w:sz w:val="28"/>
          <w:szCs w:val="28"/>
        </w:rPr>
        <w:t>Российской Федерации и Республики Таджикистан.</w:t>
      </w:r>
    </w:p>
    <w:p w:rsidR="00E86BEE" w:rsidRPr="004F1241" w:rsidRDefault="00E86BEE" w:rsidP="004D2C9E">
      <w:pPr>
        <w:spacing w:after="0" w:line="240" w:lineRule="auto"/>
        <w:ind w:firstLine="709"/>
        <w:jc w:val="both"/>
        <w:rPr>
          <w:rFonts w:ascii="Times New Roman" w:hAnsi="Times New Roman"/>
          <w:sz w:val="28"/>
          <w:szCs w:val="28"/>
        </w:rPr>
      </w:pPr>
      <w:r w:rsidRPr="004F1241">
        <w:rPr>
          <w:rFonts w:ascii="Times New Roman" w:hAnsi="Times New Roman"/>
          <w:sz w:val="28"/>
          <w:szCs w:val="28"/>
        </w:rPr>
        <w:t>В Докладе дана общая характеристика цифровой экономики в государствах – участниках СНГ, проанализированы новые вызовы для конкурентного регулирования в условиях цифровой экономики, представлена оценка готовности конкурентного законодательства к новым вызовам и необходимости внесе</w:t>
      </w:r>
      <w:r w:rsidR="001577B2">
        <w:rPr>
          <w:rFonts w:ascii="Times New Roman" w:hAnsi="Times New Roman"/>
          <w:sz w:val="28"/>
          <w:szCs w:val="28"/>
        </w:rPr>
        <w:t>ния изменений в законодательство</w:t>
      </w:r>
      <w:r w:rsidRPr="004F1241">
        <w:rPr>
          <w:rFonts w:ascii="Times New Roman" w:hAnsi="Times New Roman"/>
          <w:sz w:val="28"/>
          <w:szCs w:val="28"/>
        </w:rPr>
        <w:t xml:space="preserve"> государств – участников СНГ.</w:t>
      </w:r>
    </w:p>
    <w:p w:rsidR="00E86BEE" w:rsidRPr="00E716F8" w:rsidRDefault="00E86BEE" w:rsidP="004D2C9E">
      <w:pPr>
        <w:spacing w:after="0" w:line="240" w:lineRule="auto"/>
        <w:ind w:firstLine="709"/>
        <w:jc w:val="both"/>
        <w:rPr>
          <w:rFonts w:ascii="Times New Roman" w:hAnsi="Times New Roman"/>
          <w:sz w:val="28"/>
          <w:szCs w:val="28"/>
        </w:rPr>
      </w:pPr>
      <w:r w:rsidRPr="004F1241">
        <w:rPr>
          <w:rFonts w:ascii="Times New Roman" w:hAnsi="Times New Roman"/>
          <w:sz w:val="28"/>
          <w:szCs w:val="28"/>
        </w:rPr>
        <w:t xml:space="preserve">Материал может представлять интерес для антимонопольных органов государств – участников СНГ, </w:t>
      </w:r>
      <w:r w:rsidR="00E716F8" w:rsidRPr="004F1241">
        <w:rPr>
          <w:rFonts w:ascii="Times New Roman" w:hAnsi="Times New Roman"/>
          <w:sz w:val="28"/>
          <w:szCs w:val="28"/>
        </w:rPr>
        <w:t>з</w:t>
      </w:r>
      <w:r w:rsidRPr="004F1241">
        <w:rPr>
          <w:rFonts w:ascii="Times New Roman" w:hAnsi="Times New Roman"/>
          <w:sz w:val="28"/>
          <w:szCs w:val="28"/>
        </w:rPr>
        <w:t>аинтересованных</w:t>
      </w:r>
      <w:r w:rsidR="00EB2D55" w:rsidRPr="004F1241">
        <w:rPr>
          <w:rFonts w:ascii="Times New Roman" w:hAnsi="Times New Roman"/>
          <w:sz w:val="28"/>
          <w:szCs w:val="28"/>
        </w:rPr>
        <w:t xml:space="preserve"> </w:t>
      </w:r>
      <w:r w:rsidRPr="004F1241">
        <w:rPr>
          <w:rFonts w:ascii="Times New Roman" w:hAnsi="Times New Roman"/>
          <w:sz w:val="28"/>
          <w:szCs w:val="28"/>
        </w:rPr>
        <w:t>орг</w:t>
      </w:r>
      <w:r w:rsidR="003C3377">
        <w:rPr>
          <w:rFonts w:ascii="Times New Roman" w:hAnsi="Times New Roman"/>
          <w:sz w:val="28"/>
          <w:szCs w:val="28"/>
        </w:rPr>
        <w:t xml:space="preserve">анов отраслевого </w:t>
      </w:r>
      <w:r w:rsidR="003C3377" w:rsidRPr="002C170D">
        <w:rPr>
          <w:rFonts w:ascii="Times New Roman" w:hAnsi="Times New Roman"/>
          <w:spacing w:val="-2"/>
          <w:sz w:val="28"/>
          <w:szCs w:val="28"/>
        </w:rPr>
        <w:t>сотрудничества</w:t>
      </w:r>
      <w:r w:rsidRPr="002C170D">
        <w:rPr>
          <w:rFonts w:ascii="Times New Roman" w:hAnsi="Times New Roman"/>
          <w:spacing w:val="-2"/>
          <w:sz w:val="28"/>
          <w:szCs w:val="28"/>
        </w:rPr>
        <w:t>,</w:t>
      </w:r>
      <w:r w:rsidR="001577B2" w:rsidRPr="002C170D">
        <w:rPr>
          <w:rFonts w:ascii="Times New Roman" w:hAnsi="Times New Roman"/>
          <w:spacing w:val="-2"/>
          <w:sz w:val="28"/>
          <w:szCs w:val="28"/>
        </w:rPr>
        <w:t xml:space="preserve"> </w:t>
      </w:r>
      <w:r w:rsidRPr="002C170D">
        <w:rPr>
          <w:rFonts w:ascii="Times New Roman" w:hAnsi="Times New Roman"/>
          <w:spacing w:val="-2"/>
          <w:sz w:val="28"/>
          <w:szCs w:val="28"/>
        </w:rPr>
        <w:t>а</w:t>
      </w:r>
      <w:r w:rsidR="001577B2" w:rsidRPr="002C170D">
        <w:rPr>
          <w:rFonts w:ascii="Times New Roman" w:hAnsi="Times New Roman"/>
          <w:spacing w:val="-2"/>
          <w:sz w:val="28"/>
          <w:szCs w:val="28"/>
        </w:rPr>
        <w:t xml:space="preserve"> </w:t>
      </w:r>
      <w:r w:rsidRPr="002C170D">
        <w:rPr>
          <w:rFonts w:ascii="Times New Roman" w:hAnsi="Times New Roman"/>
          <w:spacing w:val="-2"/>
          <w:sz w:val="28"/>
          <w:szCs w:val="28"/>
        </w:rPr>
        <w:t>также представителей</w:t>
      </w:r>
      <w:r w:rsidR="001577B2" w:rsidRPr="002C170D">
        <w:rPr>
          <w:rFonts w:ascii="Times New Roman" w:hAnsi="Times New Roman"/>
          <w:spacing w:val="-2"/>
          <w:sz w:val="28"/>
          <w:szCs w:val="28"/>
        </w:rPr>
        <w:t xml:space="preserve"> </w:t>
      </w:r>
      <w:r w:rsidRPr="002C170D">
        <w:rPr>
          <w:rFonts w:ascii="Times New Roman" w:hAnsi="Times New Roman"/>
          <w:spacing w:val="-2"/>
          <w:sz w:val="28"/>
          <w:szCs w:val="28"/>
        </w:rPr>
        <w:t>научных и</w:t>
      </w:r>
      <w:r w:rsidR="001577B2" w:rsidRPr="002C170D">
        <w:rPr>
          <w:rFonts w:ascii="Times New Roman" w:hAnsi="Times New Roman"/>
          <w:spacing w:val="-2"/>
          <w:sz w:val="28"/>
          <w:szCs w:val="28"/>
        </w:rPr>
        <w:t xml:space="preserve"> </w:t>
      </w:r>
      <w:r w:rsidRPr="002C170D">
        <w:rPr>
          <w:rFonts w:ascii="Times New Roman" w:hAnsi="Times New Roman"/>
          <w:spacing w:val="-2"/>
          <w:sz w:val="28"/>
          <w:szCs w:val="28"/>
        </w:rPr>
        <w:t>деловых кругов</w:t>
      </w:r>
      <w:r w:rsidRPr="004F1241">
        <w:rPr>
          <w:rFonts w:ascii="Times New Roman" w:hAnsi="Times New Roman"/>
          <w:sz w:val="28"/>
          <w:szCs w:val="28"/>
        </w:rPr>
        <w:t>.</w:t>
      </w:r>
    </w:p>
    <w:p w:rsidR="0068434D" w:rsidRPr="00315166" w:rsidRDefault="004C6124" w:rsidP="004D2C9E">
      <w:pPr>
        <w:pStyle w:val="1"/>
      </w:pPr>
      <w:r>
        <w:br w:type="page"/>
      </w:r>
      <w:bookmarkStart w:id="4" w:name="_Toc526253874"/>
      <w:r w:rsidR="00D04E2E" w:rsidRPr="00D04E2E">
        <w:t>I</w:t>
      </w:r>
      <w:r w:rsidR="00D04E2E">
        <w:t xml:space="preserve">. </w:t>
      </w:r>
      <w:r w:rsidR="0068434D">
        <w:t xml:space="preserve">Институциональные изменения в экономике. </w:t>
      </w:r>
      <w:r>
        <w:br/>
      </w:r>
      <w:r w:rsidR="0068434D">
        <w:t>Регулирование прав</w:t>
      </w:r>
      <w:r w:rsidR="00584527">
        <w:t>оотношений в цифровой экономике</w:t>
      </w:r>
      <w:bookmarkEnd w:id="4"/>
    </w:p>
    <w:p w:rsidR="0068434D" w:rsidRPr="00315166" w:rsidRDefault="00C4045A" w:rsidP="004D2C9E">
      <w:pPr>
        <w:pStyle w:val="2"/>
      </w:pPr>
      <w:bookmarkStart w:id="5" w:name="_Toc526253875"/>
      <w:r>
        <w:t>1.</w:t>
      </w:r>
      <w:r w:rsidR="0068434D" w:rsidRPr="00B90C4B">
        <w:t>1</w:t>
      </w:r>
      <w:r w:rsidR="0068434D">
        <w:t>.</w:t>
      </w:r>
      <w:r w:rsidR="004C6124">
        <w:t> </w:t>
      </w:r>
      <w:r w:rsidR="0068434D" w:rsidRPr="00315166">
        <w:t>Формирование инициатив по внедрению цифровых технологий и введение специальных требований</w:t>
      </w:r>
      <w:bookmarkEnd w:id="5"/>
    </w:p>
    <w:p w:rsidR="0068434D" w:rsidRPr="00094C60" w:rsidRDefault="00C4045A"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 учетом цифровых нововведений</w:t>
      </w:r>
      <w:r w:rsidR="0068434D" w:rsidRPr="00094C60">
        <w:rPr>
          <w:rFonts w:ascii="Times New Roman" w:hAnsi="Times New Roman"/>
          <w:color w:val="000000"/>
          <w:sz w:val="28"/>
          <w:szCs w:val="28"/>
        </w:rPr>
        <w:t xml:space="preserve"> современные информационно-компьютерные технологии способствуют </w:t>
      </w:r>
      <w:r w:rsidR="0068434D">
        <w:rPr>
          <w:rFonts w:ascii="Times New Roman" w:hAnsi="Times New Roman"/>
          <w:color w:val="000000"/>
          <w:sz w:val="28"/>
          <w:szCs w:val="28"/>
        </w:rPr>
        <w:t>оптимизации связей</w:t>
      </w:r>
      <w:r w:rsidR="0068434D" w:rsidRPr="00094C60">
        <w:rPr>
          <w:rFonts w:ascii="Times New Roman" w:hAnsi="Times New Roman"/>
          <w:color w:val="000000"/>
          <w:sz w:val="28"/>
          <w:szCs w:val="28"/>
        </w:rPr>
        <w:t xml:space="preserve"> между компаниями, банками, государствами (населением и государственными органами), убирая сложные схемы и посредников и ускоряя проведение разнообразных сделок и операций (купл</w:t>
      </w:r>
      <w:r w:rsidR="00BF44B1">
        <w:rPr>
          <w:rFonts w:ascii="Times New Roman" w:hAnsi="Times New Roman"/>
          <w:color w:val="000000"/>
          <w:sz w:val="28"/>
          <w:szCs w:val="28"/>
        </w:rPr>
        <w:t>я-продажа</w:t>
      </w:r>
      <w:r w:rsidR="0068434D" w:rsidRPr="00094C60">
        <w:rPr>
          <w:rFonts w:ascii="Times New Roman" w:hAnsi="Times New Roman"/>
          <w:color w:val="000000"/>
          <w:sz w:val="28"/>
          <w:szCs w:val="28"/>
        </w:rPr>
        <w:t>, кредит, аренд</w:t>
      </w:r>
      <w:r w:rsidR="00BF44B1">
        <w:rPr>
          <w:rFonts w:ascii="Times New Roman" w:hAnsi="Times New Roman"/>
          <w:color w:val="000000"/>
          <w:sz w:val="28"/>
          <w:szCs w:val="28"/>
        </w:rPr>
        <w:t>а</w:t>
      </w:r>
      <w:r w:rsidR="0068434D" w:rsidRPr="00094C60">
        <w:rPr>
          <w:rFonts w:ascii="Times New Roman" w:hAnsi="Times New Roman"/>
          <w:color w:val="000000"/>
          <w:sz w:val="28"/>
          <w:szCs w:val="28"/>
        </w:rPr>
        <w:t>, уплат</w:t>
      </w:r>
      <w:r w:rsidR="00BF44B1">
        <w:rPr>
          <w:rFonts w:ascii="Times New Roman" w:hAnsi="Times New Roman"/>
          <w:color w:val="000000"/>
          <w:sz w:val="28"/>
          <w:szCs w:val="28"/>
        </w:rPr>
        <w:t>а</w:t>
      </w:r>
      <w:r w:rsidR="0068434D" w:rsidRPr="00094C60">
        <w:rPr>
          <w:rFonts w:ascii="Times New Roman" w:hAnsi="Times New Roman"/>
          <w:color w:val="000000"/>
          <w:sz w:val="28"/>
          <w:szCs w:val="28"/>
        </w:rPr>
        <w:t xml:space="preserve"> налогов, штрафов, взносов, други</w:t>
      </w:r>
      <w:r w:rsidR="00BF44B1">
        <w:rPr>
          <w:rFonts w:ascii="Times New Roman" w:hAnsi="Times New Roman"/>
          <w:color w:val="000000"/>
          <w:sz w:val="28"/>
          <w:szCs w:val="28"/>
        </w:rPr>
        <w:t>е</w:t>
      </w:r>
      <w:r w:rsidR="0068434D" w:rsidRPr="00094C60">
        <w:rPr>
          <w:rFonts w:ascii="Times New Roman" w:hAnsi="Times New Roman"/>
          <w:color w:val="000000"/>
          <w:sz w:val="28"/>
          <w:szCs w:val="28"/>
        </w:rPr>
        <w:t xml:space="preserve"> платеж</w:t>
      </w:r>
      <w:r w:rsidR="00BF44B1">
        <w:rPr>
          <w:rFonts w:ascii="Times New Roman" w:hAnsi="Times New Roman"/>
          <w:color w:val="000000"/>
          <w:sz w:val="28"/>
          <w:szCs w:val="28"/>
        </w:rPr>
        <w:t>и</w:t>
      </w:r>
      <w:r w:rsidR="00F35453">
        <w:rPr>
          <w:rFonts w:ascii="Times New Roman" w:hAnsi="Times New Roman"/>
          <w:color w:val="000000"/>
          <w:sz w:val="28"/>
          <w:szCs w:val="28"/>
        </w:rPr>
        <w:t xml:space="preserve"> и расче</w:t>
      </w:r>
      <w:r w:rsidR="0068434D" w:rsidRPr="00094C60">
        <w:rPr>
          <w:rFonts w:ascii="Times New Roman" w:hAnsi="Times New Roman"/>
          <w:color w:val="000000"/>
          <w:sz w:val="28"/>
          <w:szCs w:val="28"/>
        </w:rPr>
        <w:t>т</w:t>
      </w:r>
      <w:r w:rsidR="00BF44B1">
        <w:rPr>
          <w:rFonts w:ascii="Times New Roman" w:hAnsi="Times New Roman"/>
          <w:color w:val="000000"/>
          <w:sz w:val="28"/>
          <w:szCs w:val="28"/>
        </w:rPr>
        <w:t>ы</w:t>
      </w:r>
      <w:r w:rsidR="0068434D" w:rsidRPr="00094C60">
        <w:rPr>
          <w:rFonts w:ascii="Times New Roman" w:hAnsi="Times New Roman"/>
          <w:color w:val="000000"/>
          <w:sz w:val="28"/>
          <w:szCs w:val="28"/>
        </w:rPr>
        <w:t>).</w:t>
      </w:r>
    </w:p>
    <w:p w:rsidR="0068434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094C60">
        <w:rPr>
          <w:rFonts w:ascii="Times New Roman" w:hAnsi="Times New Roman"/>
          <w:color w:val="000000"/>
          <w:sz w:val="28"/>
          <w:szCs w:val="28"/>
        </w:rPr>
        <w:t>Нововведения становятся главным двигателем развития экономик</w:t>
      </w:r>
      <w:r w:rsidR="00BF44B1">
        <w:rPr>
          <w:rFonts w:ascii="Times New Roman" w:hAnsi="Times New Roman"/>
          <w:color w:val="000000"/>
          <w:sz w:val="28"/>
          <w:szCs w:val="28"/>
        </w:rPr>
        <w:t>и</w:t>
      </w:r>
      <w:r w:rsidRPr="00094C60">
        <w:rPr>
          <w:rFonts w:ascii="Times New Roman" w:hAnsi="Times New Roman"/>
          <w:color w:val="000000"/>
          <w:sz w:val="28"/>
          <w:szCs w:val="28"/>
        </w:rPr>
        <w:t xml:space="preserve"> государств</w:t>
      </w:r>
      <w:r w:rsidR="00BF44B1">
        <w:rPr>
          <w:rFonts w:ascii="Times New Roman" w:hAnsi="Times New Roman"/>
          <w:color w:val="000000"/>
          <w:sz w:val="28"/>
          <w:szCs w:val="28"/>
        </w:rPr>
        <w:t>,</w:t>
      </w:r>
      <w:r w:rsidRPr="00094C60">
        <w:rPr>
          <w:rFonts w:ascii="Times New Roman" w:hAnsi="Times New Roman"/>
          <w:color w:val="000000"/>
          <w:sz w:val="28"/>
          <w:szCs w:val="28"/>
        </w:rPr>
        <w:t xml:space="preserve"> </w:t>
      </w:r>
      <w:r w:rsidR="00EB2D55">
        <w:rPr>
          <w:rFonts w:ascii="Times New Roman" w:hAnsi="Times New Roman"/>
          <w:color w:val="000000"/>
          <w:sz w:val="28"/>
          <w:szCs w:val="28"/>
        </w:rPr>
        <w:t>позволяя обеспечить</w:t>
      </w:r>
      <w:r w:rsidRPr="00094C60">
        <w:rPr>
          <w:rFonts w:ascii="Times New Roman" w:hAnsi="Times New Roman"/>
          <w:color w:val="000000"/>
          <w:sz w:val="28"/>
          <w:szCs w:val="28"/>
        </w:rPr>
        <w:t xml:space="preserve"> правильную обработку больших объемов накопленной и структурированной информации, а также </w:t>
      </w:r>
      <w:r w:rsidR="0064022F">
        <w:rPr>
          <w:rFonts w:ascii="Times New Roman" w:hAnsi="Times New Roman"/>
          <w:color w:val="000000"/>
          <w:sz w:val="28"/>
          <w:szCs w:val="28"/>
        </w:rPr>
        <w:t xml:space="preserve">расширить </w:t>
      </w:r>
      <w:r w:rsidRPr="00094C60">
        <w:rPr>
          <w:rFonts w:ascii="Times New Roman" w:hAnsi="Times New Roman"/>
          <w:color w:val="000000"/>
          <w:sz w:val="28"/>
          <w:szCs w:val="28"/>
        </w:rPr>
        <w:t>возможность ее использования.</w:t>
      </w:r>
    </w:p>
    <w:p w:rsidR="00390F32" w:rsidRPr="00042B26" w:rsidRDefault="00390F32" w:rsidP="00E9454A">
      <w:pPr>
        <w:pStyle w:val="4"/>
      </w:pPr>
      <w:r w:rsidRPr="00042B26">
        <w:t>Азербайджанская Республика</w:t>
      </w:r>
    </w:p>
    <w:p w:rsidR="00CB235A" w:rsidRPr="00042B26" w:rsidRDefault="00CB235A" w:rsidP="00CB235A">
      <w:pPr>
        <w:autoSpaceDE w:val="0"/>
        <w:autoSpaceDN w:val="0"/>
        <w:adjustRightInd w:val="0"/>
        <w:spacing w:after="0" w:line="240" w:lineRule="auto"/>
        <w:ind w:firstLine="709"/>
        <w:jc w:val="both"/>
        <w:rPr>
          <w:rFonts w:ascii="Times New Roman" w:hAnsi="Times New Roman"/>
          <w:color w:val="000000"/>
          <w:sz w:val="28"/>
          <w:szCs w:val="28"/>
        </w:rPr>
      </w:pPr>
      <w:r w:rsidRPr="00042B26">
        <w:rPr>
          <w:rFonts w:ascii="Times New Roman" w:hAnsi="Times New Roman"/>
          <w:color w:val="000000"/>
          <w:sz w:val="28"/>
          <w:szCs w:val="28"/>
        </w:rPr>
        <w:t>В Азербайджанской Республике уделяется особое внимание развитию информационно-коммуникационны</w:t>
      </w:r>
      <w:r w:rsidR="001B417D" w:rsidRPr="00042B26">
        <w:rPr>
          <w:rFonts w:ascii="Times New Roman" w:hAnsi="Times New Roman"/>
          <w:color w:val="000000"/>
          <w:sz w:val="28"/>
          <w:szCs w:val="28"/>
        </w:rPr>
        <w:t>х</w:t>
      </w:r>
      <w:r w:rsidRPr="00042B26">
        <w:rPr>
          <w:rFonts w:ascii="Times New Roman" w:hAnsi="Times New Roman"/>
          <w:color w:val="000000"/>
          <w:sz w:val="28"/>
          <w:szCs w:val="28"/>
        </w:rPr>
        <w:t xml:space="preserve"> технологи</w:t>
      </w:r>
      <w:r w:rsidR="001B417D" w:rsidRPr="00042B26">
        <w:rPr>
          <w:rFonts w:ascii="Times New Roman" w:hAnsi="Times New Roman"/>
          <w:color w:val="000000"/>
          <w:sz w:val="28"/>
          <w:szCs w:val="28"/>
        </w:rPr>
        <w:t>й (ИКТ)</w:t>
      </w:r>
      <w:r w:rsidRPr="00042B26">
        <w:rPr>
          <w:rFonts w:ascii="Times New Roman" w:hAnsi="Times New Roman"/>
          <w:color w:val="000000"/>
          <w:sz w:val="28"/>
          <w:szCs w:val="28"/>
        </w:rPr>
        <w:t xml:space="preserve"> и применению их достижений в экономике и системе управления.</w:t>
      </w:r>
    </w:p>
    <w:p w:rsidR="00CB235A" w:rsidRPr="00042B26" w:rsidRDefault="00CB235A" w:rsidP="00CB235A">
      <w:pPr>
        <w:autoSpaceDE w:val="0"/>
        <w:autoSpaceDN w:val="0"/>
        <w:adjustRightInd w:val="0"/>
        <w:spacing w:after="0" w:line="240" w:lineRule="auto"/>
        <w:ind w:firstLine="709"/>
        <w:jc w:val="both"/>
        <w:rPr>
          <w:rFonts w:ascii="Times New Roman" w:hAnsi="Times New Roman"/>
          <w:color w:val="000000"/>
          <w:sz w:val="28"/>
          <w:szCs w:val="28"/>
        </w:rPr>
      </w:pPr>
      <w:r w:rsidRPr="00042B26">
        <w:rPr>
          <w:rFonts w:ascii="Times New Roman" w:hAnsi="Times New Roman"/>
          <w:color w:val="000000"/>
          <w:sz w:val="28"/>
          <w:szCs w:val="28"/>
        </w:rPr>
        <w:t>С целью перехода к цифровой экономике в Азербайджанской Республике с 2003 года был</w:t>
      </w:r>
      <w:r w:rsidR="001B417D" w:rsidRPr="00042B26">
        <w:rPr>
          <w:rFonts w:ascii="Times New Roman" w:hAnsi="Times New Roman"/>
          <w:color w:val="000000"/>
          <w:sz w:val="28"/>
          <w:szCs w:val="28"/>
        </w:rPr>
        <w:t>и</w:t>
      </w:r>
      <w:r w:rsidRPr="00042B26">
        <w:rPr>
          <w:rFonts w:ascii="Times New Roman" w:hAnsi="Times New Roman"/>
          <w:color w:val="000000"/>
          <w:sz w:val="28"/>
          <w:szCs w:val="28"/>
        </w:rPr>
        <w:t xml:space="preserve"> принят</w:t>
      </w:r>
      <w:r w:rsidR="001B417D" w:rsidRPr="00042B26">
        <w:rPr>
          <w:rFonts w:ascii="Times New Roman" w:hAnsi="Times New Roman"/>
          <w:color w:val="000000"/>
          <w:sz w:val="28"/>
          <w:szCs w:val="28"/>
        </w:rPr>
        <w:t>ы</w:t>
      </w:r>
      <w:r w:rsidRPr="00042B26">
        <w:rPr>
          <w:rFonts w:ascii="Times New Roman" w:hAnsi="Times New Roman"/>
          <w:color w:val="000000"/>
          <w:sz w:val="28"/>
          <w:szCs w:val="28"/>
        </w:rPr>
        <w:t xml:space="preserve"> ряд законодательных актов и государственных программ:</w:t>
      </w:r>
    </w:p>
    <w:p w:rsidR="00CB235A" w:rsidRPr="00042B26" w:rsidRDefault="00CB235A" w:rsidP="00CB235A">
      <w:pPr>
        <w:autoSpaceDE w:val="0"/>
        <w:autoSpaceDN w:val="0"/>
        <w:adjustRightInd w:val="0"/>
        <w:spacing w:after="0" w:line="240" w:lineRule="auto"/>
        <w:ind w:firstLine="709"/>
        <w:jc w:val="both"/>
        <w:rPr>
          <w:rFonts w:ascii="Times New Roman" w:hAnsi="Times New Roman"/>
          <w:color w:val="000000"/>
          <w:sz w:val="28"/>
          <w:szCs w:val="28"/>
        </w:rPr>
      </w:pPr>
      <w:r w:rsidRPr="00042B26">
        <w:rPr>
          <w:rFonts w:ascii="Times New Roman" w:hAnsi="Times New Roman"/>
          <w:color w:val="000000"/>
          <w:sz w:val="28"/>
          <w:szCs w:val="28"/>
        </w:rPr>
        <w:t>Указ Президента Азербайджанской Республики от 11 февраля 2003 года №</w:t>
      </w:r>
      <w:r w:rsidR="00E9454A" w:rsidRPr="00042B26">
        <w:rPr>
          <w:rFonts w:ascii="Times New Roman" w:hAnsi="Times New Roman"/>
          <w:color w:val="000000"/>
          <w:sz w:val="28"/>
          <w:szCs w:val="28"/>
        </w:rPr>
        <w:t> </w:t>
      </w:r>
      <w:r w:rsidRPr="00042B26">
        <w:rPr>
          <w:rFonts w:ascii="Times New Roman" w:hAnsi="Times New Roman"/>
          <w:color w:val="000000"/>
          <w:sz w:val="28"/>
          <w:szCs w:val="28"/>
        </w:rPr>
        <w:t xml:space="preserve">1146 «Об утверждении Национальной </w:t>
      </w:r>
      <w:r w:rsidR="00A81013" w:rsidRPr="00042B26">
        <w:rPr>
          <w:rFonts w:ascii="Times New Roman" w:hAnsi="Times New Roman"/>
          <w:color w:val="000000"/>
          <w:sz w:val="28"/>
          <w:szCs w:val="28"/>
        </w:rPr>
        <w:t>с</w:t>
      </w:r>
      <w:r w:rsidRPr="00042B26">
        <w:rPr>
          <w:rFonts w:ascii="Times New Roman" w:hAnsi="Times New Roman"/>
          <w:color w:val="000000"/>
          <w:sz w:val="28"/>
          <w:szCs w:val="28"/>
        </w:rPr>
        <w:t>тратегии информационно-коммуникационных технологий для развития Азербайджанской Республики на 2003–2012 годы»;</w:t>
      </w:r>
    </w:p>
    <w:p w:rsidR="00CB235A" w:rsidRPr="00042B26" w:rsidRDefault="00CB235A" w:rsidP="00CB235A">
      <w:pPr>
        <w:autoSpaceDE w:val="0"/>
        <w:autoSpaceDN w:val="0"/>
        <w:adjustRightInd w:val="0"/>
        <w:spacing w:after="0" w:line="240" w:lineRule="auto"/>
        <w:ind w:firstLine="709"/>
        <w:jc w:val="both"/>
        <w:rPr>
          <w:rFonts w:ascii="Times New Roman" w:hAnsi="Times New Roman"/>
          <w:color w:val="000000"/>
          <w:sz w:val="28"/>
          <w:szCs w:val="28"/>
        </w:rPr>
      </w:pPr>
      <w:r w:rsidRPr="00042B26">
        <w:rPr>
          <w:rFonts w:ascii="Times New Roman" w:hAnsi="Times New Roman"/>
          <w:color w:val="000000"/>
          <w:sz w:val="28"/>
          <w:szCs w:val="28"/>
        </w:rPr>
        <w:t>Указ Президента Азербайджанской Республики от 21 октября 2005 года №</w:t>
      </w:r>
      <w:r w:rsidR="00E9454A" w:rsidRPr="00042B26">
        <w:rPr>
          <w:rFonts w:ascii="Times New Roman" w:hAnsi="Times New Roman"/>
          <w:color w:val="000000"/>
          <w:sz w:val="28"/>
          <w:szCs w:val="28"/>
        </w:rPr>
        <w:t> </w:t>
      </w:r>
      <w:r w:rsidRPr="00042B26">
        <w:rPr>
          <w:rFonts w:ascii="Times New Roman" w:hAnsi="Times New Roman"/>
          <w:color w:val="000000"/>
          <w:sz w:val="28"/>
          <w:szCs w:val="28"/>
        </w:rPr>
        <w:t xml:space="preserve">1055 «Об утверждении Государственной </w:t>
      </w:r>
      <w:r w:rsidR="00A81013" w:rsidRPr="00042B26">
        <w:rPr>
          <w:rFonts w:ascii="Times New Roman" w:hAnsi="Times New Roman"/>
          <w:color w:val="000000"/>
          <w:sz w:val="28"/>
          <w:szCs w:val="28"/>
        </w:rPr>
        <w:t>п</w:t>
      </w:r>
      <w:r w:rsidRPr="00042B26">
        <w:rPr>
          <w:rFonts w:ascii="Times New Roman" w:hAnsi="Times New Roman"/>
          <w:color w:val="000000"/>
          <w:sz w:val="28"/>
          <w:szCs w:val="28"/>
        </w:rPr>
        <w:t>рограммы по развитию коммуникационных и информационных технологий в Азербайджанской Республике на 2005–2008 годы» («Электронный Азербайджан»);</w:t>
      </w:r>
    </w:p>
    <w:p w:rsidR="00CB235A" w:rsidRPr="00042B26" w:rsidRDefault="001B417D" w:rsidP="00CB235A">
      <w:pPr>
        <w:autoSpaceDE w:val="0"/>
        <w:autoSpaceDN w:val="0"/>
        <w:adjustRightInd w:val="0"/>
        <w:spacing w:after="0" w:line="240" w:lineRule="auto"/>
        <w:ind w:firstLine="709"/>
        <w:jc w:val="both"/>
        <w:rPr>
          <w:rFonts w:ascii="Times New Roman" w:hAnsi="Times New Roman"/>
          <w:color w:val="000000"/>
          <w:sz w:val="28"/>
          <w:szCs w:val="28"/>
        </w:rPr>
      </w:pPr>
      <w:r w:rsidRPr="00042B26">
        <w:rPr>
          <w:rFonts w:ascii="Times New Roman" w:hAnsi="Times New Roman"/>
          <w:color w:val="000000"/>
          <w:sz w:val="28"/>
          <w:szCs w:val="28"/>
        </w:rPr>
        <w:t>р</w:t>
      </w:r>
      <w:r w:rsidR="00CB235A" w:rsidRPr="00042B26">
        <w:rPr>
          <w:rFonts w:ascii="Times New Roman" w:hAnsi="Times New Roman"/>
          <w:color w:val="000000"/>
          <w:sz w:val="28"/>
          <w:szCs w:val="28"/>
        </w:rPr>
        <w:t>аспоряжение Президента Азербайджанской Республики от 11 августа 2010 года №</w:t>
      </w:r>
      <w:r w:rsidR="00E9454A" w:rsidRPr="00042B26">
        <w:rPr>
          <w:rFonts w:ascii="Times New Roman" w:hAnsi="Times New Roman"/>
          <w:color w:val="000000"/>
          <w:sz w:val="28"/>
          <w:szCs w:val="28"/>
        </w:rPr>
        <w:t> </w:t>
      </w:r>
      <w:r w:rsidR="00CB235A" w:rsidRPr="00042B26">
        <w:rPr>
          <w:rFonts w:ascii="Times New Roman" w:hAnsi="Times New Roman"/>
          <w:color w:val="000000"/>
          <w:sz w:val="28"/>
          <w:szCs w:val="28"/>
        </w:rPr>
        <w:t xml:space="preserve">1056 «Об утверждении Государственной </w:t>
      </w:r>
      <w:r w:rsidR="00A81013" w:rsidRPr="00042B26">
        <w:rPr>
          <w:rFonts w:ascii="Times New Roman" w:hAnsi="Times New Roman"/>
          <w:color w:val="000000"/>
          <w:sz w:val="28"/>
          <w:szCs w:val="28"/>
        </w:rPr>
        <w:t>п</w:t>
      </w:r>
      <w:r w:rsidR="00CB235A" w:rsidRPr="00042B26">
        <w:rPr>
          <w:rFonts w:ascii="Times New Roman" w:hAnsi="Times New Roman"/>
          <w:color w:val="000000"/>
          <w:sz w:val="28"/>
          <w:szCs w:val="28"/>
        </w:rPr>
        <w:t>рограммы по развитию коммуникационных и информационных технологий в Азербайджанской Республике на 2010–2012 годы» («Электронный Азербайджан»);</w:t>
      </w:r>
    </w:p>
    <w:p w:rsidR="00CB235A" w:rsidRPr="00042B26" w:rsidRDefault="00CB235A" w:rsidP="00CB235A">
      <w:pPr>
        <w:autoSpaceDE w:val="0"/>
        <w:autoSpaceDN w:val="0"/>
        <w:adjustRightInd w:val="0"/>
        <w:spacing w:after="0" w:line="240" w:lineRule="auto"/>
        <w:ind w:firstLine="709"/>
        <w:jc w:val="both"/>
        <w:rPr>
          <w:rFonts w:ascii="Times New Roman" w:hAnsi="Times New Roman"/>
          <w:color w:val="000000"/>
          <w:sz w:val="28"/>
          <w:szCs w:val="28"/>
        </w:rPr>
      </w:pPr>
      <w:r w:rsidRPr="00042B26">
        <w:rPr>
          <w:rFonts w:ascii="Times New Roman" w:hAnsi="Times New Roman"/>
          <w:color w:val="000000"/>
          <w:sz w:val="28"/>
          <w:szCs w:val="28"/>
        </w:rPr>
        <w:t>Указ Президента Азербайджанской Республики от 23 мая 2011 года №</w:t>
      </w:r>
      <w:r w:rsidR="00E9454A" w:rsidRPr="00042B26">
        <w:rPr>
          <w:rFonts w:ascii="Times New Roman" w:hAnsi="Times New Roman"/>
          <w:color w:val="000000"/>
          <w:sz w:val="28"/>
          <w:szCs w:val="28"/>
        </w:rPr>
        <w:t> </w:t>
      </w:r>
      <w:r w:rsidRPr="00042B26">
        <w:rPr>
          <w:rFonts w:ascii="Times New Roman" w:hAnsi="Times New Roman"/>
          <w:color w:val="000000"/>
          <w:sz w:val="28"/>
          <w:szCs w:val="28"/>
        </w:rPr>
        <w:t>429 «О некоторых мерах в сфере оказания электронных услуг, оказываемых государственными органами и юридическими лицами публичного права, созданными Президентом Азербайджанской Республики»;</w:t>
      </w:r>
    </w:p>
    <w:p w:rsidR="00CB235A" w:rsidRPr="00042B26" w:rsidRDefault="00CB235A" w:rsidP="00CB235A">
      <w:pPr>
        <w:autoSpaceDE w:val="0"/>
        <w:autoSpaceDN w:val="0"/>
        <w:adjustRightInd w:val="0"/>
        <w:spacing w:after="0" w:line="240" w:lineRule="auto"/>
        <w:ind w:firstLine="709"/>
        <w:jc w:val="both"/>
        <w:rPr>
          <w:rFonts w:ascii="Times New Roman" w:hAnsi="Times New Roman"/>
          <w:color w:val="000000"/>
          <w:sz w:val="28"/>
          <w:szCs w:val="28"/>
        </w:rPr>
      </w:pPr>
      <w:r w:rsidRPr="00042B26">
        <w:rPr>
          <w:rFonts w:ascii="Times New Roman" w:hAnsi="Times New Roman"/>
          <w:color w:val="000000"/>
          <w:sz w:val="28"/>
          <w:szCs w:val="28"/>
        </w:rPr>
        <w:t>Указ Президента Азербайджанской Республики от 5 февраля 2013 года №</w:t>
      </w:r>
      <w:r w:rsidR="00E9454A" w:rsidRPr="00042B26">
        <w:rPr>
          <w:rFonts w:ascii="Times New Roman" w:hAnsi="Times New Roman"/>
          <w:color w:val="000000"/>
          <w:sz w:val="28"/>
          <w:szCs w:val="28"/>
        </w:rPr>
        <w:t> </w:t>
      </w:r>
      <w:r w:rsidRPr="00042B26">
        <w:rPr>
          <w:rFonts w:ascii="Times New Roman" w:hAnsi="Times New Roman"/>
          <w:color w:val="000000"/>
          <w:sz w:val="28"/>
          <w:szCs w:val="28"/>
        </w:rPr>
        <w:t xml:space="preserve">813 «Об утверждении Положения о портале «Электронное правительство»; </w:t>
      </w:r>
    </w:p>
    <w:p w:rsidR="00CB235A" w:rsidRPr="00042B26" w:rsidRDefault="001B417D" w:rsidP="00CB235A">
      <w:pPr>
        <w:autoSpaceDE w:val="0"/>
        <w:autoSpaceDN w:val="0"/>
        <w:adjustRightInd w:val="0"/>
        <w:spacing w:after="0" w:line="240" w:lineRule="auto"/>
        <w:ind w:firstLine="709"/>
        <w:jc w:val="both"/>
        <w:rPr>
          <w:rFonts w:ascii="Times New Roman" w:hAnsi="Times New Roman"/>
          <w:color w:val="000000"/>
          <w:sz w:val="28"/>
          <w:szCs w:val="28"/>
        </w:rPr>
      </w:pPr>
      <w:r w:rsidRPr="00042B26">
        <w:rPr>
          <w:rFonts w:ascii="Times New Roman" w:hAnsi="Times New Roman"/>
          <w:color w:val="000000"/>
          <w:sz w:val="28"/>
          <w:szCs w:val="28"/>
        </w:rPr>
        <w:t>р</w:t>
      </w:r>
      <w:r w:rsidR="00CB235A" w:rsidRPr="00042B26">
        <w:rPr>
          <w:rFonts w:ascii="Times New Roman" w:hAnsi="Times New Roman"/>
          <w:color w:val="000000"/>
          <w:sz w:val="28"/>
          <w:szCs w:val="28"/>
        </w:rPr>
        <w:t>аспоряжение Президента Азербайджанской Республики от 16 марта 2016 года №</w:t>
      </w:r>
      <w:r w:rsidR="00E9454A" w:rsidRPr="00042B26">
        <w:rPr>
          <w:rFonts w:ascii="Times New Roman" w:hAnsi="Times New Roman"/>
          <w:color w:val="000000"/>
          <w:sz w:val="28"/>
          <w:szCs w:val="28"/>
        </w:rPr>
        <w:t> </w:t>
      </w:r>
      <w:r w:rsidR="00CB235A" w:rsidRPr="00042B26">
        <w:rPr>
          <w:rFonts w:ascii="Times New Roman" w:hAnsi="Times New Roman"/>
          <w:color w:val="000000"/>
          <w:sz w:val="28"/>
          <w:szCs w:val="28"/>
        </w:rPr>
        <w:t xml:space="preserve">1897 «Об утверждении </w:t>
      </w:r>
      <w:r w:rsidR="00A81013" w:rsidRPr="00042B26">
        <w:rPr>
          <w:rFonts w:ascii="Times New Roman" w:hAnsi="Times New Roman"/>
          <w:color w:val="000000"/>
          <w:sz w:val="28"/>
          <w:szCs w:val="28"/>
        </w:rPr>
        <w:t>г</w:t>
      </w:r>
      <w:r w:rsidR="00CB235A" w:rsidRPr="00042B26">
        <w:rPr>
          <w:rFonts w:ascii="Times New Roman" w:hAnsi="Times New Roman"/>
          <w:color w:val="000000"/>
          <w:sz w:val="28"/>
          <w:szCs w:val="28"/>
        </w:rPr>
        <w:t xml:space="preserve">лавных направлений Стратегической </w:t>
      </w:r>
      <w:r w:rsidR="00A81013" w:rsidRPr="00042B26">
        <w:rPr>
          <w:rFonts w:ascii="Times New Roman" w:hAnsi="Times New Roman"/>
          <w:color w:val="000000"/>
          <w:sz w:val="28"/>
          <w:szCs w:val="28"/>
        </w:rPr>
        <w:t>д</w:t>
      </w:r>
      <w:r w:rsidR="00CB235A" w:rsidRPr="00042B26">
        <w:rPr>
          <w:rFonts w:ascii="Times New Roman" w:hAnsi="Times New Roman"/>
          <w:color w:val="000000"/>
          <w:sz w:val="28"/>
          <w:szCs w:val="28"/>
        </w:rPr>
        <w:t xml:space="preserve">орожной </w:t>
      </w:r>
      <w:r w:rsidR="00A81013" w:rsidRPr="00042B26">
        <w:rPr>
          <w:rFonts w:ascii="Times New Roman" w:hAnsi="Times New Roman"/>
          <w:color w:val="000000"/>
          <w:sz w:val="28"/>
          <w:szCs w:val="28"/>
        </w:rPr>
        <w:t>к</w:t>
      </w:r>
      <w:r w:rsidR="00CB235A" w:rsidRPr="00042B26">
        <w:rPr>
          <w:rFonts w:ascii="Times New Roman" w:hAnsi="Times New Roman"/>
          <w:color w:val="000000"/>
          <w:sz w:val="28"/>
          <w:szCs w:val="28"/>
        </w:rPr>
        <w:t xml:space="preserve">арты по национальной экономике и основным секторам экономики и </w:t>
      </w:r>
      <w:r w:rsidR="00E9454A" w:rsidRPr="00042B26">
        <w:rPr>
          <w:rFonts w:ascii="Times New Roman" w:hAnsi="Times New Roman"/>
          <w:color w:val="000000"/>
          <w:sz w:val="28"/>
          <w:szCs w:val="28"/>
        </w:rPr>
        <w:t>вытекающих из этого вопросах»;</w:t>
      </w:r>
    </w:p>
    <w:p w:rsidR="00CB235A" w:rsidRPr="00042B26" w:rsidRDefault="00CB235A" w:rsidP="00CB235A">
      <w:pPr>
        <w:autoSpaceDE w:val="0"/>
        <w:autoSpaceDN w:val="0"/>
        <w:adjustRightInd w:val="0"/>
        <w:spacing w:after="0" w:line="240" w:lineRule="auto"/>
        <w:ind w:firstLine="709"/>
        <w:jc w:val="both"/>
        <w:rPr>
          <w:rFonts w:ascii="Times New Roman" w:hAnsi="Times New Roman"/>
          <w:color w:val="000000"/>
          <w:sz w:val="28"/>
          <w:szCs w:val="28"/>
        </w:rPr>
      </w:pPr>
      <w:r w:rsidRPr="00042B26">
        <w:rPr>
          <w:rFonts w:ascii="Times New Roman" w:hAnsi="Times New Roman"/>
          <w:color w:val="000000"/>
          <w:sz w:val="28"/>
          <w:szCs w:val="28"/>
        </w:rPr>
        <w:t>Указ Президента Азербайджанской Республики от 6 декабря 2016 года №</w:t>
      </w:r>
      <w:r w:rsidR="00E9454A" w:rsidRPr="00042B26">
        <w:rPr>
          <w:rFonts w:ascii="Times New Roman" w:hAnsi="Times New Roman"/>
          <w:color w:val="000000"/>
          <w:sz w:val="28"/>
          <w:szCs w:val="28"/>
        </w:rPr>
        <w:t> </w:t>
      </w:r>
      <w:r w:rsidRPr="00042B26">
        <w:rPr>
          <w:rFonts w:ascii="Times New Roman" w:hAnsi="Times New Roman"/>
          <w:color w:val="000000"/>
          <w:sz w:val="28"/>
          <w:szCs w:val="28"/>
        </w:rPr>
        <w:t xml:space="preserve">1138 «Об утверждении Стратегических </w:t>
      </w:r>
      <w:r w:rsidR="00A81013" w:rsidRPr="00042B26">
        <w:rPr>
          <w:rFonts w:ascii="Times New Roman" w:hAnsi="Times New Roman"/>
          <w:color w:val="000000"/>
          <w:sz w:val="28"/>
          <w:szCs w:val="28"/>
        </w:rPr>
        <w:t>дорожных к</w:t>
      </w:r>
      <w:r w:rsidRPr="00042B26">
        <w:rPr>
          <w:rFonts w:ascii="Times New Roman" w:hAnsi="Times New Roman"/>
          <w:color w:val="000000"/>
          <w:sz w:val="28"/>
          <w:szCs w:val="28"/>
        </w:rPr>
        <w:t>арт по национальной экономике и основным секторам экономики»;</w:t>
      </w:r>
    </w:p>
    <w:p w:rsidR="00390F32" w:rsidRPr="00390F32" w:rsidRDefault="001B417D" w:rsidP="004D2C9E">
      <w:pPr>
        <w:autoSpaceDE w:val="0"/>
        <w:autoSpaceDN w:val="0"/>
        <w:adjustRightInd w:val="0"/>
        <w:spacing w:after="0" w:line="240" w:lineRule="auto"/>
        <w:ind w:firstLine="709"/>
        <w:jc w:val="both"/>
        <w:rPr>
          <w:rFonts w:ascii="Times New Roman" w:hAnsi="Times New Roman"/>
          <w:b/>
          <w:color w:val="000000"/>
          <w:sz w:val="28"/>
          <w:szCs w:val="28"/>
        </w:rPr>
      </w:pPr>
      <w:r w:rsidRPr="00042B26">
        <w:rPr>
          <w:rFonts w:ascii="Times New Roman" w:hAnsi="Times New Roman"/>
          <w:color w:val="000000"/>
          <w:sz w:val="28"/>
          <w:szCs w:val="28"/>
        </w:rPr>
        <w:t>р</w:t>
      </w:r>
      <w:r w:rsidR="00CB235A" w:rsidRPr="00042B26">
        <w:rPr>
          <w:rFonts w:ascii="Times New Roman" w:hAnsi="Times New Roman"/>
          <w:color w:val="000000"/>
          <w:sz w:val="28"/>
          <w:szCs w:val="28"/>
        </w:rPr>
        <w:t>аспоряжение Президента Азербайджанской Республики от 26 сентября 2018 года №</w:t>
      </w:r>
      <w:r w:rsidR="00E9454A" w:rsidRPr="00042B26">
        <w:rPr>
          <w:rFonts w:ascii="Times New Roman" w:hAnsi="Times New Roman"/>
          <w:color w:val="000000"/>
          <w:sz w:val="28"/>
          <w:szCs w:val="28"/>
        </w:rPr>
        <w:t> </w:t>
      </w:r>
      <w:r w:rsidR="00CB235A" w:rsidRPr="00042B26">
        <w:rPr>
          <w:rFonts w:ascii="Times New Roman" w:hAnsi="Times New Roman"/>
          <w:color w:val="000000"/>
          <w:sz w:val="28"/>
          <w:szCs w:val="28"/>
        </w:rPr>
        <w:t xml:space="preserve">508 «Об утверждении Государственной </w:t>
      </w:r>
      <w:r w:rsidR="00A81013" w:rsidRPr="00042B26">
        <w:rPr>
          <w:rFonts w:ascii="Times New Roman" w:hAnsi="Times New Roman"/>
          <w:color w:val="000000"/>
          <w:sz w:val="28"/>
          <w:szCs w:val="28"/>
        </w:rPr>
        <w:t>п</w:t>
      </w:r>
      <w:r w:rsidR="00CB235A" w:rsidRPr="00042B26">
        <w:rPr>
          <w:rFonts w:ascii="Times New Roman" w:hAnsi="Times New Roman"/>
          <w:color w:val="000000"/>
          <w:sz w:val="28"/>
          <w:szCs w:val="28"/>
        </w:rPr>
        <w:t>рограммы по расширению цифровых платежей в Азербайджанской Республике в 2018–2020</w:t>
      </w:r>
      <w:r w:rsidR="00E9454A" w:rsidRPr="00042B26">
        <w:rPr>
          <w:rFonts w:ascii="Times New Roman" w:hAnsi="Times New Roman"/>
          <w:color w:val="000000"/>
          <w:sz w:val="28"/>
          <w:szCs w:val="28"/>
        </w:rPr>
        <w:t> </w:t>
      </w:r>
      <w:r w:rsidR="00CB235A" w:rsidRPr="00042B26">
        <w:rPr>
          <w:rFonts w:ascii="Times New Roman" w:hAnsi="Times New Roman"/>
          <w:color w:val="000000"/>
          <w:sz w:val="28"/>
          <w:szCs w:val="28"/>
        </w:rPr>
        <w:t>годах».</w:t>
      </w:r>
    </w:p>
    <w:p w:rsidR="00AB71EA" w:rsidRPr="00FE5897" w:rsidRDefault="00AB71EA" w:rsidP="006B6DA1">
      <w:pPr>
        <w:pStyle w:val="4"/>
      </w:pPr>
      <w:r w:rsidRPr="00FE5897">
        <w:t>Республика Армения</w:t>
      </w:r>
    </w:p>
    <w:p w:rsidR="00FE5897" w:rsidRPr="00FE5897" w:rsidRDefault="00FE5897" w:rsidP="004D2C9E">
      <w:pPr>
        <w:pStyle w:val="22"/>
      </w:pPr>
      <w:r w:rsidRPr="00FE5897">
        <w:t xml:space="preserve">В настоящее время развитие наукоeмкой, цифровой экономики и инновационной экосистемы является важным фактором для повышения конкурентоспособности и производительности экономики Армении. В цифровой экономике базовым становится процесс производства знаний, вокруг которого формируется новая инфраструктура. Армения обладает значительным интеллектуальным и кадровым потенциалом, армянские технологические компании успешно сотрудничают с крупными транснациональными компаниями. Эти факторы являются главными предпосылками для развития цифровой экономики, способствующими продвижению Армении по </w:t>
      </w:r>
      <w:r w:rsidR="00C72888">
        <w:t>данному</w:t>
      </w:r>
      <w:r w:rsidRPr="00FE5897">
        <w:t xml:space="preserve"> пути. </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Фонд </w:t>
      </w:r>
      <w:r w:rsidR="004D2C9E">
        <w:rPr>
          <w:rFonts w:ascii="Times New Roman" w:hAnsi="Times New Roman"/>
          <w:color w:val="000000"/>
          <w:sz w:val="28"/>
          <w:szCs w:val="28"/>
        </w:rPr>
        <w:t>«</w:t>
      </w:r>
      <w:r w:rsidRPr="00FE5897">
        <w:rPr>
          <w:rFonts w:ascii="Times New Roman" w:hAnsi="Times New Roman"/>
          <w:color w:val="000000"/>
          <w:sz w:val="28"/>
          <w:szCs w:val="28"/>
        </w:rPr>
        <w:t>Центр стратегических инициатив</w:t>
      </w:r>
      <w:r w:rsidR="004D2C9E">
        <w:rPr>
          <w:rFonts w:ascii="Times New Roman" w:hAnsi="Times New Roman"/>
          <w:color w:val="000000"/>
          <w:sz w:val="28"/>
          <w:szCs w:val="28"/>
        </w:rPr>
        <w:t>»</w:t>
      </w:r>
      <w:r w:rsidRPr="00FE5897">
        <w:rPr>
          <w:rFonts w:ascii="Times New Roman" w:hAnsi="Times New Roman"/>
          <w:color w:val="000000"/>
          <w:sz w:val="28"/>
          <w:szCs w:val="28"/>
        </w:rPr>
        <w:t xml:space="preserve"> в 2017 году разработал и представил в Правительство Республики Армения проект долгосрочной стратегии </w:t>
      </w:r>
      <w:r w:rsidR="004D2C9E">
        <w:rPr>
          <w:rFonts w:ascii="Times New Roman" w:hAnsi="Times New Roman"/>
          <w:color w:val="000000"/>
          <w:sz w:val="28"/>
          <w:szCs w:val="28"/>
        </w:rPr>
        <w:t>«</w:t>
      </w:r>
      <w:r w:rsidRPr="00FE5897">
        <w:rPr>
          <w:rFonts w:ascii="Times New Roman" w:hAnsi="Times New Roman"/>
          <w:color w:val="000000"/>
          <w:sz w:val="28"/>
          <w:szCs w:val="28"/>
        </w:rPr>
        <w:t>Цифровая повестка дня Армении 2030</w:t>
      </w:r>
      <w:r w:rsidR="004D2C9E">
        <w:rPr>
          <w:rFonts w:ascii="Times New Roman" w:hAnsi="Times New Roman"/>
          <w:color w:val="000000"/>
          <w:sz w:val="28"/>
          <w:szCs w:val="28"/>
        </w:rPr>
        <w:t>»</w:t>
      </w:r>
      <w:r w:rsidRPr="00FE5897">
        <w:rPr>
          <w:rFonts w:ascii="Times New Roman" w:hAnsi="Times New Roman"/>
          <w:color w:val="000000"/>
          <w:sz w:val="28"/>
          <w:szCs w:val="28"/>
        </w:rPr>
        <w:t xml:space="preserve">. В ходе его разработки изучены возможности осуществления реформ цифровизации по </w:t>
      </w:r>
      <w:r w:rsidR="003702EC">
        <w:rPr>
          <w:rFonts w:ascii="Times New Roman" w:hAnsi="Times New Roman"/>
          <w:color w:val="000000"/>
          <w:sz w:val="28"/>
          <w:szCs w:val="28"/>
        </w:rPr>
        <w:t>следующим</w:t>
      </w:r>
      <w:r w:rsidRPr="00FE5897">
        <w:rPr>
          <w:rFonts w:ascii="Times New Roman" w:hAnsi="Times New Roman"/>
          <w:color w:val="000000"/>
          <w:sz w:val="28"/>
          <w:szCs w:val="28"/>
        </w:rPr>
        <w:t xml:space="preserve"> направлениям: инфраструктуры, цифровое управление, цифровая трансформация частного сектора, развитие цифровых навыков, формирование институциональной системы и кибербезопасность. Для каждого направления разработан</w:t>
      </w:r>
      <w:r w:rsidR="003702EC">
        <w:rPr>
          <w:rFonts w:ascii="Times New Roman" w:hAnsi="Times New Roman"/>
          <w:color w:val="000000"/>
          <w:sz w:val="28"/>
          <w:szCs w:val="28"/>
        </w:rPr>
        <w:t>о</w:t>
      </w:r>
      <w:r w:rsidRPr="00FE5897">
        <w:rPr>
          <w:rFonts w:ascii="Times New Roman" w:hAnsi="Times New Roman"/>
          <w:color w:val="000000"/>
          <w:sz w:val="28"/>
          <w:szCs w:val="28"/>
        </w:rPr>
        <w:t xml:space="preserve"> видение осуществления реформ, </w:t>
      </w:r>
      <w:r w:rsidR="003702EC">
        <w:rPr>
          <w:rFonts w:ascii="Times New Roman" w:hAnsi="Times New Roman"/>
          <w:color w:val="000000"/>
          <w:sz w:val="28"/>
          <w:szCs w:val="28"/>
        </w:rPr>
        <w:t xml:space="preserve">определены </w:t>
      </w:r>
      <w:r w:rsidRPr="00FE5897">
        <w:rPr>
          <w:rFonts w:ascii="Times New Roman" w:hAnsi="Times New Roman"/>
          <w:color w:val="000000"/>
          <w:sz w:val="28"/>
          <w:szCs w:val="28"/>
        </w:rPr>
        <w:t>измеримые результаты и предложены новые инициативы в цифровой сфере в части реализации первоочередных программ. Основной целью является обеспечение современных технологий, цифровизации предоставляемых услуг и постоянного технологического развития на всей территории Армении. Развитие цифровой экономики обеспечит конкурентоспособную и удобную э</w:t>
      </w:r>
      <w:r w:rsidR="00C72888">
        <w:rPr>
          <w:rFonts w:ascii="Times New Roman" w:hAnsi="Times New Roman"/>
          <w:color w:val="000000"/>
          <w:sz w:val="28"/>
          <w:szCs w:val="28"/>
        </w:rPr>
        <w:t>косистему в Республике Армения,</w:t>
      </w:r>
      <w:r w:rsidRPr="00FE5897">
        <w:rPr>
          <w:rFonts w:ascii="Times New Roman" w:hAnsi="Times New Roman"/>
          <w:color w:val="000000"/>
          <w:sz w:val="28"/>
          <w:szCs w:val="28"/>
        </w:rPr>
        <w:t xml:space="preserve"> создаст более привлекательные условия как для местных бизнесменов, так и для иностранных инвесторов.</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Постановлением Правительства Республики Армения в 2017 году был учрежден </w:t>
      </w:r>
      <w:r w:rsidR="00C4045A">
        <w:rPr>
          <w:rFonts w:ascii="Times New Roman" w:hAnsi="Times New Roman"/>
          <w:color w:val="000000"/>
          <w:sz w:val="28"/>
          <w:szCs w:val="28"/>
        </w:rPr>
        <w:t>ф</w:t>
      </w:r>
      <w:r w:rsidRPr="00FE5897">
        <w:rPr>
          <w:rFonts w:ascii="Times New Roman" w:hAnsi="Times New Roman"/>
          <w:color w:val="000000"/>
          <w:sz w:val="28"/>
          <w:szCs w:val="28"/>
        </w:rPr>
        <w:t xml:space="preserve">онд </w:t>
      </w:r>
      <w:r w:rsidR="004D2C9E">
        <w:rPr>
          <w:rFonts w:ascii="Times New Roman" w:hAnsi="Times New Roman"/>
          <w:color w:val="000000"/>
          <w:sz w:val="28"/>
          <w:szCs w:val="28"/>
        </w:rPr>
        <w:t>«</w:t>
      </w:r>
      <w:r w:rsidRPr="00FE5897">
        <w:rPr>
          <w:rFonts w:ascii="Times New Roman" w:hAnsi="Times New Roman"/>
          <w:color w:val="000000"/>
          <w:sz w:val="28"/>
          <w:szCs w:val="28"/>
        </w:rPr>
        <w:t>Цифровая Армения</w:t>
      </w:r>
      <w:r w:rsidR="004D2C9E">
        <w:rPr>
          <w:rFonts w:ascii="Times New Roman" w:hAnsi="Times New Roman"/>
          <w:color w:val="000000"/>
          <w:sz w:val="28"/>
          <w:szCs w:val="28"/>
        </w:rPr>
        <w:t>»</w:t>
      </w:r>
      <w:r w:rsidRPr="00FE5897">
        <w:rPr>
          <w:rFonts w:ascii="Times New Roman" w:hAnsi="Times New Roman"/>
          <w:color w:val="000000"/>
          <w:sz w:val="28"/>
          <w:szCs w:val="28"/>
        </w:rPr>
        <w:t xml:space="preserve">. </w:t>
      </w:r>
      <w:r w:rsidR="006B6DA1">
        <w:rPr>
          <w:rFonts w:ascii="Times New Roman" w:hAnsi="Times New Roman"/>
          <w:color w:val="000000"/>
          <w:sz w:val="28"/>
          <w:szCs w:val="28"/>
        </w:rPr>
        <w:t>Его</w:t>
      </w:r>
      <w:r w:rsidRPr="00FE5897">
        <w:rPr>
          <w:rFonts w:ascii="Times New Roman" w:hAnsi="Times New Roman"/>
          <w:color w:val="000000"/>
          <w:sz w:val="28"/>
          <w:szCs w:val="28"/>
        </w:rPr>
        <w:t xml:space="preserve"> создание связано с необходимостью реализации стратегии цифровых преобразований Республики Армения. Цифровая трансформация обеспечит прозрачность и подотчетность государственных органов, доступность получения качественного инклюзивного образования, а также изменит формат и характер развития цифровой бизнес-среды. Деятельность фонда </w:t>
      </w:r>
      <w:r w:rsidR="004D2C9E">
        <w:rPr>
          <w:rFonts w:ascii="Times New Roman" w:hAnsi="Times New Roman"/>
          <w:color w:val="000000"/>
          <w:sz w:val="28"/>
          <w:szCs w:val="28"/>
        </w:rPr>
        <w:t>«</w:t>
      </w:r>
      <w:r w:rsidRPr="00FE5897">
        <w:rPr>
          <w:rFonts w:ascii="Times New Roman" w:hAnsi="Times New Roman"/>
          <w:color w:val="000000"/>
          <w:sz w:val="28"/>
          <w:szCs w:val="28"/>
        </w:rPr>
        <w:t>Цифровая Армения</w:t>
      </w:r>
      <w:r w:rsidR="004D2C9E">
        <w:rPr>
          <w:rFonts w:ascii="Times New Roman" w:hAnsi="Times New Roman"/>
          <w:color w:val="000000"/>
          <w:sz w:val="28"/>
          <w:szCs w:val="28"/>
        </w:rPr>
        <w:t>»</w:t>
      </w:r>
      <w:r w:rsidRPr="00FE5897">
        <w:rPr>
          <w:rFonts w:ascii="Times New Roman" w:hAnsi="Times New Roman"/>
          <w:color w:val="000000"/>
          <w:sz w:val="28"/>
          <w:szCs w:val="28"/>
        </w:rPr>
        <w:t xml:space="preserve"> направлена на разработку новой </w:t>
      </w:r>
      <w:r w:rsidR="00C4045A">
        <w:rPr>
          <w:rFonts w:ascii="Times New Roman" w:hAnsi="Times New Roman"/>
          <w:color w:val="000000"/>
          <w:sz w:val="28"/>
          <w:szCs w:val="28"/>
        </w:rPr>
        <w:t>цифровой стратегии, формирование</w:t>
      </w:r>
      <w:r w:rsidRPr="00FE5897">
        <w:rPr>
          <w:rFonts w:ascii="Times New Roman" w:hAnsi="Times New Roman"/>
          <w:color w:val="000000"/>
          <w:sz w:val="28"/>
          <w:szCs w:val="28"/>
        </w:rPr>
        <w:t xml:space="preserve"> единой цифровой экосистемы во всех областях управления, модернизацию систем государственного управления и местного самоуправления, кибербезопасности и т.д. </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За последние г</w:t>
      </w:r>
      <w:r w:rsidR="00C4045A">
        <w:rPr>
          <w:rFonts w:ascii="Times New Roman" w:hAnsi="Times New Roman"/>
          <w:color w:val="000000"/>
          <w:sz w:val="28"/>
          <w:szCs w:val="28"/>
        </w:rPr>
        <w:t>оды</w:t>
      </w:r>
      <w:r w:rsidRPr="00FE5897">
        <w:rPr>
          <w:rFonts w:ascii="Times New Roman" w:hAnsi="Times New Roman"/>
          <w:color w:val="000000"/>
          <w:sz w:val="28"/>
          <w:szCs w:val="28"/>
        </w:rPr>
        <w:t xml:space="preserve"> с исп</w:t>
      </w:r>
      <w:r w:rsidR="00C4045A">
        <w:rPr>
          <w:rFonts w:ascii="Times New Roman" w:hAnsi="Times New Roman"/>
          <w:color w:val="000000"/>
          <w:sz w:val="28"/>
          <w:szCs w:val="28"/>
        </w:rPr>
        <w:t>ользованием модели цифровизации</w:t>
      </w:r>
      <w:r w:rsidRPr="00FE5897">
        <w:rPr>
          <w:rFonts w:ascii="Times New Roman" w:hAnsi="Times New Roman"/>
          <w:color w:val="000000"/>
          <w:sz w:val="28"/>
          <w:szCs w:val="28"/>
        </w:rPr>
        <w:t xml:space="preserve"> в Армении был</w:t>
      </w:r>
      <w:r w:rsidR="00C72888">
        <w:rPr>
          <w:rFonts w:ascii="Times New Roman" w:hAnsi="Times New Roman"/>
          <w:color w:val="000000"/>
          <w:sz w:val="28"/>
          <w:szCs w:val="28"/>
        </w:rPr>
        <w:t>и</w:t>
      </w:r>
      <w:r w:rsidRPr="00FE5897">
        <w:rPr>
          <w:rFonts w:ascii="Times New Roman" w:hAnsi="Times New Roman"/>
          <w:color w:val="000000"/>
          <w:sz w:val="28"/>
          <w:szCs w:val="28"/>
        </w:rPr>
        <w:t xml:space="preserve"> реализован</w:t>
      </w:r>
      <w:r w:rsidR="00C72888">
        <w:rPr>
          <w:rFonts w:ascii="Times New Roman" w:hAnsi="Times New Roman"/>
          <w:color w:val="000000"/>
          <w:sz w:val="28"/>
          <w:szCs w:val="28"/>
        </w:rPr>
        <w:t>ы</w:t>
      </w:r>
      <w:r w:rsidRPr="00FE5897">
        <w:rPr>
          <w:rFonts w:ascii="Times New Roman" w:hAnsi="Times New Roman"/>
          <w:color w:val="000000"/>
          <w:sz w:val="28"/>
          <w:szCs w:val="28"/>
        </w:rPr>
        <w:t xml:space="preserve"> ряд важных шагов по преобразованию и развитию цифровой сферы </w:t>
      </w:r>
      <w:r w:rsidR="003702EC">
        <w:rPr>
          <w:rFonts w:ascii="Times New Roman" w:hAnsi="Times New Roman"/>
          <w:color w:val="000000"/>
          <w:sz w:val="28"/>
          <w:szCs w:val="28"/>
        </w:rPr>
        <w:t>с</w:t>
      </w:r>
      <w:r w:rsidRPr="00FE5897">
        <w:rPr>
          <w:rFonts w:ascii="Times New Roman" w:hAnsi="Times New Roman"/>
          <w:color w:val="000000"/>
          <w:sz w:val="28"/>
          <w:szCs w:val="28"/>
        </w:rPr>
        <w:t xml:space="preserve"> цел</w:t>
      </w:r>
      <w:r w:rsidR="003702EC">
        <w:rPr>
          <w:rFonts w:ascii="Times New Roman" w:hAnsi="Times New Roman"/>
          <w:color w:val="000000"/>
          <w:sz w:val="28"/>
          <w:szCs w:val="28"/>
        </w:rPr>
        <w:t>ью</w:t>
      </w:r>
      <w:r w:rsidRPr="00FE5897">
        <w:rPr>
          <w:rFonts w:ascii="Times New Roman" w:hAnsi="Times New Roman"/>
          <w:color w:val="000000"/>
          <w:sz w:val="28"/>
          <w:szCs w:val="28"/>
        </w:rPr>
        <w:t xml:space="preserve"> содействия экономического роста.</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Армения активно участвует в реализации Цифровой повестки Е</w:t>
      </w:r>
      <w:r w:rsidR="00C72888">
        <w:rPr>
          <w:rFonts w:ascii="Times New Roman" w:hAnsi="Times New Roman"/>
          <w:color w:val="000000"/>
          <w:sz w:val="28"/>
          <w:szCs w:val="28"/>
        </w:rPr>
        <w:t>вразийского экономического союза</w:t>
      </w:r>
      <w:r w:rsidR="00AB0CD1">
        <w:rPr>
          <w:rFonts w:ascii="Times New Roman" w:hAnsi="Times New Roman"/>
          <w:color w:val="000000"/>
          <w:sz w:val="28"/>
          <w:szCs w:val="28"/>
        </w:rPr>
        <w:t xml:space="preserve"> (ЕАЭС)</w:t>
      </w:r>
      <w:r w:rsidRPr="00FE5897">
        <w:rPr>
          <w:rFonts w:ascii="Times New Roman" w:hAnsi="Times New Roman"/>
          <w:color w:val="000000"/>
          <w:sz w:val="28"/>
          <w:szCs w:val="28"/>
        </w:rPr>
        <w:t xml:space="preserve"> до 2025 года. Формирование цифрового пространства создаст условия для развития цифров</w:t>
      </w:r>
      <w:r w:rsidR="00C72888">
        <w:rPr>
          <w:rFonts w:ascii="Times New Roman" w:hAnsi="Times New Roman"/>
          <w:color w:val="000000"/>
          <w:sz w:val="28"/>
          <w:szCs w:val="28"/>
        </w:rPr>
        <w:t>ой</w:t>
      </w:r>
      <w:r w:rsidRPr="00FE5897">
        <w:rPr>
          <w:rFonts w:ascii="Times New Roman" w:hAnsi="Times New Roman"/>
          <w:color w:val="000000"/>
          <w:sz w:val="28"/>
          <w:szCs w:val="28"/>
        </w:rPr>
        <w:t xml:space="preserve"> экономик</w:t>
      </w:r>
      <w:r w:rsidR="00C72888">
        <w:rPr>
          <w:rFonts w:ascii="Times New Roman" w:hAnsi="Times New Roman"/>
          <w:color w:val="000000"/>
          <w:sz w:val="28"/>
          <w:szCs w:val="28"/>
        </w:rPr>
        <w:t>и</w:t>
      </w:r>
      <w:r w:rsidRPr="00FE5897">
        <w:rPr>
          <w:rFonts w:ascii="Times New Roman" w:hAnsi="Times New Roman"/>
          <w:color w:val="000000"/>
          <w:sz w:val="28"/>
          <w:szCs w:val="28"/>
        </w:rPr>
        <w:t xml:space="preserve"> государств</w:t>
      </w:r>
      <w:r w:rsidR="00F9318B">
        <w:rPr>
          <w:rFonts w:ascii="Times New Roman" w:hAnsi="Times New Roman"/>
          <w:color w:val="000000"/>
          <w:sz w:val="28"/>
          <w:szCs w:val="28"/>
        </w:rPr>
        <w:t xml:space="preserve"> – </w:t>
      </w:r>
      <w:r w:rsidRPr="00FE5897">
        <w:rPr>
          <w:rFonts w:ascii="Times New Roman" w:hAnsi="Times New Roman"/>
          <w:color w:val="000000"/>
          <w:sz w:val="28"/>
          <w:szCs w:val="28"/>
        </w:rPr>
        <w:t xml:space="preserve">членов ЕАЭС, что в свою очередь приведет к повышению уровня конкурентоспособности и эффективности экономики. </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Армения также активно участвует в программе </w:t>
      </w:r>
      <w:r w:rsidR="004D2C9E">
        <w:rPr>
          <w:rFonts w:ascii="Times New Roman" w:hAnsi="Times New Roman"/>
          <w:color w:val="000000"/>
          <w:sz w:val="28"/>
          <w:szCs w:val="28"/>
        </w:rPr>
        <w:t>«</w:t>
      </w:r>
      <w:r w:rsidRPr="00FE5897">
        <w:rPr>
          <w:rFonts w:ascii="Times New Roman" w:hAnsi="Times New Roman"/>
          <w:color w:val="000000"/>
          <w:sz w:val="28"/>
          <w:szCs w:val="28"/>
        </w:rPr>
        <w:t>Гармонизация цифровых рынков Евросоюза и стран Восточного партнерства</w:t>
      </w:r>
      <w:r w:rsidR="004D2C9E">
        <w:rPr>
          <w:rFonts w:ascii="Times New Roman" w:hAnsi="Times New Roman"/>
          <w:color w:val="000000"/>
          <w:sz w:val="28"/>
          <w:szCs w:val="28"/>
        </w:rPr>
        <w:t>»</w:t>
      </w:r>
      <w:r w:rsidRPr="00FE5897">
        <w:rPr>
          <w:rFonts w:ascii="Times New Roman" w:hAnsi="Times New Roman"/>
          <w:color w:val="000000"/>
          <w:sz w:val="28"/>
          <w:szCs w:val="28"/>
        </w:rPr>
        <w:t xml:space="preserve"> в рамках деклараций о </w:t>
      </w:r>
      <w:r w:rsidR="00C4045A">
        <w:rPr>
          <w:rFonts w:ascii="Times New Roman" w:hAnsi="Times New Roman"/>
          <w:color w:val="000000"/>
          <w:sz w:val="28"/>
          <w:szCs w:val="28"/>
        </w:rPr>
        <w:t>ц</w:t>
      </w:r>
      <w:r w:rsidRPr="00FE5897">
        <w:rPr>
          <w:rFonts w:ascii="Times New Roman" w:hAnsi="Times New Roman"/>
          <w:color w:val="000000"/>
          <w:sz w:val="28"/>
          <w:szCs w:val="28"/>
        </w:rPr>
        <w:t>ифровой экономике, приняты</w:t>
      </w:r>
      <w:r w:rsidR="00C72888">
        <w:rPr>
          <w:rFonts w:ascii="Times New Roman" w:hAnsi="Times New Roman"/>
          <w:color w:val="000000"/>
          <w:sz w:val="28"/>
          <w:szCs w:val="28"/>
        </w:rPr>
        <w:t>х</w:t>
      </w:r>
      <w:r w:rsidRPr="00FE5897">
        <w:rPr>
          <w:rFonts w:ascii="Times New Roman" w:hAnsi="Times New Roman"/>
          <w:color w:val="000000"/>
          <w:sz w:val="28"/>
          <w:szCs w:val="28"/>
        </w:rPr>
        <w:t xml:space="preserve"> в 2015 году в Люксембурге и в 2017 году в Таллине. </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В настоящее время обсуждается вопрос разработки концепции по формированию цифровой повестки Армении, которая будет гармонична процессам развития как </w:t>
      </w:r>
      <w:r w:rsidR="00C72888">
        <w:rPr>
          <w:rFonts w:ascii="Times New Roman" w:hAnsi="Times New Roman"/>
          <w:color w:val="000000"/>
          <w:sz w:val="28"/>
          <w:szCs w:val="28"/>
        </w:rPr>
        <w:t>ЕАЭС</w:t>
      </w:r>
      <w:r w:rsidRPr="00FE5897">
        <w:rPr>
          <w:rFonts w:ascii="Times New Roman" w:hAnsi="Times New Roman"/>
          <w:color w:val="000000"/>
          <w:sz w:val="28"/>
          <w:szCs w:val="28"/>
        </w:rPr>
        <w:t xml:space="preserve">, так и Европейского союза и других стран, для которых развитие цифровой экономики является приоритетом. </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Работы в сфере развития цифровой экономики в </w:t>
      </w:r>
      <w:r w:rsidR="004C6124" w:rsidRPr="00FE5897">
        <w:rPr>
          <w:rFonts w:ascii="Times New Roman" w:hAnsi="Times New Roman"/>
          <w:color w:val="000000"/>
          <w:sz w:val="28"/>
          <w:szCs w:val="28"/>
        </w:rPr>
        <w:t>Республике</w:t>
      </w:r>
      <w:r w:rsidRPr="00FE5897">
        <w:rPr>
          <w:rFonts w:ascii="Times New Roman" w:hAnsi="Times New Roman"/>
          <w:color w:val="000000"/>
          <w:sz w:val="28"/>
          <w:szCs w:val="28"/>
        </w:rPr>
        <w:t xml:space="preserve"> Армения </w:t>
      </w:r>
      <w:r w:rsidR="00C72888">
        <w:rPr>
          <w:rFonts w:ascii="Times New Roman" w:hAnsi="Times New Roman"/>
          <w:color w:val="000000"/>
          <w:sz w:val="28"/>
          <w:szCs w:val="28"/>
        </w:rPr>
        <w:t xml:space="preserve">проводят </w:t>
      </w:r>
      <w:r w:rsidRPr="00FE5897">
        <w:rPr>
          <w:rFonts w:ascii="Times New Roman" w:hAnsi="Times New Roman"/>
          <w:color w:val="000000"/>
          <w:sz w:val="28"/>
          <w:szCs w:val="28"/>
        </w:rPr>
        <w:t>Министерство экономического развития и инвестиций</w:t>
      </w:r>
      <w:r w:rsidR="004F1241">
        <w:rPr>
          <w:rFonts w:ascii="Times New Roman" w:hAnsi="Times New Roman"/>
          <w:color w:val="000000"/>
          <w:sz w:val="28"/>
          <w:szCs w:val="28"/>
        </w:rPr>
        <w:t>;</w:t>
      </w:r>
      <w:r w:rsidR="00C72888">
        <w:rPr>
          <w:rFonts w:ascii="Times New Roman" w:hAnsi="Times New Roman"/>
          <w:color w:val="000000"/>
          <w:sz w:val="28"/>
          <w:szCs w:val="28"/>
        </w:rPr>
        <w:t xml:space="preserve"> </w:t>
      </w:r>
      <w:r w:rsidRPr="00FE5897">
        <w:rPr>
          <w:rFonts w:ascii="Times New Roman" w:hAnsi="Times New Roman"/>
          <w:color w:val="000000"/>
          <w:sz w:val="28"/>
          <w:szCs w:val="28"/>
        </w:rPr>
        <w:t>Министерство транспорта, связи и информационных технологий</w:t>
      </w:r>
      <w:r w:rsidR="004F1241" w:rsidRPr="004F1241">
        <w:rPr>
          <w:rFonts w:ascii="Times New Roman" w:hAnsi="Times New Roman"/>
          <w:color w:val="000000"/>
          <w:sz w:val="28"/>
          <w:szCs w:val="28"/>
        </w:rPr>
        <w:t>;</w:t>
      </w:r>
      <w:r w:rsidR="00C72888">
        <w:rPr>
          <w:rFonts w:ascii="Times New Roman" w:hAnsi="Times New Roman"/>
          <w:color w:val="000000"/>
          <w:sz w:val="28"/>
          <w:szCs w:val="28"/>
        </w:rPr>
        <w:t xml:space="preserve"> </w:t>
      </w:r>
      <w:r w:rsidR="00C4045A">
        <w:rPr>
          <w:rFonts w:ascii="Times New Roman" w:hAnsi="Times New Roman"/>
          <w:color w:val="000000"/>
          <w:sz w:val="28"/>
          <w:szCs w:val="28"/>
        </w:rPr>
        <w:t>ф</w:t>
      </w:r>
      <w:r w:rsidRPr="00FE5897">
        <w:rPr>
          <w:rFonts w:ascii="Times New Roman" w:hAnsi="Times New Roman"/>
          <w:color w:val="000000"/>
          <w:sz w:val="28"/>
          <w:szCs w:val="28"/>
        </w:rPr>
        <w:t>онд</w:t>
      </w:r>
      <w:r w:rsidR="00CE61B9">
        <w:rPr>
          <w:rFonts w:ascii="Times New Roman" w:hAnsi="Times New Roman"/>
          <w:color w:val="000000"/>
          <w:sz w:val="28"/>
          <w:szCs w:val="28"/>
        </w:rPr>
        <w:t>ы</w:t>
      </w:r>
      <w:r w:rsidRPr="00FE5897">
        <w:rPr>
          <w:rFonts w:ascii="Times New Roman" w:hAnsi="Times New Roman"/>
          <w:color w:val="000000"/>
          <w:sz w:val="28"/>
          <w:szCs w:val="28"/>
        </w:rPr>
        <w:t xml:space="preserve"> </w:t>
      </w:r>
      <w:r w:rsidR="004D2C9E">
        <w:rPr>
          <w:rFonts w:ascii="Times New Roman" w:hAnsi="Times New Roman"/>
          <w:color w:val="000000"/>
          <w:sz w:val="28"/>
          <w:szCs w:val="28"/>
        </w:rPr>
        <w:t>«</w:t>
      </w:r>
      <w:r w:rsidRPr="00FE5897">
        <w:rPr>
          <w:rFonts w:ascii="Times New Roman" w:hAnsi="Times New Roman"/>
          <w:color w:val="000000"/>
          <w:sz w:val="28"/>
          <w:szCs w:val="28"/>
        </w:rPr>
        <w:t>Цифровая Армения</w:t>
      </w:r>
      <w:r w:rsidR="004D2C9E">
        <w:rPr>
          <w:rFonts w:ascii="Times New Roman" w:hAnsi="Times New Roman"/>
          <w:color w:val="000000"/>
          <w:sz w:val="28"/>
          <w:szCs w:val="28"/>
        </w:rPr>
        <w:t>»</w:t>
      </w:r>
      <w:r w:rsidR="00CE61B9">
        <w:rPr>
          <w:rFonts w:ascii="Times New Roman" w:hAnsi="Times New Roman"/>
          <w:color w:val="000000"/>
          <w:sz w:val="28"/>
          <w:szCs w:val="28"/>
        </w:rPr>
        <w:t xml:space="preserve"> и</w:t>
      </w:r>
      <w:r w:rsidRPr="00FE5897">
        <w:rPr>
          <w:rFonts w:ascii="Times New Roman" w:hAnsi="Times New Roman"/>
          <w:color w:val="000000"/>
          <w:sz w:val="28"/>
          <w:szCs w:val="28"/>
        </w:rPr>
        <w:t xml:space="preserve"> </w:t>
      </w:r>
      <w:r w:rsidR="004D2C9E">
        <w:rPr>
          <w:rFonts w:ascii="Times New Roman" w:hAnsi="Times New Roman"/>
          <w:color w:val="000000"/>
          <w:sz w:val="28"/>
          <w:szCs w:val="28"/>
        </w:rPr>
        <w:t>«</w:t>
      </w:r>
      <w:r w:rsidRPr="00FE5897">
        <w:rPr>
          <w:rFonts w:ascii="Times New Roman" w:hAnsi="Times New Roman"/>
          <w:color w:val="000000"/>
          <w:sz w:val="28"/>
          <w:szCs w:val="28"/>
        </w:rPr>
        <w:t>Центр стратегических инициатив</w:t>
      </w:r>
      <w:r w:rsidR="004D2C9E">
        <w:rPr>
          <w:rFonts w:ascii="Times New Roman" w:hAnsi="Times New Roman"/>
          <w:color w:val="000000"/>
          <w:sz w:val="28"/>
          <w:szCs w:val="28"/>
        </w:rPr>
        <w:t>»</w:t>
      </w:r>
      <w:r w:rsidRPr="00FE5897">
        <w:rPr>
          <w:rFonts w:ascii="Times New Roman" w:hAnsi="Times New Roman"/>
          <w:color w:val="000000"/>
          <w:sz w:val="28"/>
          <w:szCs w:val="28"/>
        </w:rPr>
        <w:t>.</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Одн</w:t>
      </w:r>
      <w:r w:rsidR="00C72888">
        <w:rPr>
          <w:rFonts w:ascii="Times New Roman" w:hAnsi="Times New Roman"/>
          <w:color w:val="000000"/>
          <w:sz w:val="28"/>
          <w:szCs w:val="28"/>
        </w:rPr>
        <w:t>и</w:t>
      </w:r>
      <w:r w:rsidRPr="00FE5897">
        <w:rPr>
          <w:rFonts w:ascii="Times New Roman" w:hAnsi="Times New Roman"/>
          <w:color w:val="000000"/>
          <w:sz w:val="28"/>
          <w:szCs w:val="28"/>
        </w:rPr>
        <w:t xml:space="preserve"> из главных направлений экономического развития Республики Армения – формирование наукоeмкой экономики и стимулирование инновационной деятельности как основы технического прогресса и развития конкурентной экономики.</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Стимулирование инновационной деятельности является для государства задачей особой важности, что обусловлено необходимостью целевого развития и эффективного использования научно-технологического и инновационного потенциала.</w:t>
      </w:r>
    </w:p>
    <w:p w:rsid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Существенный компонент успеха инновационной деятельности – государственная политика формирования инновационной среды, которая осуществляется посредством создания законодательных и нормативно-правовых механизмов, регулирующих инновационную деятельность.</w:t>
      </w:r>
    </w:p>
    <w:p w:rsidR="00FE5897" w:rsidRPr="00FE5897" w:rsidRDefault="00B614E4"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 марта 2006 года был принят З</w:t>
      </w:r>
      <w:r w:rsidR="00FE5897" w:rsidRPr="00FE5897">
        <w:rPr>
          <w:rFonts w:ascii="Times New Roman" w:hAnsi="Times New Roman"/>
          <w:color w:val="000000"/>
          <w:sz w:val="28"/>
          <w:szCs w:val="28"/>
        </w:rPr>
        <w:t xml:space="preserve">акон </w:t>
      </w:r>
      <w:r w:rsidR="003E477F" w:rsidRPr="003E477F">
        <w:rPr>
          <w:rFonts w:ascii="Times New Roman" w:hAnsi="Times New Roman"/>
          <w:color w:val="000000"/>
          <w:sz w:val="28"/>
          <w:szCs w:val="28"/>
        </w:rPr>
        <w:t>Республики Армения</w:t>
      </w:r>
      <w:r w:rsidR="00FE5897" w:rsidRPr="00FE5897">
        <w:rPr>
          <w:rFonts w:ascii="Times New Roman" w:hAnsi="Times New Roman"/>
          <w:color w:val="000000"/>
          <w:sz w:val="28"/>
          <w:szCs w:val="28"/>
        </w:rPr>
        <w:t xml:space="preserve"> </w:t>
      </w:r>
      <w:r w:rsidR="0037459F">
        <w:rPr>
          <w:rFonts w:ascii="Times New Roman" w:hAnsi="Times New Roman"/>
          <w:color w:val="000000"/>
          <w:sz w:val="28"/>
          <w:szCs w:val="28"/>
        </w:rPr>
        <w:br/>
      </w:r>
      <w:r w:rsidR="004D2C9E">
        <w:rPr>
          <w:rFonts w:ascii="Times New Roman" w:hAnsi="Times New Roman"/>
          <w:color w:val="000000"/>
          <w:sz w:val="28"/>
          <w:szCs w:val="28"/>
        </w:rPr>
        <w:t>«</w:t>
      </w:r>
      <w:r w:rsidR="00FE5897" w:rsidRPr="00FE5897">
        <w:rPr>
          <w:rFonts w:ascii="Times New Roman" w:hAnsi="Times New Roman"/>
          <w:color w:val="000000"/>
          <w:sz w:val="28"/>
          <w:szCs w:val="28"/>
        </w:rPr>
        <w:t>О государственном содействии инновационной деятельности</w:t>
      </w:r>
      <w:r w:rsidR="004D2C9E">
        <w:rPr>
          <w:rFonts w:ascii="Times New Roman" w:hAnsi="Times New Roman"/>
          <w:color w:val="000000"/>
          <w:sz w:val="28"/>
          <w:szCs w:val="28"/>
        </w:rPr>
        <w:t>»</w:t>
      </w:r>
      <w:r w:rsidR="00FE5897" w:rsidRPr="00FE5897">
        <w:rPr>
          <w:rFonts w:ascii="Times New Roman" w:hAnsi="Times New Roman"/>
          <w:color w:val="000000"/>
          <w:sz w:val="28"/>
          <w:szCs w:val="28"/>
        </w:rPr>
        <w:t>, согласно которому устанавливаются правовые и экономические основы формирования и реализации инновационной политики в Республике Армения, формы государственного содействия инновационной деятельности.</w:t>
      </w:r>
    </w:p>
    <w:p w:rsid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Приняты следующие нормативные правовые акты, вытекающие из </w:t>
      </w:r>
      <w:r w:rsidR="00D62259">
        <w:rPr>
          <w:rFonts w:ascii="Times New Roman" w:hAnsi="Times New Roman"/>
          <w:color w:val="000000"/>
          <w:sz w:val="28"/>
          <w:szCs w:val="28"/>
        </w:rPr>
        <w:t>указанного З</w:t>
      </w:r>
      <w:r w:rsidRPr="00FE5897">
        <w:rPr>
          <w:rFonts w:ascii="Times New Roman" w:hAnsi="Times New Roman"/>
          <w:color w:val="000000"/>
          <w:sz w:val="28"/>
          <w:szCs w:val="28"/>
        </w:rPr>
        <w:t>акона и регулирующие инновационную сферу:</w:t>
      </w:r>
    </w:p>
    <w:p w:rsidR="002B112E" w:rsidRPr="002B112E" w:rsidRDefault="002B112E" w:rsidP="002B112E">
      <w:pPr>
        <w:autoSpaceDE w:val="0"/>
        <w:autoSpaceDN w:val="0"/>
        <w:adjustRightInd w:val="0"/>
        <w:spacing w:after="0" w:line="240" w:lineRule="auto"/>
        <w:ind w:firstLine="709"/>
        <w:jc w:val="both"/>
        <w:rPr>
          <w:rFonts w:ascii="Times New Roman" w:hAnsi="Times New Roman"/>
          <w:color w:val="000000"/>
          <w:sz w:val="28"/>
          <w:szCs w:val="28"/>
        </w:rPr>
      </w:pPr>
      <w:r w:rsidRPr="002B112E">
        <w:rPr>
          <w:rFonts w:ascii="Times New Roman" w:hAnsi="Times New Roman"/>
          <w:color w:val="000000"/>
          <w:sz w:val="28"/>
          <w:szCs w:val="28"/>
        </w:rPr>
        <w:t xml:space="preserve">решение Правительства Республики Армения от 7 сентября 2006 года </w:t>
      </w:r>
      <w:r w:rsidR="00F35453">
        <w:rPr>
          <w:rFonts w:ascii="Times New Roman" w:hAnsi="Times New Roman"/>
          <w:color w:val="000000"/>
          <w:sz w:val="28"/>
          <w:szCs w:val="28"/>
        </w:rPr>
        <w:br/>
      </w:r>
      <w:r w:rsidR="00E720B2">
        <w:rPr>
          <w:rFonts w:ascii="Times New Roman" w:hAnsi="Times New Roman"/>
          <w:color w:val="000000"/>
          <w:sz w:val="28"/>
          <w:szCs w:val="28"/>
        </w:rPr>
        <w:t>№ </w:t>
      </w:r>
      <w:r w:rsidRPr="002B112E">
        <w:rPr>
          <w:rFonts w:ascii="Times New Roman" w:hAnsi="Times New Roman"/>
          <w:color w:val="000000"/>
          <w:sz w:val="28"/>
          <w:szCs w:val="28"/>
        </w:rPr>
        <w:t>1252-А «О признании полномочного органа в инновационной сфере»;</w:t>
      </w:r>
    </w:p>
    <w:p w:rsidR="002B112E" w:rsidRDefault="002B112E" w:rsidP="002B112E">
      <w:pPr>
        <w:autoSpaceDE w:val="0"/>
        <w:autoSpaceDN w:val="0"/>
        <w:adjustRightInd w:val="0"/>
        <w:spacing w:after="0" w:line="240" w:lineRule="auto"/>
        <w:ind w:firstLine="709"/>
        <w:jc w:val="both"/>
        <w:rPr>
          <w:rFonts w:ascii="Times New Roman" w:hAnsi="Times New Roman"/>
          <w:color w:val="000000"/>
          <w:sz w:val="28"/>
          <w:szCs w:val="28"/>
        </w:rPr>
      </w:pPr>
      <w:r w:rsidRPr="002B112E">
        <w:rPr>
          <w:rFonts w:ascii="Times New Roman" w:hAnsi="Times New Roman"/>
          <w:color w:val="000000"/>
          <w:sz w:val="28"/>
          <w:szCs w:val="28"/>
        </w:rPr>
        <w:t xml:space="preserve">решение Правительства Республики Армения от 19 октября 2006 года </w:t>
      </w:r>
      <w:r w:rsidR="00E720B2">
        <w:rPr>
          <w:rFonts w:ascii="Times New Roman" w:hAnsi="Times New Roman"/>
          <w:color w:val="000000"/>
          <w:sz w:val="28"/>
          <w:szCs w:val="28"/>
        </w:rPr>
        <w:t>№ </w:t>
      </w:r>
      <w:r w:rsidRPr="002B112E">
        <w:rPr>
          <w:rFonts w:ascii="Times New Roman" w:hAnsi="Times New Roman"/>
          <w:color w:val="000000"/>
          <w:sz w:val="28"/>
          <w:szCs w:val="28"/>
        </w:rPr>
        <w:t>1466-Н «Об определении приоритетных направлений развития инновационной сферы»;</w:t>
      </w:r>
    </w:p>
    <w:p w:rsidR="002B112E" w:rsidRPr="002B112E" w:rsidRDefault="002B112E" w:rsidP="002B112E">
      <w:pPr>
        <w:autoSpaceDE w:val="0"/>
        <w:autoSpaceDN w:val="0"/>
        <w:adjustRightInd w:val="0"/>
        <w:spacing w:after="0" w:line="240" w:lineRule="auto"/>
        <w:ind w:firstLine="709"/>
        <w:jc w:val="both"/>
        <w:rPr>
          <w:rFonts w:ascii="Times New Roman" w:hAnsi="Times New Roman"/>
          <w:color w:val="000000"/>
          <w:sz w:val="28"/>
          <w:szCs w:val="28"/>
        </w:rPr>
      </w:pPr>
      <w:r w:rsidRPr="002B112E">
        <w:rPr>
          <w:rFonts w:ascii="Times New Roman" w:hAnsi="Times New Roman"/>
          <w:color w:val="000000"/>
          <w:sz w:val="28"/>
          <w:szCs w:val="28"/>
        </w:rPr>
        <w:t xml:space="preserve">решение Правительства Республики Армения от 2 августа 2007 года </w:t>
      </w:r>
      <w:r w:rsidR="00E720B2">
        <w:rPr>
          <w:rFonts w:ascii="Times New Roman" w:hAnsi="Times New Roman"/>
          <w:color w:val="000000"/>
          <w:sz w:val="28"/>
          <w:szCs w:val="28"/>
        </w:rPr>
        <w:t>№ </w:t>
      </w:r>
      <w:r w:rsidRPr="002B112E">
        <w:rPr>
          <w:rFonts w:ascii="Times New Roman" w:hAnsi="Times New Roman"/>
          <w:color w:val="000000"/>
          <w:sz w:val="28"/>
          <w:szCs w:val="28"/>
        </w:rPr>
        <w:t>877-Н «Об утверждении порядка реализации годичной программы содействия инновационной деятельности»;</w:t>
      </w:r>
    </w:p>
    <w:p w:rsidR="002B112E" w:rsidRDefault="002B112E" w:rsidP="002B112E">
      <w:pPr>
        <w:autoSpaceDE w:val="0"/>
        <w:autoSpaceDN w:val="0"/>
        <w:adjustRightInd w:val="0"/>
        <w:spacing w:after="0" w:line="240" w:lineRule="auto"/>
        <w:ind w:firstLine="709"/>
        <w:jc w:val="both"/>
        <w:rPr>
          <w:rFonts w:ascii="Times New Roman" w:hAnsi="Times New Roman"/>
          <w:color w:val="000000"/>
          <w:sz w:val="28"/>
          <w:szCs w:val="28"/>
        </w:rPr>
      </w:pPr>
      <w:r w:rsidRPr="002B112E">
        <w:rPr>
          <w:rFonts w:ascii="Times New Roman" w:hAnsi="Times New Roman"/>
          <w:color w:val="000000"/>
          <w:sz w:val="28"/>
          <w:szCs w:val="28"/>
        </w:rPr>
        <w:t xml:space="preserve">решение Правительства Республики Армения от 2 августа 2007 года </w:t>
      </w:r>
      <w:r w:rsidR="00E720B2">
        <w:rPr>
          <w:rFonts w:ascii="Times New Roman" w:hAnsi="Times New Roman"/>
          <w:color w:val="000000"/>
          <w:sz w:val="28"/>
          <w:szCs w:val="28"/>
        </w:rPr>
        <w:t>№ </w:t>
      </w:r>
      <w:r w:rsidRPr="002B112E">
        <w:rPr>
          <w:rFonts w:ascii="Times New Roman" w:hAnsi="Times New Roman"/>
          <w:color w:val="000000"/>
          <w:sz w:val="28"/>
          <w:szCs w:val="28"/>
        </w:rPr>
        <w:t>878-Н «Об утверждении порядка проведения конкурсов и финансирования инновационных проектов»;</w:t>
      </w:r>
    </w:p>
    <w:p w:rsidR="002B112E" w:rsidRDefault="002B112E" w:rsidP="002B112E">
      <w:pPr>
        <w:autoSpaceDE w:val="0"/>
        <w:autoSpaceDN w:val="0"/>
        <w:adjustRightInd w:val="0"/>
        <w:spacing w:after="0" w:line="240" w:lineRule="auto"/>
        <w:ind w:firstLine="709"/>
        <w:jc w:val="both"/>
        <w:rPr>
          <w:rFonts w:ascii="Times New Roman" w:hAnsi="Times New Roman"/>
          <w:color w:val="000000"/>
          <w:sz w:val="28"/>
          <w:szCs w:val="28"/>
        </w:rPr>
      </w:pPr>
      <w:r w:rsidRPr="002B112E">
        <w:rPr>
          <w:rFonts w:ascii="Times New Roman" w:hAnsi="Times New Roman"/>
          <w:color w:val="000000"/>
          <w:sz w:val="28"/>
          <w:szCs w:val="28"/>
        </w:rPr>
        <w:t xml:space="preserve">решение Правительства Республики Армения от 12 ноября 2015 года </w:t>
      </w:r>
      <w:r w:rsidR="00E720B2">
        <w:rPr>
          <w:rFonts w:ascii="Times New Roman" w:hAnsi="Times New Roman"/>
          <w:color w:val="000000"/>
          <w:sz w:val="28"/>
          <w:szCs w:val="28"/>
        </w:rPr>
        <w:t>№ </w:t>
      </w:r>
      <w:r w:rsidRPr="002B112E">
        <w:rPr>
          <w:rFonts w:ascii="Times New Roman" w:hAnsi="Times New Roman"/>
          <w:color w:val="000000"/>
          <w:sz w:val="28"/>
          <w:szCs w:val="28"/>
        </w:rPr>
        <w:t xml:space="preserve">1311-Н «О внесении изменений и дополнений в Решение Правительства Республики Армения от 2 августа 2007 года </w:t>
      </w:r>
      <w:r w:rsidR="00E720B2">
        <w:rPr>
          <w:rFonts w:ascii="Times New Roman" w:hAnsi="Times New Roman"/>
          <w:color w:val="000000"/>
          <w:sz w:val="28"/>
          <w:szCs w:val="28"/>
        </w:rPr>
        <w:t>№ </w:t>
      </w:r>
      <w:r w:rsidR="003702EC">
        <w:rPr>
          <w:rFonts w:ascii="Times New Roman" w:hAnsi="Times New Roman"/>
          <w:color w:val="000000"/>
          <w:sz w:val="28"/>
          <w:szCs w:val="28"/>
        </w:rPr>
        <w:t>878-Н»;</w:t>
      </w:r>
    </w:p>
    <w:p w:rsidR="00241BCD" w:rsidRDefault="00241BCD" w:rsidP="004D2C9E">
      <w:pPr>
        <w:autoSpaceDE w:val="0"/>
        <w:autoSpaceDN w:val="0"/>
        <w:adjustRightInd w:val="0"/>
        <w:spacing w:after="0" w:line="240" w:lineRule="auto"/>
        <w:ind w:firstLine="709"/>
        <w:jc w:val="both"/>
        <w:rPr>
          <w:rFonts w:ascii="Times New Roman" w:hAnsi="Times New Roman"/>
          <w:color w:val="000000"/>
          <w:sz w:val="28"/>
          <w:szCs w:val="28"/>
        </w:rPr>
      </w:pPr>
      <w:r w:rsidRPr="00241BCD">
        <w:rPr>
          <w:rFonts w:ascii="Times New Roman" w:hAnsi="Times New Roman"/>
          <w:color w:val="000000"/>
          <w:sz w:val="28"/>
          <w:szCs w:val="28"/>
        </w:rPr>
        <w:t xml:space="preserve">приказ Министра экономического развития и инвестиций Республики Армения от 2 марта 2016 года </w:t>
      </w:r>
      <w:r w:rsidR="00E720B2">
        <w:rPr>
          <w:rFonts w:ascii="Times New Roman" w:hAnsi="Times New Roman"/>
          <w:color w:val="000000"/>
          <w:sz w:val="28"/>
          <w:szCs w:val="28"/>
        </w:rPr>
        <w:t>№ </w:t>
      </w:r>
      <w:r w:rsidRPr="00241BCD">
        <w:rPr>
          <w:rFonts w:ascii="Times New Roman" w:hAnsi="Times New Roman"/>
          <w:color w:val="000000"/>
          <w:sz w:val="28"/>
          <w:szCs w:val="28"/>
        </w:rPr>
        <w:t>166-Н «Об установлении формы заявки и критериев оценки конкурса и</w:t>
      </w:r>
      <w:r>
        <w:rPr>
          <w:rFonts w:ascii="Times New Roman" w:hAnsi="Times New Roman"/>
          <w:color w:val="000000"/>
          <w:sz w:val="28"/>
          <w:szCs w:val="28"/>
        </w:rPr>
        <w:t>нновационных проектов»;</w:t>
      </w:r>
    </w:p>
    <w:p w:rsidR="00241BCD" w:rsidRDefault="00241BCD"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w:t>
      </w:r>
      <w:r w:rsidRPr="00241BCD">
        <w:rPr>
          <w:rFonts w:ascii="Times New Roman" w:hAnsi="Times New Roman"/>
          <w:color w:val="000000"/>
          <w:sz w:val="28"/>
          <w:szCs w:val="28"/>
        </w:rPr>
        <w:t xml:space="preserve">ешение Правительства Республики Армения от 12 мая 2016 года </w:t>
      </w:r>
      <w:r w:rsidR="00E720B2">
        <w:rPr>
          <w:rFonts w:ascii="Times New Roman" w:hAnsi="Times New Roman"/>
          <w:color w:val="000000"/>
          <w:sz w:val="28"/>
          <w:szCs w:val="28"/>
        </w:rPr>
        <w:t>№ </w:t>
      </w:r>
      <w:r w:rsidRPr="00241BCD">
        <w:rPr>
          <w:rFonts w:ascii="Times New Roman" w:hAnsi="Times New Roman"/>
          <w:color w:val="000000"/>
          <w:sz w:val="28"/>
          <w:szCs w:val="28"/>
        </w:rPr>
        <w:t>483</w:t>
      </w:r>
      <w:r w:rsidR="00E9454A">
        <w:rPr>
          <w:rFonts w:ascii="Times New Roman" w:hAnsi="Times New Roman"/>
          <w:color w:val="000000"/>
          <w:sz w:val="28"/>
          <w:szCs w:val="28"/>
        </w:rPr>
        <w:noBreakHyphen/>
      </w:r>
      <w:r w:rsidRPr="00241BCD">
        <w:rPr>
          <w:rFonts w:ascii="Times New Roman" w:hAnsi="Times New Roman"/>
          <w:color w:val="000000"/>
          <w:sz w:val="28"/>
          <w:szCs w:val="28"/>
        </w:rPr>
        <w:t xml:space="preserve">Н «О внесении изменений в постановления Правительства Республики Армения от 2 августа 2007 года </w:t>
      </w:r>
      <w:r w:rsidR="00E720B2">
        <w:rPr>
          <w:rFonts w:ascii="Times New Roman" w:hAnsi="Times New Roman"/>
          <w:color w:val="000000"/>
          <w:sz w:val="28"/>
          <w:szCs w:val="28"/>
        </w:rPr>
        <w:t>№ </w:t>
      </w:r>
      <w:r w:rsidRPr="00241BCD">
        <w:rPr>
          <w:rFonts w:ascii="Times New Roman" w:hAnsi="Times New Roman"/>
          <w:color w:val="000000"/>
          <w:sz w:val="28"/>
          <w:szCs w:val="28"/>
        </w:rPr>
        <w:t xml:space="preserve">878-Н и от 12 ноября 2015 года </w:t>
      </w:r>
      <w:r w:rsidR="00E720B2">
        <w:rPr>
          <w:rFonts w:ascii="Times New Roman" w:hAnsi="Times New Roman"/>
          <w:color w:val="000000"/>
          <w:sz w:val="28"/>
          <w:szCs w:val="28"/>
        </w:rPr>
        <w:t>№ </w:t>
      </w:r>
      <w:r w:rsidRPr="00241BCD">
        <w:rPr>
          <w:rFonts w:ascii="Times New Roman" w:hAnsi="Times New Roman"/>
          <w:color w:val="000000"/>
          <w:sz w:val="28"/>
          <w:szCs w:val="28"/>
        </w:rPr>
        <w:t>1311-Н</w:t>
      </w:r>
      <w:r w:rsidR="00D62259">
        <w:rPr>
          <w:rFonts w:ascii="Times New Roman" w:hAnsi="Times New Roman"/>
          <w:color w:val="000000"/>
          <w:sz w:val="28"/>
          <w:szCs w:val="28"/>
        </w:rPr>
        <w:t>»</w:t>
      </w:r>
      <w:r w:rsidR="00F35453">
        <w:rPr>
          <w:rFonts w:ascii="Times New Roman" w:hAnsi="Times New Roman"/>
          <w:color w:val="000000"/>
          <w:sz w:val="28"/>
          <w:szCs w:val="28"/>
        </w:rPr>
        <w:t>.</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Протокольным </w:t>
      </w:r>
      <w:r w:rsidR="00B614E4">
        <w:rPr>
          <w:rFonts w:ascii="Times New Roman" w:hAnsi="Times New Roman"/>
          <w:color w:val="000000"/>
          <w:sz w:val="28"/>
          <w:szCs w:val="28"/>
        </w:rPr>
        <w:t>р</w:t>
      </w:r>
      <w:r w:rsidRPr="00FE5897">
        <w:rPr>
          <w:rFonts w:ascii="Times New Roman" w:hAnsi="Times New Roman"/>
          <w:color w:val="000000"/>
          <w:sz w:val="28"/>
          <w:szCs w:val="28"/>
        </w:rPr>
        <w:t xml:space="preserve">ешением Правительства </w:t>
      </w:r>
      <w:r w:rsidR="008776E6" w:rsidRPr="008776E6">
        <w:rPr>
          <w:rFonts w:ascii="Times New Roman" w:hAnsi="Times New Roman"/>
          <w:color w:val="000000"/>
          <w:sz w:val="28"/>
          <w:szCs w:val="28"/>
        </w:rPr>
        <w:t>Республики Армения</w:t>
      </w:r>
      <w:r w:rsidRPr="008776E6">
        <w:rPr>
          <w:rFonts w:ascii="Times New Roman" w:hAnsi="Times New Roman"/>
          <w:color w:val="000000"/>
          <w:sz w:val="28"/>
          <w:szCs w:val="28"/>
        </w:rPr>
        <w:t xml:space="preserve"> </w:t>
      </w:r>
      <w:r w:rsidR="008776E6" w:rsidRPr="008776E6">
        <w:rPr>
          <w:rFonts w:ascii="Times New Roman" w:hAnsi="Times New Roman"/>
          <w:color w:val="000000"/>
          <w:sz w:val="28"/>
          <w:szCs w:val="28"/>
        </w:rPr>
        <w:t>от 17</w:t>
      </w:r>
      <w:r w:rsidR="0037459F">
        <w:rPr>
          <w:rFonts w:ascii="Times New Roman" w:hAnsi="Times New Roman"/>
          <w:color w:val="000000"/>
          <w:sz w:val="28"/>
          <w:szCs w:val="28"/>
        </w:rPr>
        <w:t> </w:t>
      </w:r>
      <w:r w:rsidR="008776E6">
        <w:rPr>
          <w:rFonts w:ascii="Times New Roman" w:hAnsi="Times New Roman"/>
          <w:color w:val="000000"/>
          <w:sz w:val="28"/>
          <w:szCs w:val="28"/>
        </w:rPr>
        <w:t xml:space="preserve">февраля </w:t>
      </w:r>
      <w:r w:rsidR="008776E6" w:rsidRPr="008776E6">
        <w:rPr>
          <w:rFonts w:ascii="Times New Roman" w:hAnsi="Times New Roman"/>
          <w:color w:val="000000"/>
          <w:sz w:val="28"/>
          <w:szCs w:val="28"/>
        </w:rPr>
        <w:t>2011 г</w:t>
      </w:r>
      <w:r w:rsidR="008776E6">
        <w:rPr>
          <w:rFonts w:ascii="Times New Roman" w:hAnsi="Times New Roman"/>
          <w:color w:val="000000"/>
          <w:sz w:val="28"/>
          <w:szCs w:val="28"/>
        </w:rPr>
        <w:t xml:space="preserve">ода </w:t>
      </w:r>
      <w:r w:rsidR="00E720B2">
        <w:rPr>
          <w:rFonts w:ascii="Times New Roman" w:hAnsi="Times New Roman"/>
          <w:color w:val="000000"/>
          <w:sz w:val="28"/>
          <w:szCs w:val="28"/>
        </w:rPr>
        <w:t>№ </w:t>
      </w:r>
      <w:r w:rsidRPr="00FE5897">
        <w:rPr>
          <w:rFonts w:ascii="Times New Roman" w:hAnsi="Times New Roman"/>
          <w:color w:val="000000"/>
          <w:sz w:val="28"/>
          <w:szCs w:val="28"/>
        </w:rPr>
        <w:t>6 получила одобрение Концепция стартовой стратегии формирования инновационной экономики.</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Инновационный компонент </w:t>
      </w:r>
      <w:r w:rsidR="00B614E4">
        <w:rPr>
          <w:rFonts w:ascii="Times New Roman" w:hAnsi="Times New Roman"/>
          <w:color w:val="000000"/>
          <w:sz w:val="28"/>
          <w:szCs w:val="28"/>
        </w:rPr>
        <w:t xml:space="preserve">данной </w:t>
      </w:r>
      <w:r w:rsidR="00D62259">
        <w:rPr>
          <w:rFonts w:ascii="Times New Roman" w:hAnsi="Times New Roman"/>
          <w:color w:val="000000"/>
          <w:sz w:val="28"/>
          <w:szCs w:val="28"/>
        </w:rPr>
        <w:t>К</w:t>
      </w:r>
      <w:r w:rsidR="00B614E4">
        <w:rPr>
          <w:rFonts w:ascii="Times New Roman" w:hAnsi="Times New Roman"/>
          <w:color w:val="000000"/>
          <w:sz w:val="28"/>
          <w:szCs w:val="28"/>
        </w:rPr>
        <w:t>онцепции</w:t>
      </w:r>
      <w:r w:rsidRPr="00FE5897">
        <w:rPr>
          <w:rFonts w:ascii="Times New Roman" w:hAnsi="Times New Roman"/>
          <w:color w:val="000000"/>
          <w:sz w:val="28"/>
          <w:szCs w:val="28"/>
        </w:rPr>
        <w:t xml:space="preserve"> включает разработку стратегии инновационного развития экономики и реализацию предус</w:t>
      </w:r>
      <w:r w:rsidR="00D62259">
        <w:rPr>
          <w:rFonts w:ascii="Times New Roman" w:hAnsi="Times New Roman"/>
          <w:color w:val="000000"/>
          <w:sz w:val="28"/>
          <w:szCs w:val="28"/>
        </w:rPr>
        <w:t xml:space="preserve">мотренных стратегией инициатив </w:t>
      </w:r>
      <w:r w:rsidRPr="00FE5897">
        <w:rPr>
          <w:rFonts w:ascii="Times New Roman" w:hAnsi="Times New Roman"/>
          <w:color w:val="000000"/>
          <w:sz w:val="28"/>
          <w:szCs w:val="28"/>
        </w:rPr>
        <w:t>с вовлечением в этот процесс местных и зарубежных инновационных структур, исследовательских центров и представителей делового социума. Ожидаемые результаты: усовершенствованный процесс коммерциализации идей посредством создания сетевой связи для осуществления работ между научно-исследовательскими организациями и предпринимателями, усовершенствованное проектирование кластеров (инкубаторы, технопарки и свободные экономические зоны) и управление ими, диверсификация доступности финансирования инновационных малых предприятий и стартапов.</w:t>
      </w:r>
    </w:p>
    <w:p w:rsidR="0029040B"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Решением Совета глав правительств СНГ от 18 ноября 2011</w:t>
      </w:r>
      <w:r w:rsidR="0037459F">
        <w:rPr>
          <w:rFonts w:ascii="Times New Roman" w:hAnsi="Times New Roman"/>
          <w:color w:val="000000"/>
          <w:sz w:val="28"/>
          <w:szCs w:val="28"/>
        </w:rPr>
        <w:t> </w:t>
      </w:r>
      <w:r w:rsidRPr="00FE5897">
        <w:rPr>
          <w:rFonts w:ascii="Times New Roman" w:hAnsi="Times New Roman"/>
          <w:color w:val="000000"/>
          <w:sz w:val="28"/>
          <w:szCs w:val="28"/>
        </w:rPr>
        <w:t>года утверждена Межгосударственная программа инновационного сотрудничества государств</w:t>
      </w:r>
      <w:r w:rsidR="00B614E4">
        <w:rPr>
          <w:rFonts w:ascii="Times New Roman" w:hAnsi="Times New Roman"/>
          <w:color w:val="000000"/>
          <w:sz w:val="28"/>
          <w:szCs w:val="28"/>
        </w:rPr>
        <w:t xml:space="preserve"> – </w:t>
      </w:r>
      <w:r w:rsidRPr="00FE5897">
        <w:rPr>
          <w:rFonts w:ascii="Times New Roman" w:hAnsi="Times New Roman"/>
          <w:color w:val="000000"/>
          <w:sz w:val="28"/>
          <w:szCs w:val="28"/>
        </w:rPr>
        <w:t xml:space="preserve">участников СНГ на период до 2020 года. От Армении </w:t>
      </w:r>
      <w:r w:rsidR="00B614E4">
        <w:rPr>
          <w:rFonts w:ascii="Times New Roman" w:hAnsi="Times New Roman"/>
          <w:color w:val="000000"/>
          <w:sz w:val="28"/>
          <w:szCs w:val="28"/>
        </w:rPr>
        <w:t>н</w:t>
      </w:r>
      <w:r w:rsidRPr="00FE5897">
        <w:rPr>
          <w:rFonts w:ascii="Times New Roman" w:hAnsi="Times New Roman"/>
          <w:color w:val="000000"/>
          <w:sz w:val="28"/>
          <w:szCs w:val="28"/>
        </w:rPr>
        <w:t xml:space="preserve">ациональным заказчиком реализации </w:t>
      </w:r>
      <w:r w:rsidR="00B614E4">
        <w:rPr>
          <w:rFonts w:ascii="Times New Roman" w:hAnsi="Times New Roman"/>
          <w:color w:val="000000"/>
          <w:sz w:val="28"/>
          <w:szCs w:val="28"/>
        </w:rPr>
        <w:t>п</w:t>
      </w:r>
      <w:r w:rsidRPr="00FE5897">
        <w:rPr>
          <w:rFonts w:ascii="Times New Roman" w:hAnsi="Times New Roman"/>
          <w:color w:val="000000"/>
          <w:sz w:val="28"/>
          <w:szCs w:val="28"/>
        </w:rPr>
        <w:t>рограммы установлен</w:t>
      </w:r>
      <w:r w:rsidR="0029040B">
        <w:rPr>
          <w:rFonts w:ascii="Times New Roman" w:hAnsi="Times New Roman"/>
          <w:color w:val="000000"/>
          <w:sz w:val="28"/>
          <w:szCs w:val="28"/>
        </w:rPr>
        <w:t>о</w:t>
      </w:r>
      <w:r w:rsidRPr="00FE5897">
        <w:rPr>
          <w:rFonts w:ascii="Times New Roman" w:hAnsi="Times New Roman"/>
          <w:color w:val="000000"/>
          <w:sz w:val="28"/>
          <w:szCs w:val="28"/>
        </w:rPr>
        <w:t xml:space="preserve"> Министерство экономического развития и инвестиций как государственный полномочный орган </w:t>
      </w:r>
      <w:r w:rsidR="0029040B">
        <w:rPr>
          <w:rFonts w:ascii="Times New Roman" w:hAnsi="Times New Roman"/>
          <w:color w:val="000000"/>
          <w:sz w:val="28"/>
          <w:szCs w:val="28"/>
        </w:rPr>
        <w:t>П</w:t>
      </w:r>
      <w:r w:rsidRPr="00FE5897">
        <w:rPr>
          <w:rFonts w:ascii="Times New Roman" w:hAnsi="Times New Roman"/>
          <w:color w:val="000000"/>
          <w:sz w:val="28"/>
          <w:szCs w:val="28"/>
        </w:rPr>
        <w:t xml:space="preserve">равительства </w:t>
      </w:r>
      <w:r w:rsidR="0029040B" w:rsidRPr="0029040B">
        <w:rPr>
          <w:rFonts w:ascii="Times New Roman" w:hAnsi="Times New Roman"/>
          <w:color w:val="000000"/>
          <w:sz w:val="28"/>
          <w:szCs w:val="28"/>
        </w:rPr>
        <w:t>Республики Армения</w:t>
      </w:r>
      <w:r w:rsidRPr="0029040B">
        <w:rPr>
          <w:rFonts w:ascii="Times New Roman" w:hAnsi="Times New Roman"/>
          <w:color w:val="000000"/>
          <w:sz w:val="28"/>
          <w:szCs w:val="28"/>
        </w:rPr>
        <w:t xml:space="preserve"> </w:t>
      </w:r>
      <w:r w:rsidRPr="00FE5897">
        <w:rPr>
          <w:rFonts w:ascii="Times New Roman" w:hAnsi="Times New Roman"/>
          <w:color w:val="000000"/>
          <w:sz w:val="28"/>
          <w:szCs w:val="28"/>
        </w:rPr>
        <w:t>в инновационной сфере.</w:t>
      </w:r>
    </w:p>
    <w:p w:rsidR="00FE5897" w:rsidRP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Благодаря реализации инновационных проектов и программ, представляющих прикладной и инвестиционный интерес для экономики, а также инициированию иных совместных мероприятий, направленных на развитие отрасли, по итогам </w:t>
      </w:r>
      <w:r w:rsidR="00B614E4">
        <w:rPr>
          <w:rFonts w:ascii="Times New Roman" w:hAnsi="Times New Roman"/>
          <w:color w:val="000000"/>
          <w:sz w:val="28"/>
          <w:szCs w:val="28"/>
        </w:rPr>
        <w:t>п</w:t>
      </w:r>
      <w:r w:rsidRPr="00FE5897">
        <w:rPr>
          <w:rFonts w:ascii="Times New Roman" w:hAnsi="Times New Roman"/>
          <w:color w:val="000000"/>
          <w:sz w:val="28"/>
          <w:szCs w:val="28"/>
        </w:rPr>
        <w:t xml:space="preserve">рограммы будет сформировано единое пространство инновационного сотрудничества </w:t>
      </w:r>
      <w:r w:rsidR="00B614E4" w:rsidRPr="00B614E4">
        <w:rPr>
          <w:rFonts w:ascii="Times New Roman" w:hAnsi="Times New Roman"/>
          <w:color w:val="000000"/>
          <w:sz w:val="28"/>
          <w:szCs w:val="28"/>
        </w:rPr>
        <w:t>государств – участников СНГ</w:t>
      </w:r>
      <w:r w:rsidRPr="00B614E4">
        <w:rPr>
          <w:rFonts w:ascii="Times New Roman" w:hAnsi="Times New Roman"/>
          <w:color w:val="000000"/>
          <w:sz w:val="28"/>
          <w:szCs w:val="28"/>
        </w:rPr>
        <w:t>.</w:t>
      </w:r>
    </w:p>
    <w:p w:rsidR="00FE5897" w:rsidRDefault="00FE5897" w:rsidP="004D2C9E">
      <w:pPr>
        <w:autoSpaceDE w:val="0"/>
        <w:autoSpaceDN w:val="0"/>
        <w:adjustRightInd w:val="0"/>
        <w:spacing w:after="0" w:line="240" w:lineRule="auto"/>
        <w:ind w:firstLine="709"/>
        <w:jc w:val="both"/>
        <w:rPr>
          <w:rFonts w:ascii="Times New Roman" w:hAnsi="Times New Roman"/>
          <w:color w:val="000000"/>
          <w:sz w:val="28"/>
          <w:szCs w:val="28"/>
        </w:rPr>
      </w:pPr>
      <w:r w:rsidRPr="00FE5897">
        <w:rPr>
          <w:rFonts w:ascii="Times New Roman" w:hAnsi="Times New Roman"/>
          <w:color w:val="000000"/>
          <w:sz w:val="28"/>
          <w:szCs w:val="28"/>
        </w:rPr>
        <w:t xml:space="preserve">Совместно с Управлением развития инновационных технологий аппарата Министерства экономического развития и инвестиций </w:t>
      </w:r>
      <w:r w:rsidR="0029040B" w:rsidRPr="0029040B">
        <w:rPr>
          <w:rFonts w:ascii="Times New Roman" w:hAnsi="Times New Roman"/>
          <w:color w:val="000000"/>
          <w:sz w:val="28"/>
          <w:szCs w:val="28"/>
        </w:rPr>
        <w:t>Республики Армения</w:t>
      </w:r>
      <w:r w:rsidRPr="00FE5897">
        <w:rPr>
          <w:rFonts w:ascii="Times New Roman" w:hAnsi="Times New Roman"/>
          <w:color w:val="000000"/>
          <w:sz w:val="28"/>
          <w:szCs w:val="28"/>
        </w:rPr>
        <w:t xml:space="preserve"> работы в направлении развития научно-технической и инновационной сферы </w:t>
      </w:r>
      <w:r w:rsidR="0099256D">
        <w:rPr>
          <w:rFonts w:ascii="Times New Roman" w:hAnsi="Times New Roman"/>
          <w:color w:val="000000"/>
          <w:sz w:val="28"/>
          <w:szCs w:val="28"/>
        </w:rPr>
        <w:t>проводят</w:t>
      </w:r>
      <w:r w:rsidR="00956B1B">
        <w:rPr>
          <w:rFonts w:ascii="Times New Roman" w:hAnsi="Times New Roman"/>
          <w:color w:val="000000"/>
          <w:sz w:val="28"/>
          <w:szCs w:val="28"/>
        </w:rPr>
        <w:t xml:space="preserve"> </w:t>
      </w:r>
      <w:r w:rsidRPr="00FE5897">
        <w:rPr>
          <w:rFonts w:ascii="Times New Roman" w:hAnsi="Times New Roman"/>
          <w:color w:val="000000"/>
          <w:sz w:val="28"/>
          <w:szCs w:val="28"/>
        </w:rPr>
        <w:t xml:space="preserve">Национальный центр </w:t>
      </w:r>
      <w:r w:rsidR="00E915FE">
        <w:rPr>
          <w:rFonts w:ascii="Times New Roman" w:hAnsi="Times New Roman"/>
          <w:color w:val="000000"/>
          <w:sz w:val="28"/>
          <w:szCs w:val="28"/>
        </w:rPr>
        <w:t>инноваций и предпринимательства и</w:t>
      </w:r>
      <w:r w:rsidR="0037459F">
        <w:rPr>
          <w:rFonts w:ascii="Times New Roman" w:hAnsi="Times New Roman"/>
          <w:color w:val="000000"/>
          <w:sz w:val="28"/>
          <w:szCs w:val="28"/>
        </w:rPr>
        <w:t xml:space="preserve"> </w:t>
      </w:r>
      <w:r w:rsidRPr="00FE5897">
        <w:rPr>
          <w:rFonts w:ascii="Times New Roman" w:hAnsi="Times New Roman"/>
          <w:color w:val="000000"/>
          <w:sz w:val="28"/>
          <w:szCs w:val="28"/>
        </w:rPr>
        <w:t xml:space="preserve">ЗАО </w:t>
      </w:r>
      <w:r w:rsidR="004D2C9E">
        <w:rPr>
          <w:rFonts w:ascii="Times New Roman" w:hAnsi="Times New Roman"/>
          <w:color w:val="000000"/>
          <w:sz w:val="28"/>
          <w:szCs w:val="28"/>
        </w:rPr>
        <w:t>«</w:t>
      </w:r>
      <w:r w:rsidRPr="00FE5897">
        <w:rPr>
          <w:rFonts w:ascii="Times New Roman" w:hAnsi="Times New Roman"/>
          <w:color w:val="000000"/>
          <w:sz w:val="28"/>
          <w:szCs w:val="28"/>
        </w:rPr>
        <w:t>Национальный институт метрологии</w:t>
      </w:r>
      <w:r w:rsidR="004D2C9E">
        <w:rPr>
          <w:rFonts w:ascii="Times New Roman" w:hAnsi="Times New Roman"/>
          <w:color w:val="000000"/>
          <w:sz w:val="28"/>
          <w:szCs w:val="28"/>
        </w:rPr>
        <w:t>»</w:t>
      </w:r>
      <w:r w:rsidRPr="00FE5897">
        <w:rPr>
          <w:rFonts w:ascii="Times New Roman" w:hAnsi="Times New Roman"/>
          <w:color w:val="000000"/>
          <w:sz w:val="28"/>
          <w:szCs w:val="28"/>
        </w:rPr>
        <w:t>.</w:t>
      </w:r>
    </w:p>
    <w:p w:rsidR="0068434D" w:rsidRPr="00F10A05" w:rsidRDefault="0068434D" w:rsidP="004D2C9E">
      <w:pPr>
        <w:pStyle w:val="4"/>
      </w:pPr>
      <w:r w:rsidRPr="00F10A05">
        <w:t>Республика Беларусь</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 xml:space="preserve">Постановлением Совета Министров Республики Беларусь от 23 марта </w:t>
      </w:r>
      <w:r w:rsidR="0029040B">
        <w:rPr>
          <w:rFonts w:ascii="Times New Roman" w:hAnsi="Times New Roman"/>
          <w:color w:val="000000"/>
          <w:sz w:val="28"/>
          <w:szCs w:val="28"/>
        </w:rPr>
        <w:br/>
      </w:r>
      <w:r w:rsidRPr="00106AA9">
        <w:rPr>
          <w:rFonts w:ascii="Times New Roman" w:hAnsi="Times New Roman"/>
          <w:color w:val="000000"/>
          <w:sz w:val="28"/>
          <w:szCs w:val="28"/>
        </w:rPr>
        <w:t>2016 г</w:t>
      </w:r>
      <w:r w:rsidR="0029040B">
        <w:rPr>
          <w:rFonts w:ascii="Times New Roman" w:hAnsi="Times New Roman"/>
          <w:color w:val="000000"/>
          <w:sz w:val="28"/>
          <w:szCs w:val="28"/>
        </w:rPr>
        <w:t>ода</w:t>
      </w:r>
      <w:r w:rsidRPr="00106AA9">
        <w:rPr>
          <w:rFonts w:ascii="Times New Roman" w:hAnsi="Times New Roman"/>
          <w:color w:val="000000"/>
          <w:sz w:val="28"/>
          <w:szCs w:val="28"/>
        </w:rPr>
        <w:t xml:space="preserve"> </w:t>
      </w:r>
      <w:r w:rsidR="00E720B2">
        <w:rPr>
          <w:rFonts w:ascii="Times New Roman" w:hAnsi="Times New Roman"/>
          <w:color w:val="000000"/>
          <w:sz w:val="28"/>
          <w:szCs w:val="28"/>
        </w:rPr>
        <w:t>№ </w:t>
      </w:r>
      <w:r w:rsidRPr="00106AA9">
        <w:rPr>
          <w:rFonts w:ascii="Times New Roman" w:hAnsi="Times New Roman"/>
          <w:color w:val="000000"/>
          <w:sz w:val="28"/>
          <w:szCs w:val="28"/>
        </w:rPr>
        <w:t>235 утверждена Государственная программа развития цифровой экономики и информационного общества на 2016</w:t>
      </w:r>
      <w:r w:rsidR="00F9318B">
        <w:rPr>
          <w:rFonts w:ascii="Times New Roman" w:hAnsi="Times New Roman"/>
          <w:color w:val="000000"/>
          <w:sz w:val="28"/>
          <w:szCs w:val="28"/>
        </w:rPr>
        <w:t>–</w:t>
      </w:r>
      <w:r w:rsidRPr="00106AA9">
        <w:rPr>
          <w:rFonts w:ascii="Times New Roman" w:hAnsi="Times New Roman"/>
          <w:color w:val="000000"/>
          <w:sz w:val="28"/>
          <w:szCs w:val="28"/>
        </w:rPr>
        <w:t>2020 годы</w:t>
      </w:r>
      <w:r w:rsidR="00E915FE">
        <w:rPr>
          <w:rFonts w:ascii="Times New Roman" w:hAnsi="Times New Roman"/>
          <w:color w:val="000000"/>
          <w:sz w:val="28"/>
          <w:szCs w:val="28"/>
        </w:rPr>
        <w:t xml:space="preserve"> (Государственная программа), которая направлена </w:t>
      </w:r>
      <w:r w:rsidRPr="00106AA9">
        <w:rPr>
          <w:rFonts w:ascii="Times New Roman" w:hAnsi="Times New Roman"/>
          <w:color w:val="000000"/>
          <w:sz w:val="28"/>
          <w:szCs w:val="28"/>
        </w:rPr>
        <w:t>на достижение одного из приоритетов социально-экономического развития Республики Беларусь – эффективные инвестиции и ускоренное развитие инновационных секторов экономики.</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Государственной программой предусмотрено выполнение работ на базе современной информационно-коммуникационной инфраструктуры (ИКИ), направленных на оказание государственных услуг и осуществление административных процедур в электронном виде, повышение их доступности, а также стимулирование экспорта услуг в сфере</w:t>
      </w:r>
      <w:r w:rsidR="0029040B" w:rsidRPr="0029040B">
        <w:t xml:space="preserve"> </w:t>
      </w:r>
      <w:r w:rsidRPr="00106AA9">
        <w:rPr>
          <w:rFonts w:ascii="Times New Roman" w:hAnsi="Times New Roman"/>
          <w:color w:val="000000"/>
          <w:sz w:val="28"/>
          <w:szCs w:val="28"/>
        </w:rPr>
        <w:t xml:space="preserve">ИКТ, внутреннего спроса реального сектора экономики, сферы услуг, социальной сферы, сферы государственного управления на качественные </w:t>
      </w:r>
      <w:r w:rsidR="0099256D">
        <w:rPr>
          <w:rFonts w:ascii="Times New Roman" w:hAnsi="Times New Roman"/>
          <w:color w:val="000000"/>
          <w:sz w:val="28"/>
          <w:szCs w:val="28"/>
          <w:lang w:val="en-US"/>
        </w:rPr>
        <w:t>I</w:t>
      </w:r>
      <w:r w:rsidRPr="00106AA9">
        <w:rPr>
          <w:rFonts w:ascii="Times New Roman" w:hAnsi="Times New Roman"/>
          <w:color w:val="000000"/>
          <w:sz w:val="28"/>
          <w:szCs w:val="28"/>
        </w:rPr>
        <w:t>Т-услуги.</w:t>
      </w:r>
    </w:p>
    <w:p w:rsidR="00106AA9" w:rsidRPr="00106AA9" w:rsidRDefault="00E915FE" w:rsidP="004D2C9E">
      <w:pPr>
        <w:autoSpaceDE w:val="0"/>
        <w:autoSpaceDN w:val="0"/>
        <w:adjustRightInd w:val="0"/>
        <w:spacing w:after="0" w:line="240" w:lineRule="auto"/>
        <w:ind w:firstLine="709"/>
        <w:jc w:val="both"/>
        <w:rPr>
          <w:rFonts w:ascii="Times New Roman" w:hAnsi="Times New Roman"/>
          <w:color w:val="000000"/>
          <w:sz w:val="28"/>
          <w:szCs w:val="28"/>
        </w:rPr>
      </w:pPr>
      <w:r w:rsidRPr="00E915FE">
        <w:rPr>
          <w:rFonts w:ascii="Times New Roman" w:hAnsi="Times New Roman"/>
          <w:color w:val="000000"/>
          <w:sz w:val="28"/>
          <w:szCs w:val="28"/>
        </w:rPr>
        <w:t xml:space="preserve">Государственная </w:t>
      </w:r>
      <w:r>
        <w:rPr>
          <w:rFonts w:ascii="Times New Roman" w:hAnsi="Times New Roman"/>
          <w:color w:val="000000"/>
          <w:sz w:val="28"/>
          <w:szCs w:val="28"/>
        </w:rPr>
        <w:t>п</w:t>
      </w:r>
      <w:r w:rsidR="00106AA9" w:rsidRPr="00106AA9">
        <w:rPr>
          <w:rFonts w:ascii="Times New Roman" w:hAnsi="Times New Roman"/>
          <w:color w:val="000000"/>
          <w:sz w:val="28"/>
          <w:szCs w:val="28"/>
        </w:rPr>
        <w:t>рограмма включает следующие подпрограммы, содержащие системообразующие мероприятия национального масштаба в сфере ИКТ:</w:t>
      </w:r>
    </w:p>
    <w:p w:rsidR="00106AA9" w:rsidRPr="00106AA9" w:rsidRDefault="00D62259" w:rsidP="004D2C9E">
      <w:pPr>
        <w:autoSpaceDE w:val="0"/>
        <w:autoSpaceDN w:val="0"/>
        <w:adjustRightInd w:val="0"/>
        <w:spacing w:after="0" w:line="240" w:lineRule="auto"/>
        <w:ind w:firstLine="709"/>
        <w:jc w:val="both"/>
        <w:rPr>
          <w:rFonts w:ascii="Times New Roman" w:hAnsi="Times New Roman"/>
          <w:color w:val="000000"/>
          <w:sz w:val="28"/>
          <w:szCs w:val="28"/>
        </w:rPr>
      </w:pPr>
      <w:r w:rsidRPr="00D62259">
        <w:rPr>
          <w:rFonts w:ascii="Times New Roman" w:hAnsi="Times New Roman"/>
          <w:color w:val="000000"/>
          <w:sz w:val="28"/>
          <w:szCs w:val="28"/>
        </w:rPr>
        <w:t>ИКИ</w:t>
      </w:r>
      <w:r w:rsidR="00106AA9" w:rsidRPr="00106AA9">
        <w:rPr>
          <w:rFonts w:ascii="Times New Roman" w:hAnsi="Times New Roman"/>
          <w:color w:val="000000"/>
          <w:sz w:val="28"/>
          <w:szCs w:val="28"/>
        </w:rPr>
        <w:t>;</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инфраструктура информатизации;</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цифровая трансформация.</w:t>
      </w:r>
    </w:p>
    <w:p w:rsidR="00106AA9" w:rsidRPr="00106AA9" w:rsidRDefault="00106AA9" w:rsidP="006B6DA1">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 xml:space="preserve">Целью Государственной программы является совершенствование условий, содействующих трансформации сфер человеческой деятельности под воздействием ИКТ, включая формирование цифровой экономики, развитие информационного общества и совершенствование </w:t>
      </w:r>
      <w:r w:rsidR="00A33526">
        <w:rPr>
          <w:rFonts w:ascii="Times New Roman" w:hAnsi="Times New Roman"/>
          <w:color w:val="000000"/>
          <w:sz w:val="28"/>
          <w:szCs w:val="28"/>
        </w:rPr>
        <w:t>«</w:t>
      </w:r>
      <w:r w:rsidRPr="00106AA9">
        <w:rPr>
          <w:rFonts w:ascii="Times New Roman" w:hAnsi="Times New Roman"/>
          <w:color w:val="000000"/>
          <w:sz w:val="28"/>
          <w:szCs w:val="28"/>
        </w:rPr>
        <w:t>электронного правительства</w:t>
      </w:r>
      <w:r w:rsidR="00A33526">
        <w:rPr>
          <w:rFonts w:ascii="Times New Roman" w:hAnsi="Times New Roman"/>
          <w:color w:val="000000"/>
          <w:sz w:val="28"/>
          <w:szCs w:val="28"/>
        </w:rPr>
        <w:t>»</w:t>
      </w:r>
      <w:r w:rsidRPr="00106AA9">
        <w:rPr>
          <w:rFonts w:ascii="Times New Roman" w:hAnsi="Times New Roman"/>
          <w:color w:val="000000"/>
          <w:sz w:val="28"/>
          <w:szCs w:val="28"/>
        </w:rPr>
        <w:t>.</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Для достижения поставленной цели предусматривается решение следующих задач:</w:t>
      </w:r>
    </w:p>
    <w:p w:rsidR="00106AA9" w:rsidRPr="006B6DA1" w:rsidRDefault="00106AA9" w:rsidP="00544A93">
      <w:pPr>
        <w:autoSpaceDE w:val="0"/>
        <w:autoSpaceDN w:val="0"/>
        <w:adjustRightInd w:val="0"/>
        <w:spacing w:after="0" w:line="315" w:lineRule="exact"/>
        <w:ind w:firstLine="709"/>
        <w:jc w:val="both"/>
        <w:rPr>
          <w:rFonts w:ascii="Times New Roman" w:hAnsi="Times New Roman"/>
          <w:color w:val="000000"/>
          <w:spacing w:val="-2"/>
          <w:sz w:val="28"/>
          <w:szCs w:val="28"/>
        </w:rPr>
      </w:pPr>
      <w:r w:rsidRPr="006B6DA1">
        <w:rPr>
          <w:rFonts w:ascii="Times New Roman" w:hAnsi="Times New Roman"/>
          <w:color w:val="000000"/>
          <w:spacing w:val="-2"/>
          <w:sz w:val="28"/>
          <w:szCs w:val="28"/>
        </w:rPr>
        <w:t xml:space="preserve">дальнейшее развитие национальной ИКИ, а также услуг, предоставляемых на ее основе, с учетом целей развития ИКТ, определенных на будущий период Международным союзом электросвязи (МСЭ) в Концепции </w:t>
      </w:r>
      <w:r w:rsidR="004D2C9E" w:rsidRPr="006B6DA1">
        <w:rPr>
          <w:rFonts w:ascii="Times New Roman" w:hAnsi="Times New Roman"/>
          <w:color w:val="000000"/>
          <w:spacing w:val="-2"/>
          <w:sz w:val="28"/>
          <w:szCs w:val="28"/>
        </w:rPr>
        <w:t>«</w:t>
      </w:r>
      <w:r w:rsidR="006B6DA1">
        <w:rPr>
          <w:rFonts w:ascii="Times New Roman" w:hAnsi="Times New Roman"/>
          <w:color w:val="000000"/>
          <w:spacing w:val="-2"/>
          <w:sz w:val="28"/>
          <w:szCs w:val="28"/>
        </w:rPr>
        <w:t xml:space="preserve">Соединим к </w:t>
      </w:r>
      <w:r w:rsidR="006B6DA1" w:rsidRPr="006B6DA1">
        <w:rPr>
          <w:rFonts w:ascii="Times New Roman" w:hAnsi="Times New Roman"/>
          <w:color w:val="000000"/>
          <w:spacing w:val="-4"/>
          <w:sz w:val="28"/>
          <w:szCs w:val="28"/>
        </w:rPr>
        <w:t>2020 </w:t>
      </w:r>
      <w:r w:rsidRPr="006B6DA1">
        <w:rPr>
          <w:rFonts w:ascii="Times New Roman" w:hAnsi="Times New Roman"/>
          <w:color w:val="000000"/>
          <w:spacing w:val="-4"/>
          <w:sz w:val="28"/>
          <w:szCs w:val="28"/>
        </w:rPr>
        <w:t>году</w:t>
      </w:r>
      <w:r w:rsidR="004D2C9E" w:rsidRPr="006B6DA1">
        <w:rPr>
          <w:rFonts w:ascii="Times New Roman" w:hAnsi="Times New Roman"/>
          <w:color w:val="000000"/>
          <w:spacing w:val="-4"/>
          <w:sz w:val="28"/>
          <w:szCs w:val="28"/>
        </w:rPr>
        <w:t>»</w:t>
      </w:r>
      <w:r w:rsidRPr="006B6DA1">
        <w:rPr>
          <w:rFonts w:ascii="Times New Roman" w:hAnsi="Times New Roman"/>
          <w:color w:val="000000"/>
          <w:spacing w:val="-4"/>
          <w:sz w:val="28"/>
          <w:szCs w:val="28"/>
        </w:rPr>
        <w:t>, которая освещает роль ИКТ как одной из движущих сил социального</w:t>
      </w:r>
      <w:r w:rsidRPr="006B6DA1">
        <w:rPr>
          <w:rFonts w:ascii="Times New Roman" w:hAnsi="Times New Roman"/>
          <w:color w:val="000000"/>
          <w:spacing w:val="-2"/>
          <w:sz w:val="28"/>
          <w:szCs w:val="28"/>
        </w:rPr>
        <w:t>, экономического и экологически устойчивого роста и развития (Резолюция 200, Пусан, 2014</w:t>
      </w:r>
      <w:r w:rsidR="00A33526" w:rsidRPr="006B6DA1">
        <w:rPr>
          <w:rFonts w:ascii="Times New Roman" w:hAnsi="Times New Roman"/>
          <w:color w:val="000000"/>
          <w:spacing w:val="-2"/>
          <w:sz w:val="28"/>
          <w:szCs w:val="28"/>
        </w:rPr>
        <w:t xml:space="preserve"> год</w:t>
      </w:r>
      <w:r w:rsidRPr="006B6DA1">
        <w:rPr>
          <w:rFonts w:ascii="Times New Roman" w:hAnsi="Times New Roman"/>
          <w:color w:val="000000"/>
          <w:spacing w:val="-2"/>
          <w:sz w:val="28"/>
          <w:szCs w:val="28"/>
        </w:rPr>
        <w:t xml:space="preserve">). Эту задачу предусматривается решить путем реализации подпрограммы 1 </w:t>
      </w:r>
      <w:r w:rsidR="004D2C9E" w:rsidRPr="006B6DA1">
        <w:rPr>
          <w:rFonts w:ascii="Times New Roman" w:hAnsi="Times New Roman"/>
          <w:color w:val="000000"/>
          <w:spacing w:val="-2"/>
          <w:sz w:val="28"/>
          <w:szCs w:val="28"/>
        </w:rPr>
        <w:t>«</w:t>
      </w:r>
      <w:r w:rsidRPr="006B6DA1">
        <w:rPr>
          <w:rFonts w:ascii="Times New Roman" w:hAnsi="Times New Roman"/>
          <w:color w:val="000000"/>
          <w:spacing w:val="-2"/>
          <w:sz w:val="28"/>
          <w:szCs w:val="28"/>
        </w:rPr>
        <w:t>Информационно-коммуникационная инфраструктура</w:t>
      </w:r>
      <w:r w:rsidR="004D2C9E" w:rsidRPr="006B6DA1">
        <w:rPr>
          <w:rFonts w:ascii="Times New Roman" w:hAnsi="Times New Roman"/>
          <w:color w:val="000000"/>
          <w:spacing w:val="-2"/>
          <w:sz w:val="28"/>
          <w:szCs w:val="28"/>
        </w:rPr>
        <w:t>»</w:t>
      </w:r>
      <w:r w:rsidRPr="006B6DA1">
        <w:rPr>
          <w:rFonts w:ascii="Times New Roman" w:hAnsi="Times New Roman"/>
          <w:color w:val="000000"/>
          <w:spacing w:val="-2"/>
          <w:sz w:val="28"/>
          <w:szCs w:val="28"/>
        </w:rPr>
        <w:t>;</w:t>
      </w:r>
    </w:p>
    <w:p w:rsidR="00106AA9" w:rsidRPr="00106AA9" w:rsidRDefault="00106AA9" w:rsidP="00544A93">
      <w:pPr>
        <w:autoSpaceDE w:val="0"/>
        <w:autoSpaceDN w:val="0"/>
        <w:adjustRightInd w:val="0"/>
        <w:spacing w:after="0" w:line="315" w:lineRule="exact"/>
        <w:ind w:firstLine="709"/>
        <w:jc w:val="both"/>
        <w:rPr>
          <w:rFonts w:ascii="Times New Roman" w:hAnsi="Times New Roman"/>
          <w:color w:val="000000"/>
          <w:sz w:val="28"/>
          <w:szCs w:val="28"/>
        </w:rPr>
      </w:pPr>
      <w:r w:rsidRPr="00106AA9">
        <w:rPr>
          <w:rFonts w:ascii="Times New Roman" w:hAnsi="Times New Roman"/>
          <w:color w:val="000000"/>
          <w:sz w:val="28"/>
          <w:szCs w:val="28"/>
        </w:rPr>
        <w:t xml:space="preserve">внедрение технологий </w:t>
      </w:r>
      <w:r w:rsidR="00A33526">
        <w:rPr>
          <w:rFonts w:ascii="Times New Roman" w:hAnsi="Times New Roman"/>
          <w:color w:val="000000"/>
          <w:sz w:val="28"/>
          <w:szCs w:val="28"/>
        </w:rPr>
        <w:t>«</w:t>
      </w:r>
      <w:r w:rsidRPr="00106AA9">
        <w:rPr>
          <w:rFonts w:ascii="Times New Roman" w:hAnsi="Times New Roman"/>
          <w:color w:val="000000"/>
          <w:sz w:val="28"/>
          <w:szCs w:val="28"/>
        </w:rPr>
        <w:t>электронного правительства</w:t>
      </w:r>
      <w:r w:rsidR="00A33526">
        <w:rPr>
          <w:rFonts w:ascii="Times New Roman" w:hAnsi="Times New Roman"/>
          <w:color w:val="000000"/>
          <w:sz w:val="28"/>
          <w:szCs w:val="28"/>
        </w:rPr>
        <w:t>»</w:t>
      </w:r>
      <w:r w:rsidRPr="00106AA9">
        <w:rPr>
          <w:rFonts w:ascii="Times New Roman" w:hAnsi="Times New Roman"/>
          <w:color w:val="000000"/>
          <w:sz w:val="28"/>
          <w:szCs w:val="28"/>
        </w:rPr>
        <w:t xml:space="preserve"> и развитие инфраструктуры информатизации (будет осуществлено путем выполнения подпрограммы 2 </w:t>
      </w:r>
      <w:r w:rsidR="004D2C9E">
        <w:rPr>
          <w:rFonts w:ascii="Times New Roman" w:hAnsi="Times New Roman"/>
          <w:color w:val="000000"/>
          <w:sz w:val="28"/>
          <w:szCs w:val="28"/>
        </w:rPr>
        <w:t>«</w:t>
      </w:r>
      <w:r w:rsidRPr="00106AA9">
        <w:rPr>
          <w:rFonts w:ascii="Times New Roman" w:hAnsi="Times New Roman"/>
          <w:color w:val="000000"/>
          <w:sz w:val="28"/>
          <w:szCs w:val="28"/>
        </w:rPr>
        <w:t>Инфраструктура информатизации</w:t>
      </w:r>
      <w:r w:rsidR="004D2C9E">
        <w:rPr>
          <w:rFonts w:ascii="Times New Roman" w:hAnsi="Times New Roman"/>
          <w:color w:val="000000"/>
          <w:sz w:val="28"/>
          <w:szCs w:val="28"/>
        </w:rPr>
        <w:t>»</w:t>
      </w:r>
      <w:r w:rsidRPr="00106AA9">
        <w:rPr>
          <w:rFonts w:ascii="Times New Roman" w:hAnsi="Times New Roman"/>
          <w:color w:val="000000"/>
          <w:sz w:val="28"/>
          <w:szCs w:val="28"/>
        </w:rPr>
        <w:t>);</w:t>
      </w:r>
    </w:p>
    <w:p w:rsidR="00106AA9" w:rsidRPr="00106AA9" w:rsidRDefault="00106AA9" w:rsidP="00544A93">
      <w:pPr>
        <w:autoSpaceDE w:val="0"/>
        <w:autoSpaceDN w:val="0"/>
        <w:adjustRightInd w:val="0"/>
        <w:spacing w:after="0" w:line="315" w:lineRule="exact"/>
        <w:ind w:firstLine="709"/>
        <w:jc w:val="both"/>
        <w:rPr>
          <w:rFonts w:ascii="Times New Roman" w:hAnsi="Times New Roman"/>
          <w:color w:val="000000"/>
          <w:sz w:val="28"/>
          <w:szCs w:val="28"/>
        </w:rPr>
      </w:pPr>
      <w:r w:rsidRPr="00106AA9">
        <w:rPr>
          <w:rFonts w:ascii="Times New Roman" w:hAnsi="Times New Roman"/>
          <w:color w:val="000000"/>
          <w:sz w:val="28"/>
          <w:szCs w:val="28"/>
        </w:rPr>
        <w:t xml:space="preserve">трансформация бизнес-процессов посредством ИКТ во всех сферах жизнедеятельности современного общества (планируется выполнить посредством реализации подпрограммы 3 </w:t>
      </w:r>
      <w:r w:rsidR="004D2C9E">
        <w:rPr>
          <w:rFonts w:ascii="Times New Roman" w:hAnsi="Times New Roman"/>
          <w:color w:val="000000"/>
          <w:sz w:val="28"/>
          <w:szCs w:val="28"/>
        </w:rPr>
        <w:t>«</w:t>
      </w:r>
      <w:r w:rsidRPr="00106AA9">
        <w:rPr>
          <w:rFonts w:ascii="Times New Roman" w:hAnsi="Times New Roman"/>
          <w:color w:val="000000"/>
          <w:sz w:val="28"/>
          <w:szCs w:val="28"/>
        </w:rPr>
        <w:t>Цифровая трансформация</w:t>
      </w:r>
      <w:r w:rsidR="004D2C9E">
        <w:rPr>
          <w:rFonts w:ascii="Times New Roman" w:hAnsi="Times New Roman"/>
          <w:color w:val="000000"/>
          <w:sz w:val="28"/>
          <w:szCs w:val="28"/>
        </w:rPr>
        <w:t>»</w:t>
      </w:r>
      <w:r w:rsidRPr="00106AA9">
        <w:rPr>
          <w:rFonts w:ascii="Times New Roman" w:hAnsi="Times New Roman"/>
          <w:color w:val="000000"/>
          <w:sz w:val="28"/>
          <w:szCs w:val="28"/>
        </w:rPr>
        <w:t>).</w:t>
      </w:r>
    </w:p>
    <w:p w:rsidR="00106AA9" w:rsidRPr="00106AA9" w:rsidRDefault="00106AA9" w:rsidP="00544A93">
      <w:pPr>
        <w:autoSpaceDE w:val="0"/>
        <w:autoSpaceDN w:val="0"/>
        <w:adjustRightInd w:val="0"/>
        <w:spacing w:after="0" w:line="315" w:lineRule="exact"/>
        <w:ind w:firstLine="709"/>
        <w:jc w:val="both"/>
        <w:rPr>
          <w:rFonts w:ascii="Times New Roman" w:hAnsi="Times New Roman"/>
          <w:color w:val="000000"/>
          <w:sz w:val="28"/>
          <w:szCs w:val="28"/>
        </w:rPr>
      </w:pPr>
      <w:r w:rsidRPr="00106AA9">
        <w:rPr>
          <w:rFonts w:ascii="Times New Roman" w:hAnsi="Times New Roman"/>
          <w:color w:val="000000"/>
          <w:sz w:val="28"/>
          <w:szCs w:val="28"/>
        </w:rPr>
        <w:t xml:space="preserve">Индикатором успешности реализации Государственной программы станет повышение к 2020 году позиций Республики Беларусь в рейтинге по индексу готовности к </w:t>
      </w:r>
      <w:r w:rsidR="00A33526">
        <w:rPr>
          <w:rFonts w:ascii="Times New Roman" w:hAnsi="Times New Roman"/>
          <w:color w:val="000000"/>
          <w:sz w:val="28"/>
          <w:szCs w:val="28"/>
        </w:rPr>
        <w:t>«</w:t>
      </w:r>
      <w:r w:rsidRPr="00106AA9">
        <w:rPr>
          <w:rFonts w:ascii="Times New Roman" w:hAnsi="Times New Roman"/>
          <w:color w:val="000000"/>
          <w:sz w:val="28"/>
          <w:szCs w:val="28"/>
        </w:rPr>
        <w:t>электронному правительству</w:t>
      </w:r>
      <w:r w:rsidR="00A33526">
        <w:rPr>
          <w:rFonts w:ascii="Times New Roman" w:hAnsi="Times New Roman"/>
          <w:color w:val="000000"/>
          <w:sz w:val="28"/>
          <w:szCs w:val="28"/>
        </w:rPr>
        <w:t>»</w:t>
      </w:r>
      <w:r w:rsidRPr="00106AA9">
        <w:rPr>
          <w:rFonts w:ascii="Times New Roman" w:hAnsi="Times New Roman"/>
          <w:color w:val="000000"/>
          <w:sz w:val="28"/>
          <w:szCs w:val="28"/>
        </w:rPr>
        <w:t xml:space="preserve"> ООН и рейтинге по индексу развития информационно-телекоммуникационных технологий в соответствии с классификацией МСЭ.</w:t>
      </w:r>
    </w:p>
    <w:p w:rsidR="00106AA9" w:rsidRPr="00106AA9" w:rsidRDefault="00106AA9" w:rsidP="00544A93">
      <w:pPr>
        <w:autoSpaceDE w:val="0"/>
        <w:autoSpaceDN w:val="0"/>
        <w:adjustRightInd w:val="0"/>
        <w:spacing w:after="0" w:line="315" w:lineRule="exact"/>
        <w:ind w:firstLine="709"/>
        <w:jc w:val="both"/>
        <w:rPr>
          <w:rFonts w:ascii="Times New Roman" w:hAnsi="Times New Roman"/>
          <w:color w:val="000000"/>
          <w:sz w:val="28"/>
          <w:szCs w:val="28"/>
        </w:rPr>
      </w:pPr>
      <w:r w:rsidRPr="00106AA9">
        <w:rPr>
          <w:rFonts w:ascii="Times New Roman" w:hAnsi="Times New Roman"/>
          <w:color w:val="000000"/>
          <w:sz w:val="28"/>
          <w:szCs w:val="28"/>
        </w:rPr>
        <w:t>Развитие национальной ИКИ в 2016</w:t>
      </w:r>
      <w:r w:rsidR="00F9318B">
        <w:rPr>
          <w:rFonts w:ascii="Times New Roman" w:hAnsi="Times New Roman"/>
          <w:color w:val="000000"/>
          <w:sz w:val="28"/>
          <w:szCs w:val="28"/>
        </w:rPr>
        <w:t>–</w:t>
      </w:r>
      <w:r w:rsidRPr="00106AA9">
        <w:rPr>
          <w:rFonts w:ascii="Times New Roman" w:hAnsi="Times New Roman"/>
          <w:color w:val="000000"/>
          <w:sz w:val="28"/>
          <w:szCs w:val="28"/>
        </w:rPr>
        <w:t>2020 год</w:t>
      </w:r>
      <w:r w:rsidR="00A33526">
        <w:rPr>
          <w:rFonts w:ascii="Times New Roman" w:hAnsi="Times New Roman"/>
          <w:color w:val="000000"/>
          <w:sz w:val="28"/>
          <w:szCs w:val="28"/>
        </w:rPr>
        <w:t>ах</w:t>
      </w:r>
      <w:r w:rsidRPr="00106AA9">
        <w:rPr>
          <w:rFonts w:ascii="Times New Roman" w:hAnsi="Times New Roman"/>
          <w:color w:val="000000"/>
          <w:sz w:val="28"/>
          <w:szCs w:val="28"/>
        </w:rPr>
        <w:t xml:space="preserve"> будет происходить в условиях дальнейшего стремительного роста информационных потребностей общества и экономики, интеграции в международное информационное пространство, дальнейшей конвергенции сетей с постепенным замещением традиционных услуг электросвязи услугами на базе IP-протокола, предоставляемых поверх традиционных сетей электросвязи (ОТТ-сервисы), с постепенным переходом на предоставление таких услуг на базе </w:t>
      </w:r>
      <w:r w:rsidR="00A33526">
        <w:rPr>
          <w:rFonts w:ascii="Times New Roman" w:hAnsi="Times New Roman"/>
          <w:color w:val="000000"/>
          <w:sz w:val="28"/>
          <w:szCs w:val="28"/>
        </w:rPr>
        <w:t>«</w:t>
      </w:r>
      <w:r w:rsidRPr="00106AA9">
        <w:rPr>
          <w:rFonts w:ascii="Times New Roman" w:hAnsi="Times New Roman"/>
          <w:color w:val="000000"/>
          <w:sz w:val="28"/>
          <w:szCs w:val="28"/>
        </w:rPr>
        <w:t>облачных</w:t>
      </w:r>
      <w:r w:rsidR="00A33526">
        <w:rPr>
          <w:rFonts w:ascii="Times New Roman" w:hAnsi="Times New Roman"/>
          <w:color w:val="000000"/>
          <w:sz w:val="28"/>
          <w:szCs w:val="28"/>
        </w:rPr>
        <w:t>»</w:t>
      </w:r>
      <w:r w:rsidRPr="00106AA9">
        <w:rPr>
          <w:rFonts w:ascii="Times New Roman" w:hAnsi="Times New Roman"/>
          <w:color w:val="000000"/>
          <w:sz w:val="28"/>
          <w:szCs w:val="28"/>
        </w:rPr>
        <w:t xml:space="preserve"> платформ и технологий.</w:t>
      </w:r>
    </w:p>
    <w:p w:rsidR="00106AA9" w:rsidRPr="00106AA9" w:rsidRDefault="00106AA9" w:rsidP="00544A93">
      <w:pPr>
        <w:autoSpaceDE w:val="0"/>
        <w:autoSpaceDN w:val="0"/>
        <w:adjustRightInd w:val="0"/>
        <w:spacing w:after="0" w:line="315" w:lineRule="exact"/>
        <w:ind w:firstLine="709"/>
        <w:jc w:val="both"/>
        <w:rPr>
          <w:rFonts w:ascii="Times New Roman" w:hAnsi="Times New Roman"/>
          <w:color w:val="000000"/>
          <w:sz w:val="28"/>
          <w:szCs w:val="28"/>
        </w:rPr>
      </w:pPr>
      <w:r w:rsidRPr="00106AA9">
        <w:rPr>
          <w:rFonts w:ascii="Times New Roman" w:hAnsi="Times New Roman"/>
          <w:color w:val="000000"/>
          <w:sz w:val="28"/>
          <w:szCs w:val="28"/>
        </w:rPr>
        <w:t>Приоритетными направлениями национальной ИКИ являются:</w:t>
      </w:r>
    </w:p>
    <w:p w:rsidR="00106AA9" w:rsidRPr="00106AA9" w:rsidRDefault="00106AA9" w:rsidP="00544A93">
      <w:pPr>
        <w:autoSpaceDE w:val="0"/>
        <w:autoSpaceDN w:val="0"/>
        <w:adjustRightInd w:val="0"/>
        <w:spacing w:after="0" w:line="315" w:lineRule="exact"/>
        <w:ind w:firstLine="709"/>
        <w:jc w:val="both"/>
        <w:rPr>
          <w:rFonts w:ascii="Times New Roman" w:hAnsi="Times New Roman"/>
          <w:color w:val="000000"/>
          <w:sz w:val="28"/>
          <w:szCs w:val="28"/>
        </w:rPr>
      </w:pPr>
      <w:r w:rsidRPr="00106AA9">
        <w:rPr>
          <w:rFonts w:ascii="Times New Roman" w:hAnsi="Times New Roman"/>
          <w:color w:val="000000"/>
          <w:sz w:val="28"/>
          <w:szCs w:val="28"/>
        </w:rPr>
        <w:t>развитие стационарного широкополосного доступа с учетом применения современных технологий организации доступа, технологической основой которого являются развитие мультисервисных сетей электросвязи и строительство инфраструктуры с использованием волоконно-оптических линий связи. Это позволит увеличить качество предоставления услуг стационарного широкополосного доступа в Интернет, а также использовать ресурсы создаваемой инфраструктуры для предоставления потребителю как основных, так и дополнительных услуг электросвязи, в том числе услуг по автоматизации технологических процессов жизнеобеспечения;</w:t>
      </w:r>
    </w:p>
    <w:p w:rsidR="00106AA9" w:rsidRPr="00106AA9" w:rsidRDefault="00106AA9" w:rsidP="00544A93">
      <w:pPr>
        <w:autoSpaceDE w:val="0"/>
        <w:autoSpaceDN w:val="0"/>
        <w:adjustRightInd w:val="0"/>
        <w:spacing w:after="0" w:line="315" w:lineRule="exact"/>
        <w:ind w:firstLine="709"/>
        <w:jc w:val="both"/>
        <w:rPr>
          <w:rFonts w:ascii="Times New Roman" w:hAnsi="Times New Roman"/>
          <w:color w:val="000000"/>
          <w:sz w:val="28"/>
          <w:szCs w:val="28"/>
        </w:rPr>
      </w:pPr>
      <w:r w:rsidRPr="00106AA9">
        <w:rPr>
          <w:rFonts w:ascii="Times New Roman" w:hAnsi="Times New Roman"/>
          <w:color w:val="000000"/>
          <w:sz w:val="28"/>
          <w:szCs w:val="28"/>
        </w:rPr>
        <w:t>развитие беспроводного широкополосного доступа, технологической основой которого будет существующая сеть сотовой подвижной электросвязи доступа (3G), а также сеть сотовой подвижной электросвязи по технологии LTE (4G) и ресурсы национальной системы спутниковой связи и вещания;</w:t>
      </w:r>
    </w:p>
    <w:p w:rsidR="00106AA9" w:rsidRPr="00544A93" w:rsidRDefault="00106AA9" w:rsidP="00544A93">
      <w:pPr>
        <w:autoSpaceDE w:val="0"/>
        <w:autoSpaceDN w:val="0"/>
        <w:adjustRightInd w:val="0"/>
        <w:spacing w:after="0" w:line="315" w:lineRule="exact"/>
        <w:ind w:firstLine="709"/>
        <w:jc w:val="both"/>
        <w:rPr>
          <w:rFonts w:ascii="Times New Roman" w:hAnsi="Times New Roman"/>
          <w:color w:val="000000"/>
          <w:sz w:val="28"/>
          <w:szCs w:val="28"/>
        </w:rPr>
      </w:pPr>
      <w:r w:rsidRPr="00544A93">
        <w:rPr>
          <w:rFonts w:ascii="Times New Roman" w:hAnsi="Times New Roman"/>
          <w:color w:val="000000"/>
          <w:sz w:val="28"/>
          <w:szCs w:val="28"/>
        </w:rPr>
        <w:t>развитие цифрового телевизионного вещания с использованием различных технологий и способов доставки телевизионного сигнала до потребителя: наземное (эфирное) телевизионное вещание, кабельное телевидение, IP-телевидение, телевизионное вещание с использованием интернет-технологий и др</w:t>
      </w:r>
      <w:r w:rsidR="00BA70F4" w:rsidRPr="00544A93">
        <w:rPr>
          <w:rFonts w:ascii="Times New Roman" w:hAnsi="Times New Roman"/>
          <w:color w:val="000000"/>
          <w:sz w:val="28"/>
          <w:szCs w:val="28"/>
        </w:rPr>
        <w:t>.</w:t>
      </w:r>
      <w:r w:rsidRPr="00544A93">
        <w:rPr>
          <w:rFonts w:ascii="Times New Roman" w:hAnsi="Times New Roman"/>
          <w:color w:val="000000"/>
          <w:sz w:val="28"/>
          <w:szCs w:val="28"/>
        </w:rPr>
        <w:t>;</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 xml:space="preserve">развитие </w:t>
      </w:r>
      <w:r w:rsidR="00A33526">
        <w:rPr>
          <w:rFonts w:ascii="Times New Roman" w:hAnsi="Times New Roman"/>
          <w:color w:val="000000"/>
          <w:sz w:val="28"/>
          <w:szCs w:val="28"/>
        </w:rPr>
        <w:t>«</w:t>
      </w:r>
      <w:r w:rsidRPr="00106AA9">
        <w:rPr>
          <w:rFonts w:ascii="Times New Roman" w:hAnsi="Times New Roman"/>
          <w:color w:val="000000"/>
          <w:sz w:val="28"/>
          <w:szCs w:val="28"/>
        </w:rPr>
        <w:t>облачных</w:t>
      </w:r>
      <w:r w:rsidR="00A33526">
        <w:rPr>
          <w:rFonts w:ascii="Times New Roman" w:hAnsi="Times New Roman"/>
          <w:color w:val="000000"/>
          <w:sz w:val="28"/>
          <w:szCs w:val="28"/>
        </w:rPr>
        <w:t>»</w:t>
      </w:r>
      <w:r w:rsidRPr="00106AA9">
        <w:rPr>
          <w:rFonts w:ascii="Times New Roman" w:hAnsi="Times New Roman"/>
          <w:color w:val="000000"/>
          <w:sz w:val="28"/>
          <w:szCs w:val="28"/>
        </w:rPr>
        <w:t xml:space="preserve"> технологий, обеспечивающих по требованию пользователя доступ к необходимым информационным и вычислительным ресурсам</w:t>
      </w:r>
      <w:r w:rsidR="00BA70F4">
        <w:rPr>
          <w:rFonts w:ascii="Times New Roman" w:hAnsi="Times New Roman"/>
          <w:color w:val="000000"/>
          <w:sz w:val="28"/>
          <w:szCs w:val="28"/>
        </w:rPr>
        <w:t>,</w:t>
      </w:r>
      <w:r w:rsidRPr="00106AA9">
        <w:rPr>
          <w:rFonts w:ascii="Times New Roman" w:hAnsi="Times New Roman"/>
          <w:color w:val="000000"/>
          <w:sz w:val="28"/>
          <w:szCs w:val="28"/>
        </w:rPr>
        <w:t xml:space="preserve"> независимо от его географического положения.</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Задачи подпрограммы 1</w:t>
      </w:r>
      <w:r w:rsidR="00E915FE">
        <w:rPr>
          <w:rFonts w:ascii="Times New Roman" w:hAnsi="Times New Roman"/>
          <w:color w:val="000000"/>
          <w:sz w:val="28"/>
          <w:szCs w:val="28"/>
        </w:rPr>
        <w:t>:</w:t>
      </w:r>
      <w:r w:rsidR="00F9318B">
        <w:rPr>
          <w:rFonts w:ascii="Times New Roman" w:hAnsi="Times New Roman"/>
          <w:color w:val="000000"/>
          <w:sz w:val="28"/>
          <w:szCs w:val="28"/>
        </w:rPr>
        <w:t xml:space="preserve"> </w:t>
      </w:r>
      <w:r w:rsidRPr="00106AA9">
        <w:rPr>
          <w:rFonts w:ascii="Times New Roman" w:hAnsi="Times New Roman"/>
          <w:color w:val="000000"/>
          <w:sz w:val="28"/>
          <w:szCs w:val="28"/>
        </w:rPr>
        <w:t xml:space="preserve">дальнейшее развитие национальной ИКИ, развитие современных сервисов и услуг, предоставляемых на ее основе, с учетом целей развития ИКТ, определенных на будущий период МСЭ в Концепции </w:t>
      </w:r>
      <w:r w:rsidR="004D2C9E">
        <w:rPr>
          <w:rFonts w:ascii="Times New Roman" w:hAnsi="Times New Roman"/>
          <w:color w:val="000000"/>
          <w:sz w:val="28"/>
          <w:szCs w:val="28"/>
        </w:rPr>
        <w:t>«</w:t>
      </w:r>
      <w:r w:rsidRPr="00106AA9">
        <w:rPr>
          <w:rFonts w:ascii="Times New Roman" w:hAnsi="Times New Roman"/>
          <w:color w:val="000000"/>
          <w:sz w:val="28"/>
          <w:szCs w:val="28"/>
        </w:rPr>
        <w:t>Соединим к 2020 году</w:t>
      </w:r>
      <w:r w:rsidR="004D2C9E">
        <w:rPr>
          <w:rFonts w:ascii="Times New Roman" w:hAnsi="Times New Roman"/>
          <w:color w:val="000000"/>
          <w:sz w:val="28"/>
          <w:szCs w:val="28"/>
        </w:rPr>
        <w:t>»</w:t>
      </w:r>
      <w:r w:rsidRPr="00106AA9">
        <w:rPr>
          <w:rFonts w:ascii="Times New Roman" w:hAnsi="Times New Roman"/>
          <w:color w:val="000000"/>
          <w:sz w:val="28"/>
          <w:szCs w:val="28"/>
        </w:rPr>
        <w:t>, которая освещает роль ИКТ как одной из движущих сил социального, экономического и экологически устойчивого роста и развития (Резолюция 200, Пусан, 2014</w:t>
      </w:r>
      <w:r w:rsidR="00A33526">
        <w:rPr>
          <w:rFonts w:ascii="Times New Roman" w:hAnsi="Times New Roman"/>
          <w:color w:val="000000"/>
          <w:sz w:val="28"/>
          <w:szCs w:val="28"/>
        </w:rPr>
        <w:t xml:space="preserve"> год</w:t>
      </w:r>
      <w:r w:rsidRPr="00106AA9">
        <w:rPr>
          <w:rFonts w:ascii="Times New Roman" w:hAnsi="Times New Roman"/>
          <w:color w:val="000000"/>
          <w:sz w:val="28"/>
          <w:szCs w:val="28"/>
        </w:rPr>
        <w:t>).</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 xml:space="preserve">Реализация основных задач подпрограммы 1 </w:t>
      </w:r>
      <w:r w:rsidR="00E915FE">
        <w:rPr>
          <w:rFonts w:ascii="Times New Roman" w:hAnsi="Times New Roman"/>
          <w:color w:val="000000"/>
          <w:sz w:val="28"/>
          <w:szCs w:val="28"/>
        </w:rPr>
        <w:t>совпадает</w:t>
      </w:r>
      <w:r w:rsidRPr="00106AA9">
        <w:rPr>
          <w:rFonts w:ascii="Times New Roman" w:hAnsi="Times New Roman"/>
          <w:color w:val="000000"/>
          <w:sz w:val="28"/>
          <w:szCs w:val="28"/>
        </w:rPr>
        <w:t xml:space="preserve"> со стратегическими целями Концепции </w:t>
      </w:r>
      <w:r w:rsidR="004D2C9E">
        <w:rPr>
          <w:rFonts w:ascii="Times New Roman" w:hAnsi="Times New Roman"/>
          <w:color w:val="000000"/>
          <w:sz w:val="28"/>
          <w:szCs w:val="28"/>
        </w:rPr>
        <w:t>«</w:t>
      </w:r>
      <w:r w:rsidRPr="00106AA9">
        <w:rPr>
          <w:rFonts w:ascii="Times New Roman" w:hAnsi="Times New Roman"/>
          <w:color w:val="000000"/>
          <w:sz w:val="28"/>
          <w:szCs w:val="28"/>
        </w:rPr>
        <w:t>Соединим к 2020</w:t>
      </w:r>
      <w:r w:rsidR="00A33526">
        <w:rPr>
          <w:rFonts w:ascii="Times New Roman" w:hAnsi="Times New Roman"/>
          <w:color w:val="000000"/>
          <w:sz w:val="28"/>
          <w:szCs w:val="28"/>
        </w:rPr>
        <w:t xml:space="preserve"> году</w:t>
      </w:r>
      <w:r w:rsidR="004D2C9E">
        <w:rPr>
          <w:rFonts w:ascii="Times New Roman" w:hAnsi="Times New Roman"/>
          <w:color w:val="000000"/>
          <w:sz w:val="28"/>
          <w:szCs w:val="28"/>
        </w:rPr>
        <w:t>»</w:t>
      </w:r>
      <w:r w:rsidRPr="00106AA9">
        <w:rPr>
          <w:rFonts w:ascii="Times New Roman" w:hAnsi="Times New Roman"/>
          <w:color w:val="000000"/>
          <w:sz w:val="28"/>
          <w:szCs w:val="28"/>
        </w:rPr>
        <w:t>, а также определенными МСЭ соответствующими им ключевыми направлениями развития ИКТ до 2020 года.</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Инфраструктура информатизации в ближайшее пятилетие будет развиваться по следующим направлениям:</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развитие эффективной и прозрачной системы государственного управления посредством внедрения передовых ИКТ во все сферы человеческой жизнедеятельности;</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обеспечение прозрачности, безопасности и удобства коммуникаций между гражданами, бизнесом и государством путем повсеместного перевода этих коммуникаций в электронную форму;</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дальнейшее формирование единого информационного пространства для оказания электронных услуг на основе интеграции информационных систем и предоставления доступа к открытым данным;</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создание условий для использования электронных услуг, стимулирующих их востребованность;</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увеличение объема производства и безопасного потребления высокотехнологичных и наукоемких ИКТ товаров и услуг;</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научное обеспечение развития информатизации;</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обеспечение непрерывности, безотказности, безопасности информационных потоков.</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Задачи подпрограммы 2</w:t>
      </w:r>
      <w:r w:rsidR="00E915FE">
        <w:rPr>
          <w:rFonts w:ascii="Times New Roman" w:hAnsi="Times New Roman"/>
          <w:color w:val="000000"/>
          <w:sz w:val="28"/>
          <w:szCs w:val="28"/>
        </w:rPr>
        <w:t>:</w:t>
      </w:r>
      <w:r w:rsidR="00F9318B">
        <w:rPr>
          <w:rFonts w:ascii="Times New Roman" w:hAnsi="Times New Roman"/>
          <w:color w:val="000000"/>
          <w:sz w:val="28"/>
          <w:szCs w:val="28"/>
        </w:rPr>
        <w:t xml:space="preserve"> </w:t>
      </w:r>
      <w:r w:rsidRPr="00106AA9">
        <w:rPr>
          <w:rFonts w:ascii="Times New Roman" w:hAnsi="Times New Roman"/>
          <w:color w:val="000000"/>
          <w:sz w:val="28"/>
          <w:szCs w:val="28"/>
        </w:rPr>
        <w:t>внедрение технологий электронного правительства и развитие инфраструктуры информатизации.</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В соответствии со Стратегией развития информационного общества в Республике Беларусь на период до 2015 года создание цифровой экономики способствует развитию конкурентоспособности национальной экономики, производств</w:t>
      </w:r>
      <w:r w:rsidR="00A33526">
        <w:rPr>
          <w:rFonts w:ascii="Times New Roman" w:hAnsi="Times New Roman"/>
          <w:color w:val="000000"/>
          <w:sz w:val="28"/>
          <w:szCs w:val="28"/>
        </w:rPr>
        <w:t>у</w:t>
      </w:r>
      <w:r w:rsidRPr="00106AA9">
        <w:rPr>
          <w:rFonts w:ascii="Times New Roman" w:hAnsi="Times New Roman"/>
          <w:color w:val="000000"/>
          <w:sz w:val="28"/>
          <w:szCs w:val="28"/>
        </w:rPr>
        <w:t xml:space="preserve"> товаров и услуг с высокой добавленной стоимостью. В основе формирования цифровой экономики лежит надежное и безопасное взаимодействие при осуществлении коммерческих транзакций всех участников хозяйственной деятельности.</w:t>
      </w:r>
    </w:p>
    <w:p w:rsidR="00F7177D"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Задач</w:t>
      </w:r>
      <w:r w:rsidR="00A00346">
        <w:rPr>
          <w:rFonts w:ascii="Times New Roman" w:hAnsi="Times New Roman"/>
          <w:color w:val="000000"/>
          <w:sz w:val="28"/>
          <w:szCs w:val="28"/>
        </w:rPr>
        <w:t>ей</w:t>
      </w:r>
      <w:r w:rsidRPr="00106AA9">
        <w:rPr>
          <w:rFonts w:ascii="Times New Roman" w:hAnsi="Times New Roman"/>
          <w:color w:val="000000"/>
          <w:sz w:val="28"/>
          <w:szCs w:val="28"/>
        </w:rPr>
        <w:t xml:space="preserve"> формирования в Республике Беларусь цифровой экономики явля</w:t>
      </w:r>
      <w:r w:rsidR="00A00346">
        <w:rPr>
          <w:rFonts w:ascii="Times New Roman" w:hAnsi="Times New Roman"/>
          <w:color w:val="000000"/>
          <w:sz w:val="28"/>
          <w:szCs w:val="28"/>
        </w:rPr>
        <w:t xml:space="preserve">ется </w:t>
      </w:r>
      <w:r w:rsidRPr="00106AA9">
        <w:rPr>
          <w:rFonts w:ascii="Times New Roman" w:hAnsi="Times New Roman"/>
          <w:color w:val="000000"/>
          <w:sz w:val="28"/>
          <w:szCs w:val="28"/>
        </w:rPr>
        <w:t>развитие</w:t>
      </w:r>
      <w:r w:rsidR="00A00346">
        <w:rPr>
          <w:rFonts w:ascii="Times New Roman" w:hAnsi="Times New Roman"/>
          <w:color w:val="000000"/>
          <w:sz w:val="28"/>
          <w:szCs w:val="28"/>
        </w:rPr>
        <w:t>:</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электронной торговли в части электронных государственных закупок, упрощение торговых и транспортных процедур;</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единого расчетного и информационного пространства для оплаты услуг через банки, небанковские кредитно-финансовые организации, организации почтовой и электрической связи;</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человеческого капитала;</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электронного здравоохранения;</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электронного образования;</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электронной занятости и социальной защиты населения.</w:t>
      </w:r>
    </w:p>
    <w:p w:rsidR="00106AA9" w:rsidRPr="00106AA9" w:rsidRDefault="00106AA9" w:rsidP="006B6DA1">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В целях повышения уровня информатизации в сфере здравоохранения разработаны автоматизированная республиканская телемедицинская система унифицированного медицинского консультирования, персонифицированная информационно-аналитическая система учета медицинских и фармацевтических кадров Республики Беларусь, информационно-аналитическая система республиканского эпидемиологического регистра пациентов с гематологическими заболеваниями для мониторинга и анализа уровня медицинской помощи населению, информационно-аналитическая система по планированию и контролю централизованных конкурсных закупок лекарственных средств для организаций здравоохранения Республики Беларусь, создана технология полномасштабного учета случаев травматизма в Республике Беларусь, разработана республиканская информационно-аналитическая система по медэкспертизе и реабилитации инвалидов.</w:t>
      </w:r>
    </w:p>
    <w:p w:rsidR="00106AA9" w:rsidRPr="006B6DA1"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6B6DA1">
        <w:rPr>
          <w:rFonts w:ascii="Times New Roman" w:hAnsi="Times New Roman"/>
          <w:color w:val="000000"/>
          <w:sz w:val="28"/>
          <w:szCs w:val="28"/>
        </w:rPr>
        <w:t>Для создания условий, способствующих повышению качества и эффективности информационных отношений населения и государства по направлениям занятости и социальной защиты населения, обеспечена работа инфолинии по вопросам Министерства труда и социальной защиты</w:t>
      </w:r>
      <w:r w:rsidR="00F7177D">
        <w:rPr>
          <w:rFonts w:ascii="Times New Roman" w:hAnsi="Times New Roman"/>
          <w:color w:val="000000"/>
          <w:sz w:val="28"/>
          <w:szCs w:val="28"/>
        </w:rPr>
        <w:t>,</w:t>
      </w:r>
      <w:r w:rsidRPr="006B6DA1">
        <w:rPr>
          <w:rFonts w:ascii="Times New Roman" w:hAnsi="Times New Roman"/>
          <w:color w:val="000000"/>
          <w:sz w:val="28"/>
          <w:szCs w:val="28"/>
        </w:rPr>
        <w:t xml:space="preserve"> с использованием портальных решений создана электронная служба занятости, разработана и внедрена автоматизированная информационная система Фонда социальной защиты населения по оказанию электронных услуг в сфере профессионального пенсионного страхования и индивидуального (персонифицированного) учета.</w:t>
      </w:r>
    </w:p>
    <w:p w:rsidR="00106AA9" w:rsidRDefault="00A00346"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00106AA9" w:rsidRPr="00106AA9">
        <w:rPr>
          <w:rFonts w:ascii="Times New Roman" w:hAnsi="Times New Roman"/>
          <w:color w:val="000000"/>
          <w:sz w:val="28"/>
          <w:szCs w:val="28"/>
        </w:rPr>
        <w:t xml:space="preserve"> цел</w:t>
      </w:r>
      <w:r>
        <w:rPr>
          <w:rFonts w:ascii="Times New Roman" w:hAnsi="Times New Roman"/>
          <w:color w:val="000000"/>
          <w:sz w:val="28"/>
          <w:szCs w:val="28"/>
        </w:rPr>
        <w:t>ью</w:t>
      </w:r>
      <w:r w:rsidR="00106AA9" w:rsidRPr="00106AA9">
        <w:rPr>
          <w:rFonts w:ascii="Times New Roman" w:hAnsi="Times New Roman"/>
          <w:color w:val="000000"/>
          <w:sz w:val="28"/>
          <w:szCs w:val="28"/>
        </w:rPr>
        <w:t xml:space="preserve"> формирования условий, содействующих развитию информационного общества на основе развития человеческого капитала и широкого внедрения элементов электронного обучения, разработан</w:t>
      </w:r>
      <w:r>
        <w:rPr>
          <w:rFonts w:ascii="Times New Roman" w:hAnsi="Times New Roman"/>
          <w:color w:val="000000"/>
          <w:sz w:val="28"/>
          <w:szCs w:val="28"/>
        </w:rPr>
        <w:t>ы</w:t>
      </w:r>
      <w:r w:rsidR="00106AA9" w:rsidRPr="00106AA9">
        <w:rPr>
          <w:rFonts w:ascii="Times New Roman" w:hAnsi="Times New Roman"/>
          <w:color w:val="000000"/>
          <w:sz w:val="28"/>
          <w:szCs w:val="28"/>
        </w:rPr>
        <w:t xml:space="preserve"> ряд новых образовательных стандартов, планов и программ подготовки специалистов в области ИКТ, созданы информационная система электронного зачисления в учреждения высшего образования, информационные сервисы для обеспечения взаимодействия учреждений образования, органов управления и населения, а также комплекс мер по защите информации в отраслевых информационных системах Министерства образования.</w:t>
      </w:r>
    </w:p>
    <w:p w:rsidR="00106AA9" w:rsidRPr="00106AA9"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 xml:space="preserve">Об успехах в сфере электронной торговли наглядно свидетельствует тот факт, что практически </w:t>
      </w:r>
      <w:r w:rsidR="00F7177D">
        <w:rPr>
          <w:rFonts w:ascii="Times New Roman" w:hAnsi="Times New Roman"/>
          <w:color w:val="000000"/>
          <w:sz w:val="28"/>
          <w:szCs w:val="28"/>
        </w:rPr>
        <w:t xml:space="preserve">все </w:t>
      </w:r>
      <w:r w:rsidRPr="00106AA9">
        <w:rPr>
          <w:rFonts w:ascii="Times New Roman" w:hAnsi="Times New Roman"/>
          <w:color w:val="000000"/>
          <w:sz w:val="28"/>
          <w:szCs w:val="28"/>
        </w:rPr>
        <w:t>конкурентны</w:t>
      </w:r>
      <w:r w:rsidR="00274B6E">
        <w:rPr>
          <w:rFonts w:ascii="Times New Roman" w:hAnsi="Times New Roman"/>
          <w:color w:val="000000"/>
          <w:sz w:val="28"/>
          <w:szCs w:val="28"/>
        </w:rPr>
        <w:t>е</w:t>
      </w:r>
      <w:r w:rsidRPr="00106AA9">
        <w:rPr>
          <w:rFonts w:ascii="Times New Roman" w:hAnsi="Times New Roman"/>
          <w:color w:val="000000"/>
          <w:sz w:val="28"/>
          <w:szCs w:val="28"/>
        </w:rPr>
        <w:t xml:space="preserve"> процедур</w:t>
      </w:r>
      <w:r w:rsidR="00274B6E">
        <w:rPr>
          <w:rFonts w:ascii="Times New Roman" w:hAnsi="Times New Roman"/>
          <w:color w:val="000000"/>
          <w:sz w:val="28"/>
          <w:szCs w:val="28"/>
        </w:rPr>
        <w:t>ы</w:t>
      </w:r>
      <w:r w:rsidRPr="00106AA9">
        <w:rPr>
          <w:rFonts w:ascii="Times New Roman" w:hAnsi="Times New Roman"/>
          <w:color w:val="000000"/>
          <w:sz w:val="28"/>
          <w:szCs w:val="28"/>
        </w:rPr>
        <w:t xml:space="preserve"> государственных закупок проводятся заказчиками (организаторами) только на электронной торговой площадке.</w:t>
      </w:r>
    </w:p>
    <w:p w:rsidR="0068434D" w:rsidRDefault="00106AA9" w:rsidP="004D2C9E">
      <w:pPr>
        <w:autoSpaceDE w:val="0"/>
        <w:autoSpaceDN w:val="0"/>
        <w:adjustRightInd w:val="0"/>
        <w:spacing w:after="0" w:line="240" w:lineRule="auto"/>
        <w:ind w:firstLine="709"/>
        <w:jc w:val="both"/>
        <w:rPr>
          <w:rFonts w:ascii="Times New Roman" w:hAnsi="Times New Roman"/>
          <w:color w:val="000000"/>
          <w:sz w:val="28"/>
          <w:szCs w:val="28"/>
        </w:rPr>
      </w:pPr>
      <w:r w:rsidRPr="00106AA9">
        <w:rPr>
          <w:rFonts w:ascii="Times New Roman" w:hAnsi="Times New Roman"/>
          <w:color w:val="000000"/>
          <w:sz w:val="28"/>
          <w:szCs w:val="28"/>
        </w:rPr>
        <w:t>Значительное количество прикладных проектов информатизации, направленных на повышение эффективности хозяйственной деятельности реального сектора экономики, реализуется в рамках 52 отраслевых и региональных программ информатизации, разработанных государственными органами и организациями в соответствии с Указом Президента Республики Беларусь от 2 декабря 2013 г</w:t>
      </w:r>
      <w:r w:rsidR="0029040B">
        <w:rPr>
          <w:rFonts w:ascii="Times New Roman" w:hAnsi="Times New Roman"/>
          <w:color w:val="000000"/>
          <w:sz w:val="28"/>
          <w:szCs w:val="28"/>
        </w:rPr>
        <w:t>ода</w:t>
      </w:r>
      <w:r w:rsidRPr="00106AA9">
        <w:rPr>
          <w:rFonts w:ascii="Times New Roman" w:hAnsi="Times New Roman"/>
          <w:color w:val="000000"/>
          <w:sz w:val="28"/>
          <w:szCs w:val="28"/>
        </w:rPr>
        <w:t xml:space="preserve"> </w:t>
      </w:r>
      <w:r w:rsidR="00E720B2">
        <w:rPr>
          <w:rFonts w:ascii="Times New Roman" w:hAnsi="Times New Roman"/>
          <w:color w:val="000000"/>
          <w:sz w:val="28"/>
          <w:szCs w:val="28"/>
        </w:rPr>
        <w:t>№ </w:t>
      </w:r>
      <w:r w:rsidRPr="00106AA9">
        <w:rPr>
          <w:rFonts w:ascii="Times New Roman" w:hAnsi="Times New Roman"/>
          <w:color w:val="000000"/>
          <w:sz w:val="28"/>
          <w:szCs w:val="28"/>
        </w:rPr>
        <w:t xml:space="preserve">531 </w:t>
      </w:r>
      <w:r w:rsidR="004D2C9E">
        <w:rPr>
          <w:rFonts w:ascii="Times New Roman" w:hAnsi="Times New Roman"/>
          <w:color w:val="000000"/>
          <w:sz w:val="28"/>
          <w:szCs w:val="28"/>
        </w:rPr>
        <w:t>«</w:t>
      </w:r>
      <w:r w:rsidRPr="00106AA9">
        <w:rPr>
          <w:rFonts w:ascii="Times New Roman" w:hAnsi="Times New Roman"/>
          <w:color w:val="000000"/>
          <w:sz w:val="28"/>
          <w:szCs w:val="28"/>
        </w:rPr>
        <w:t>О некоторых вопросах информатизации</w:t>
      </w:r>
      <w:r w:rsidR="004D2C9E">
        <w:rPr>
          <w:rFonts w:ascii="Times New Roman" w:hAnsi="Times New Roman"/>
          <w:color w:val="000000"/>
          <w:sz w:val="28"/>
          <w:szCs w:val="28"/>
        </w:rPr>
        <w:t>»</w:t>
      </w:r>
      <w:r w:rsidRPr="00106AA9">
        <w:rPr>
          <w:rFonts w:ascii="Times New Roman" w:hAnsi="Times New Roman"/>
          <w:color w:val="000000"/>
          <w:sz w:val="28"/>
          <w:szCs w:val="28"/>
        </w:rPr>
        <w:t>.</w:t>
      </w:r>
    </w:p>
    <w:p w:rsidR="0068434D" w:rsidRPr="000D0867" w:rsidRDefault="0068434D" w:rsidP="004D2C9E">
      <w:pPr>
        <w:pStyle w:val="4"/>
      </w:pPr>
      <w:r w:rsidRPr="000D0867">
        <w:t>Республика Казахстан</w:t>
      </w:r>
    </w:p>
    <w:p w:rsidR="0068434D" w:rsidRPr="00281102" w:rsidRDefault="0068434D" w:rsidP="00E9454A">
      <w:pPr>
        <w:pStyle w:val="22"/>
        <w:keepLines/>
      </w:pPr>
      <w:r w:rsidRPr="00281102">
        <w:t>В Послании Президента Республики Казахстан Н.Назарбаева народу Казахстана от 31 января 2017 г</w:t>
      </w:r>
      <w:r w:rsidR="0029040B">
        <w:t>ода</w:t>
      </w:r>
      <w:r w:rsidRPr="00281102">
        <w:t xml:space="preserve"> </w:t>
      </w:r>
      <w:r w:rsidR="004D2C9E">
        <w:t>«</w:t>
      </w:r>
      <w:r w:rsidRPr="00281102">
        <w:t>Третья модернизация Казахстана: глобальная конкурентоспособность</w:t>
      </w:r>
      <w:r w:rsidR="004D2C9E">
        <w:t>»</w:t>
      </w:r>
      <w:r w:rsidRPr="00281102">
        <w:t xml:space="preserve"> был</w:t>
      </w:r>
      <w:r w:rsidR="009F64F6">
        <w:t>и</w:t>
      </w:r>
      <w:r w:rsidRPr="00281102">
        <w:t xml:space="preserve"> отмечен</w:t>
      </w:r>
      <w:r w:rsidR="009F64F6">
        <w:t>ы</w:t>
      </w:r>
      <w:r w:rsidRPr="00281102">
        <w:t xml:space="preserve"> необходимость культивирования нов</w:t>
      </w:r>
      <w:r w:rsidR="009F64F6">
        <w:t>ой</w:t>
      </w:r>
      <w:r w:rsidRPr="00281102">
        <w:t xml:space="preserve"> индустри</w:t>
      </w:r>
      <w:r w:rsidR="009F64F6">
        <w:t>и</w:t>
      </w:r>
      <w:r w:rsidRPr="00281102">
        <w:t>, котор</w:t>
      </w:r>
      <w:r w:rsidR="009F64F6">
        <w:t>ая</w:t>
      </w:r>
      <w:r w:rsidRPr="00281102">
        <w:t xml:space="preserve"> созда</w:t>
      </w:r>
      <w:r w:rsidR="009F64F6">
        <w:t>е</w:t>
      </w:r>
      <w:r w:rsidRPr="00281102">
        <w:t>тся с применением цифровых технологий, а также важность этой комплексной задачи.</w:t>
      </w:r>
    </w:p>
    <w:p w:rsidR="0068434D" w:rsidRPr="00281102"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281102">
        <w:rPr>
          <w:rFonts w:ascii="Times New Roman" w:hAnsi="Times New Roman"/>
          <w:color w:val="000000"/>
          <w:sz w:val="28"/>
          <w:szCs w:val="28"/>
        </w:rPr>
        <w:t xml:space="preserve">В целях реализации данного поручения постановлением Правительства Республики Казахстан от 12 декабря 2017 года </w:t>
      </w:r>
      <w:r w:rsidR="00E720B2">
        <w:rPr>
          <w:rFonts w:ascii="Times New Roman" w:hAnsi="Times New Roman"/>
          <w:color w:val="000000"/>
          <w:sz w:val="28"/>
          <w:szCs w:val="28"/>
        </w:rPr>
        <w:t>№ </w:t>
      </w:r>
      <w:r w:rsidRPr="00281102">
        <w:rPr>
          <w:rFonts w:ascii="Times New Roman" w:hAnsi="Times New Roman"/>
          <w:color w:val="000000"/>
          <w:sz w:val="28"/>
          <w:szCs w:val="28"/>
        </w:rPr>
        <w:t xml:space="preserve">827 была утверждена Государственная программа </w:t>
      </w:r>
      <w:r w:rsidR="004D2C9E">
        <w:rPr>
          <w:rFonts w:ascii="Times New Roman" w:hAnsi="Times New Roman"/>
          <w:color w:val="000000"/>
          <w:sz w:val="28"/>
          <w:szCs w:val="28"/>
        </w:rPr>
        <w:t>«</w:t>
      </w:r>
      <w:r w:rsidRPr="00281102">
        <w:rPr>
          <w:rFonts w:ascii="Times New Roman" w:hAnsi="Times New Roman"/>
          <w:color w:val="000000"/>
          <w:sz w:val="28"/>
          <w:szCs w:val="28"/>
        </w:rPr>
        <w:t>Цифровой Казахстан</w:t>
      </w:r>
      <w:r w:rsidR="004D2C9E">
        <w:rPr>
          <w:rFonts w:ascii="Times New Roman" w:hAnsi="Times New Roman"/>
          <w:color w:val="000000"/>
          <w:sz w:val="28"/>
          <w:szCs w:val="28"/>
        </w:rPr>
        <w:t>»</w:t>
      </w:r>
      <w:r w:rsidRPr="00281102">
        <w:rPr>
          <w:rFonts w:ascii="Times New Roman" w:hAnsi="Times New Roman"/>
          <w:color w:val="000000"/>
          <w:sz w:val="28"/>
          <w:szCs w:val="28"/>
        </w:rPr>
        <w:t xml:space="preserve"> (далее</w:t>
      </w:r>
      <w:r w:rsidR="00F9318B">
        <w:rPr>
          <w:rFonts w:ascii="Times New Roman" w:hAnsi="Times New Roman"/>
          <w:color w:val="000000"/>
          <w:sz w:val="28"/>
          <w:szCs w:val="28"/>
        </w:rPr>
        <w:t xml:space="preserve"> – </w:t>
      </w:r>
      <w:r w:rsidRPr="00281102">
        <w:rPr>
          <w:rFonts w:ascii="Times New Roman" w:hAnsi="Times New Roman"/>
          <w:color w:val="000000"/>
          <w:sz w:val="28"/>
          <w:szCs w:val="28"/>
        </w:rPr>
        <w:t>Программа)</w:t>
      </w:r>
      <w:r w:rsidR="00E915FE">
        <w:rPr>
          <w:rFonts w:ascii="Times New Roman" w:hAnsi="Times New Roman"/>
          <w:color w:val="000000"/>
          <w:sz w:val="28"/>
          <w:szCs w:val="28"/>
        </w:rPr>
        <w:t>, о</w:t>
      </w:r>
      <w:r w:rsidRPr="00281102">
        <w:rPr>
          <w:rFonts w:ascii="Times New Roman" w:hAnsi="Times New Roman"/>
          <w:color w:val="000000"/>
          <w:sz w:val="28"/>
          <w:szCs w:val="28"/>
        </w:rPr>
        <w:t xml:space="preserve">сновной целью </w:t>
      </w:r>
      <w:r w:rsidR="00E915FE">
        <w:rPr>
          <w:rFonts w:ascii="Times New Roman" w:hAnsi="Times New Roman"/>
          <w:color w:val="000000"/>
          <w:sz w:val="28"/>
          <w:szCs w:val="28"/>
        </w:rPr>
        <w:t>которой</w:t>
      </w:r>
      <w:r w:rsidRPr="00281102">
        <w:rPr>
          <w:rFonts w:ascii="Times New Roman" w:hAnsi="Times New Roman"/>
          <w:color w:val="000000"/>
          <w:sz w:val="28"/>
          <w:szCs w:val="28"/>
        </w:rPr>
        <w:t xml:space="preserve"> определено ускорение темпов развития экономики республики</w:t>
      </w:r>
      <w:r w:rsidR="009F64F6">
        <w:rPr>
          <w:rFonts w:ascii="Times New Roman" w:hAnsi="Times New Roman"/>
          <w:color w:val="000000"/>
          <w:sz w:val="28"/>
          <w:szCs w:val="28"/>
        </w:rPr>
        <w:t>,</w:t>
      </w:r>
      <w:r w:rsidRPr="00281102">
        <w:rPr>
          <w:rFonts w:ascii="Times New Roman" w:hAnsi="Times New Roman"/>
          <w:color w:val="000000"/>
          <w:sz w:val="28"/>
          <w:szCs w:val="28"/>
        </w:rPr>
        <w:t xml:space="preserve">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будущего в долгосрочной перспективе</w:t>
      </w:r>
      <w:r w:rsidR="009F64F6">
        <w:rPr>
          <w:rFonts w:ascii="Times New Roman" w:hAnsi="Times New Roman"/>
          <w:color w:val="000000"/>
          <w:sz w:val="28"/>
          <w:szCs w:val="28"/>
        </w:rPr>
        <w:t>.</w:t>
      </w:r>
    </w:p>
    <w:p w:rsidR="0068434D" w:rsidRPr="00281102"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281102">
        <w:rPr>
          <w:rFonts w:ascii="Times New Roman" w:hAnsi="Times New Roman"/>
          <w:color w:val="000000"/>
          <w:sz w:val="28"/>
          <w:szCs w:val="28"/>
        </w:rPr>
        <w:t>Достижение данной цели подразумевает движение по двум векторам развития:</w:t>
      </w:r>
    </w:p>
    <w:p w:rsidR="0068434D" w:rsidRPr="00281102" w:rsidRDefault="006B6DA1"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w:t>
      </w:r>
      <w:r w:rsidR="004D2C9E">
        <w:rPr>
          <w:rFonts w:ascii="Times New Roman" w:hAnsi="Times New Roman"/>
          <w:color w:val="000000"/>
          <w:sz w:val="28"/>
          <w:szCs w:val="28"/>
        </w:rPr>
        <w:t>«</w:t>
      </w:r>
      <w:r w:rsidR="009F64F6">
        <w:rPr>
          <w:rFonts w:ascii="Times New Roman" w:hAnsi="Times New Roman"/>
          <w:color w:val="000000"/>
          <w:sz w:val="28"/>
          <w:szCs w:val="28"/>
        </w:rPr>
        <w:t>ц</w:t>
      </w:r>
      <w:r w:rsidR="0068434D" w:rsidRPr="00281102">
        <w:rPr>
          <w:rFonts w:ascii="Times New Roman" w:hAnsi="Times New Roman"/>
          <w:color w:val="000000"/>
          <w:sz w:val="28"/>
          <w:szCs w:val="28"/>
        </w:rPr>
        <w:t>ифровизация существующей экономики</w:t>
      </w:r>
      <w:r w:rsidR="004D2C9E">
        <w:rPr>
          <w:rFonts w:ascii="Times New Roman" w:hAnsi="Times New Roman"/>
          <w:color w:val="000000"/>
          <w:sz w:val="28"/>
          <w:szCs w:val="28"/>
        </w:rPr>
        <w:t>»</w:t>
      </w:r>
      <w:r w:rsidR="00527900" w:rsidRPr="00527900">
        <w:t xml:space="preserve"> </w:t>
      </w:r>
      <w:r w:rsidR="00527900" w:rsidRPr="00527900">
        <w:rPr>
          <w:rFonts w:ascii="Times New Roman" w:hAnsi="Times New Roman"/>
          <w:color w:val="000000"/>
          <w:sz w:val="28"/>
          <w:szCs w:val="28"/>
        </w:rPr>
        <w:t>–</w:t>
      </w:r>
      <w:r w:rsidR="0068434D" w:rsidRPr="00281102">
        <w:rPr>
          <w:rFonts w:ascii="Times New Roman" w:hAnsi="Times New Roman"/>
          <w:color w:val="000000"/>
          <w:sz w:val="28"/>
          <w:szCs w:val="28"/>
        </w:rPr>
        <w:t xml:space="preserve"> обеспечение прагматичного старта, состоящего из конкретных проектов в реальном секторе, запуск проектов по цифровизации и технологическому перевооружению существующих отраслей экономики, госструктур и развитие цифровой инфраструктуры;</w:t>
      </w:r>
    </w:p>
    <w:p w:rsidR="0068434D" w:rsidRPr="00281102" w:rsidRDefault="006B6DA1"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w:t>
      </w:r>
      <w:r w:rsidR="004D2C9E">
        <w:rPr>
          <w:rFonts w:ascii="Times New Roman" w:hAnsi="Times New Roman"/>
          <w:color w:val="000000"/>
          <w:sz w:val="28"/>
          <w:szCs w:val="28"/>
        </w:rPr>
        <w:t>«</w:t>
      </w:r>
      <w:r w:rsidR="009F64F6">
        <w:rPr>
          <w:rFonts w:ascii="Times New Roman" w:hAnsi="Times New Roman"/>
          <w:color w:val="000000"/>
          <w:sz w:val="28"/>
          <w:szCs w:val="28"/>
        </w:rPr>
        <w:t>с</w:t>
      </w:r>
      <w:r w:rsidR="0068434D" w:rsidRPr="00281102">
        <w:rPr>
          <w:rFonts w:ascii="Times New Roman" w:hAnsi="Times New Roman"/>
          <w:color w:val="000000"/>
          <w:sz w:val="28"/>
          <w:szCs w:val="28"/>
        </w:rPr>
        <w:t>оздание цифровой индустрии будущего</w:t>
      </w:r>
      <w:r w:rsidR="004D2C9E">
        <w:rPr>
          <w:rFonts w:ascii="Times New Roman" w:hAnsi="Times New Roman"/>
          <w:color w:val="000000"/>
          <w:sz w:val="28"/>
          <w:szCs w:val="28"/>
        </w:rPr>
        <w:t>»</w:t>
      </w:r>
      <w:r w:rsidR="0068434D" w:rsidRPr="00281102">
        <w:rPr>
          <w:rFonts w:ascii="Times New Roman" w:hAnsi="Times New Roman"/>
          <w:color w:val="000000"/>
          <w:sz w:val="28"/>
          <w:szCs w:val="28"/>
        </w:rPr>
        <w:t xml:space="preserve"> </w:t>
      </w:r>
      <w:r w:rsidR="00527900" w:rsidRPr="00527900">
        <w:rPr>
          <w:rFonts w:ascii="Times New Roman" w:hAnsi="Times New Roman"/>
          <w:color w:val="000000"/>
          <w:sz w:val="28"/>
          <w:szCs w:val="28"/>
        </w:rPr>
        <w:t>–</w:t>
      </w:r>
      <w:r w:rsidR="0068434D" w:rsidRPr="00281102">
        <w:rPr>
          <w:rFonts w:ascii="Times New Roman" w:hAnsi="Times New Roman"/>
          <w:color w:val="000000"/>
          <w:sz w:val="28"/>
          <w:szCs w:val="28"/>
        </w:rPr>
        <w:t xml:space="preserve"> обеспечение долгосрочной устойчивости, запуск цифровой трансформации страны за счет повышения уровня развития человеческого капитала, построения инстит</w:t>
      </w:r>
      <w:r w:rsidR="009F64F6">
        <w:rPr>
          <w:rFonts w:ascii="Times New Roman" w:hAnsi="Times New Roman"/>
          <w:color w:val="000000"/>
          <w:sz w:val="28"/>
          <w:szCs w:val="28"/>
        </w:rPr>
        <w:t xml:space="preserve">утов инновационного развития и </w:t>
      </w:r>
      <w:r w:rsidR="0068434D" w:rsidRPr="00281102">
        <w:rPr>
          <w:rFonts w:ascii="Times New Roman" w:hAnsi="Times New Roman"/>
          <w:color w:val="000000"/>
          <w:sz w:val="28"/>
          <w:szCs w:val="28"/>
        </w:rPr>
        <w:t>прогрессивного развития цифровой экосистемы.</w:t>
      </w:r>
    </w:p>
    <w:p w:rsidR="0068434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281102">
        <w:rPr>
          <w:rFonts w:ascii="Times New Roman" w:hAnsi="Times New Roman"/>
          <w:color w:val="000000"/>
          <w:sz w:val="28"/>
          <w:szCs w:val="28"/>
        </w:rPr>
        <w:t>Программа, которая будет реализована в период 2018</w:t>
      </w:r>
      <w:r w:rsidR="00F9318B">
        <w:rPr>
          <w:rFonts w:ascii="Times New Roman" w:hAnsi="Times New Roman"/>
          <w:color w:val="000000"/>
          <w:sz w:val="28"/>
          <w:szCs w:val="28"/>
        </w:rPr>
        <w:t>–</w:t>
      </w:r>
      <w:r w:rsidRPr="00281102">
        <w:rPr>
          <w:rFonts w:ascii="Times New Roman" w:hAnsi="Times New Roman"/>
          <w:color w:val="000000"/>
          <w:sz w:val="28"/>
          <w:szCs w:val="28"/>
        </w:rPr>
        <w:t>2022 год</w:t>
      </w:r>
      <w:r w:rsidR="009F64F6">
        <w:rPr>
          <w:rFonts w:ascii="Times New Roman" w:hAnsi="Times New Roman"/>
          <w:color w:val="000000"/>
          <w:sz w:val="28"/>
          <w:szCs w:val="28"/>
        </w:rPr>
        <w:t>ов</w:t>
      </w:r>
      <w:r w:rsidRPr="00281102">
        <w:rPr>
          <w:rFonts w:ascii="Times New Roman" w:hAnsi="Times New Roman"/>
          <w:color w:val="000000"/>
          <w:sz w:val="28"/>
          <w:szCs w:val="28"/>
        </w:rPr>
        <w:t>, обеспечит дополнительный импульс для технологической модернизации флагманских отраслей страны и сформирует условия для масштабного и долгосрочного роста производительности труда.</w:t>
      </w:r>
    </w:p>
    <w:p w:rsidR="0068434D" w:rsidRPr="00281102" w:rsidRDefault="004B1913"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0068434D" w:rsidRPr="00281102">
        <w:rPr>
          <w:rFonts w:ascii="Times New Roman" w:hAnsi="Times New Roman"/>
          <w:color w:val="000000"/>
          <w:sz w:val="28"/>
          <w:szCs w:val="28"/>
        </w:rPr>
        <w:t>сновны</w:t>
      </w:r>
      <w:r>
        <w:rPr>
          <w:rFonts w:ascii="Times New Roman" w:hAnsi="Times New Roman"/>
          <w:color w:val="000000"/>
          <w:sz w:val="28"/>
          <w:szCs w:val="28"/>
        </w:rPr>
        <w:t>е</w:t>
      </w:r>
      <w:r w:rsidR="0068434D" w:rsidRPr="00281102">
        <w:rPr>
          <w:rFonts w:ascii="Times New Roman" w:hAnsi="Times New Roman"/>
          <w:color w:val="000000"/>
          <w:sz w:val="28"/>
          <w:szCs w:val="28"/>
        </w:rPr>
        <w:t xml:space="preserve"> направлени</w:t>
      </w:r>
      <w:r>
        <w:rPr>
          <w:rFonts w:ascii="Times New Roman" w:hAnsi="Times New Roman"/>
          <w:color w:val="000000"/>
          <w:sz w:val="28"/>
          <w:szCs w:val="28"/>
        </w:rPr>
        <w:t>я</w:t>
      </w:r>
      <w:r w:rsidR="0068434D" w:rsidRPr="00281102">
        <w:rPr>
          <w:rFonts w:ascii="Times New Roman" w:hAnsi="Times New Roman"/>
          <w:color w:val="000000"/>
          <w:sz w:val="28"/>
          <w:szCs w:val="28"/>
        </w:rPr>
        <w:t xml:space="preserve"> реализации Программы:</w:t>
      </w:r>
    </w:p>
    <w:p w:rsidR="0068434D" w:rsidRPr="00281102" w:rsidRDefault="006B6DA1"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w:t>
      </w:r>
      <w:r w:rsidR="004D2C9E">
        <w:rPr>
          <w:rFonts w:ascii="Times New Roman" w:hAnsi="Times New Roman"/>
          <w:color w:val="000000"/>
          <w:sz w:val="28"/>
          <w:szCs w:val="28"/>
        </w:rPr>
        <w:t>«</w:t>
      </w:r>
      <w:r w:rsidR="00A01426">
        <w:rPr>
          <w:rFonts w:ascii="Times New Roman" w:hAnsi="Times New Roman"/>
          <w:color w:val="000000"/>
          <w:sz w:val="28"/>
          <w:szCs w:val="28"/>
        </w:rPr>
        <w:t>Ц</w:t>
      </w:r>
      <w:r w:rsidR="0068434D" w:rsidRPr="00281102">
        <w:rPr>
          <w:rFonts w:ascii="Times New Roman" w:hAnsi="Times New Roman"/>
          <w:color w:val="000000"/>
          <w:sz w:val="28"/>
          <w:szCs w:val="28"/>
        </w:rPr>
        <w:t>ифровизация отраслей экономики</w:t>
      </w:r>
      <w:r w:rsidR="004D2C9E">
        <w:rPr>
          <w:rFonts w:ascii="Times New Roman" w:hAnsi="Times New Roman"/>
          <w:color w:val="000000"/>
          <w:sz w:val="28"/>
          <w:szCs w:val="28"/>
        </w:rPr>
        <w:t>»</w:t>
      </w:r>
      <w:r w:rsidR="0068434D" w:rsidRPr="00281102">
        <w:rPr>
          <w:rFonts w:ascii="Times New Roman" w:hAnsi="Times New Roman"/>
          <w:color w:val="000000"/>
          <w:sz w:val="28"/>
          <w:szCs w:val="28"/>
        </w:rPr>
        <w:t xml:space="preserve"> </w:t>
      </w:r>
      <w:r w:rsidR="00527900" w:rsidRPr="00527900">
        <w:rPr>
          <w:rFonts w:ascii="Times New Roman" w:hAnsi="Times New Roman"/>
          <w:color w:val="000000"/>
          <w:sz w:val="28"/>
          <w:szCs w:val="28"/>
        </w:rPr>
        <w:t>–</w:t>
      </w:r>
      <w:r w:rsidR="0068434D" w:rsidRPr="00281102">
        <w:rPr>
          <w:rFonts w:ascii="Times New Roman" w:hAnsi="Times New Roman"/>
          <w:color w:val="000000"/>
          <w:sz w:val="28"/>
          <w:szCs w:val="28"/>
        </w:rPr>
        <w:t xml:space="preserve"> направление преобразования традиционных отраслей экономики Р</w:t>
      </w:r>
      <w:r w:rsidR="00EC0DBF">
        <w:rPr>
          <w:rFonts w:ascii="Times New Roman" w:hAnsi="Times New Roman"/>
          <w:color w:val="000000"/>
          <w:sz w:val="28"/>
          <w:szCs w:val="28"/>
        </w:rPr>
        <w:t>еспублики Казахстан</w:t>
      </w:r>
      <w:r w:rsidR="0068434D" w:rsidRPr="00281102">
        <w:rPr>
          <w:rFonts w:ascii="Times New Roman" w:hAnsi="Times New Roman"/>
          <w:color w:val="000000"/>
          <w:sz w:val="28"/>
          <w:szCs w:val="28"/>
        </w:rPr>
        <w:t xml:space="preserve"> с использованием прорывных технологий и возможностей, которые повысят производительность труда и</w:t>
      </w:r>
      <w:r w:rsidR="00EC0DBF">
        <w:rPr>
          <w:rFonts w:ascii="Times New Roman" w:hAnsi="Times New Roman"/>
          <w:color w:val="000000"/>
          <w:sz w:val="28"/>
          <w:szCs w:val="28"/>
        </w:rPr>
        <w:t xml:space="preserve"> приведут к росту капитализации;</w:t>
      </w:r>
    </w:p>
    <w:p w:rsidR="0068434D" w:rsidRPr="00281102" w:rsidRDefault="006B6DA1"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w:t>
      </w:r>
      <w:r w:rsidR="004D2C9E">
        <w:rPr>
          <w:rFonts w:ascii="Times New Roman" w:hAnsi="Times New Roman"/>
          <w:color w:val="000000"/>
          <w:sz w:val="28"/>
          <w:szCs w:val="28"/>
        </w:rPr>
        <w:t>«</w:t>
      </w:r>
      <w:r w:rsidR="00A01426">
        <w:rPr>
          <w:rFonts w:ascii="Times New Roman" w:hAnsi="Times New Roman"/>
          <w:color w:val="000000"/>
          <w:sz w:val="28"/>
          <w:szCs w:val="28"/>
        </w:rPr>
        <w:t>П</w:t>
      </w:r>
      <w:r w:rsidR="0068434D" w:rsidRPr="00281102">
        <w:rPr>
          <w:rFonts w:ascii="Times New Roman" w:hAnsi="Times New Roman"/>
          <w:color w:val="000000"/>
          <w:sz w:val="28"/>
          <w:szCs w:val="28"/>
        </w:rPr>
        <w:t>ереход на цифровое государство</w:t>
      </w:r>
      <w:r w:rsidR="004D2C9E">
        <w:rPr>
          <w:rFonts w:ascii="Times New Roman" w:hAnsi="Times New Roman"/>
          <w:color w:val="000000"/>
          <w:sz w:val="28"/>
          <w:szCs w:val="28"/>
        </w:rPr>
        <w:t>»</w:t>
      </w:r>
      <w:r w:rsidR="0068434D" w:rsidRPr="00281102">
        <w:rPr>
          <w:rFonts w:ascii="Times New Roman" w:hAnsi="Times New Roman"/>
          <w:color w:val="000000"/>
          <w:sz w:val="28"/>
          <w:szCs w:val="28"/>
        </w:rPr>
        <w:t xml:space="preserve"> </w:t>
      </w:r>
      <w:r w:rsidR="00527900" w:rsidRPr="00527900">
        <w:rPr>
          <w:rFonts w:ascii="Times New Roman" w:hAnsi="Times New Roman"/>
          <w:color w:val="000000"/>
          <w:sz w:val="28"/>
          <w:szCs w:val="28"/>
        </w:rPr>
        <w:t>–</w:t>
      </w:r>
      <w:r w:rsidR="00527900">
        <w:rPr>
          <w:rFonts w:ascii="Times New Roman" w:hAnsi="Times New Roman"/>
          <w:color w:val="000000"/>
          <w:sz w:val="28"/>
          <w:szCs w:val="28"/>
        </w:rPr>
        <w:t xml:space="preserve"> </w:t>
      </w:r>
      <w:r w:rsidR="0068434D" w:rsidRPr="00281102">
        <w:rPr>
          <w:rFonts w:ascii="Times New Roman" w:hAnsi="Times New Roman"/>
          <w:color w:val="000000"/>
          <w:sz w:val="28"/>
          <w:szCs w:val="28"/>
        </w:rPr>
        <w:t>направление преобразования функций государства как инфраструктуры предоставления услуг населению и бизнес</w:t>
      </w:r>
      <w:r w:rsidR="00EC0DBF">
        <w:rPr>
          <w:rFonts w:ascii="Times New Roman" w:hAnsi="Times New Roman"/>
          <w:color w:val="000000"/>
          <w:sz w:val="28"/>
          <w:szCs w:val="28"/>
        </w:rPr>
        <w:t>у, предвосхищая его потребности;</w:t>
      </w:r>
    </w:p>
    <w:p w:rsidR="0068434D" w:rsidRPr="00281102" w:rsidRDefault="006B6DA1"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w:t>
      </w:r>
      <w:r w:rsidR="004D2C9E">
        <w:rPr>
          <w:rFonts w:ascii="Times New Roman" w:hAnsi="Times New Roman"/>
          <w:color w:val="000000"/>
          <w:sz w:val="28"/>
          <w:szCs w:val="28"/>
        </w:rPr>
        <w:t>«</w:t>
      </w:r>
      <w:r w:rsidR="00A01426">
        <w:rPr>
          <w:rFonts w:ascii="Times New Roman" w:hAnsi="Times New Roman"/>
          <w:color w:val="000000"/>
          <w:sz w:val="28"/>
          <w:szCs w:val="28"/>
        </w:rPr>
        <w:t>Р</w:t>
      </w:r>
      <w:r w:rsidR="0068434D" w:rsidRPr="00281102">
        <w:rPr>
          <w:rFonts w:ascii="Times New Roman" w:hAnsi="Times New Roman"/>
          <w:color w:val="000000"/>
          <w:sz w:val="28"/>
          <w:szCs w:val="28"/>
        </w:rPr>
        <w:t>еализация цифрового Шелкового пути</w:t>
      </w:r>
      <w:r w:rsidR="004D2C9E">
        <w:rPr>
          <w:rFonts w:ascii="Times New Roman" w:hAnsi="Times New Roman"/>
          <w:color w:val="000000"/>
          <w:sz w:val="28"/>
          <w:szCs w:val="28"/>
        </w:rPr>
        <w:t>»</w:t>
      </w:r>
      <w:r w:rsidR="0068434D" w:rsidRPr="00281102">
        <w:rPr>
          <w:rFonts w:ascii="Times New Roman" w:hAnsi="Times New Roman"/>
          <w:color w:val="000000"/>
          <w:sz w:val="28"/>
          <w:szCs w:val="28"/>
        </w:rPr>
        <w:t xml:space="preserve"> </w:t>
      </w:r>
      <w:r w:rsidR="00527900" w:rsidRPr="00527900">
        <w:rPr>
          <w:rFonts w:ascii="Times New Roman" w:hAnsi="Times New Roman"/>
          <w:color w:val="000000"/>
          <w:sz w:val="28"/>
          <w:szCs w:val="28"/>
        </w:rPr>
        <w:t>–</w:t>
      </w:r>
      <w:r w:rsidR="0068434D" w:rsidRPr="00281102">
        <w:rPr>
          <w:rFonts w:ascii="Times New Roman" w:hAnsi="Times New Roman"/>
          <w:color w:val="000000"/>
          <w:sz w:val="28"/>
          <w:szCs w:val="28"/>
        </w:rPr>
        <w:t xml:space="preserve"> направление развития высокоскоростной и защищенной инфраструктуры переда</w:t>
      </w:r>
      <w:r w:rsidR="00EC0DBF">
        <w:rPr>
          <w:rFonts w:ascii="Times New Roman" w:hAnsi="Times New Roman"/>
          <w:color w:val="000000"/>
          <w:sz w:val="28"/>
          <w:szCs w:val="28"/>
        </w:rPr>
        <w:t>чи, хранения и обработки данных;</w:t>
      </w:r>
    </w:p>
    <w:p w:rsidR="0068434D" w:rsidRPr="00281102" w:rsidRDefault="006B6DA1"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w:t>
      </w:r>
      <w:r w:rsidR="004D2C9E">
        <w:rPr>
          <w:rFonts w:ascii="Times New Roman" w:hAnsi="Times New Roman"/>
          <w:color w:val="000000"/>
          <w:sz w:val="28"/>
          <w:szCs w:val="28"/>
        </w:rPr>
        <w:t>«</w:t>
      </w:r>
      <w:r w:rsidR="00A01426">
        <w:rPr>
          <w:rFonts w:ascii="Times New Roman" w:hAnsi="Times New Roman"/>
          <w:color w:val="000000"/>
          <w:sz w:val="28"/>
          <w:szCs w:val="28"/>
        </w:rPr>
        <w:t>Р</w:t>
      </w:r>
      <w:r w:rsidR="0068434D" w:rsidRPr="00281102">
        <w:rPr>
          <w:rFonts w:ascii="Times New Roman" w:hAnsi="Times New Roman"/>
          <w:color w:val="000000"/>
          <w:sz w:val="28"/>
          <w:szCs w:val="28"/>
        </w:rPr>
        <w:t>азвитие человеческого капитала</w:t>
      </w:r>
      <w:r w:rsidR="004D2C9E">
        <w:rPr>
          <w:rFonts w:ascii="Times New Roman" w:hAnsi="Times New Roman"/>
          <w:color w:val="000000"/>
          <w:sz w:val="28"/>
          <w:szCs w:val="28"/>
        </w:rPr>
        <w:t>»</w:t>
      </w:r>
      <w:r w:rsidR="0068434D" w:rsidRPr="00281102">
        <w:rPr>
          <w:rFonts w:ascii="Times New Roman" w:hAnsi="Times New Roman"/>
          <w:color w:val="000000"/>
          <w:sz w:val="28"/>
          <w:szCs w:val="28"/>
        </w:rPr>
        <w:t xml:space="preserve"> </w:t>
      </w:r>
      <w:r w:rsidR="00527900" w:rsidRPr="00527900">
        <w:rPr>
          <w:rFonts w:ascii="Times New Roman" w:hAnsi="Times New Roman"/>
          <w:color w:val="000000"/>
          <w:sz w:val="28"/>
          <w:szCs w:val="28"/>
        </w:rPr>
        <w:t>–</w:t>
      </w:r>
      <w:r w:rsidR="0068434D" w:rsidRPr="00281102">
        <w:rPr>
          <w:rFonts w:ascii="Times New Roman" w:hAnsi="Times New Roman"/>
          <w:color w:val="000000"/>
          <w:sz w:val="28"/>
          <w:szCs w:val="28"/>
        </w:rPr>
        <w:t xml:space="preserve"> направление преобразований, охватывающее создание так называемого креативного общества для обеспечения перехода к новым реалиям </w:t>
      </w:r>
      <w:r w:rsidR="00527900" w:rsidRPr="00527900">
        <w:rPr>
          <w:rFonts w:ascii="Times New Roman" w:hAnsi="Times New Roman"/>
          <w:color w:val="000000"/>
          <w:sz w:val="28"/>
          <w:szCs w:val="28"/>
        </w:rPr>
        <w:t>–</w:t>
      </w:r>
      <w:r w:rsidR="00527900">
        <w:rPr>
          <w:rFonts w:ascii="Times New Roman" w:hAnsi="Times New Roman"/>
          <w:color w:val="000000"/>
          <w:sz w:val="28"/>
          <w:szCs w:val="28"/>
        </w:rPr>
        <w:t xml:space="preserve"> </w:t>
      </w:r>
      <w:r w:rsidR="00EC0DBF">
        <w:rPr>
          <w:rFonts w:ascii="Times New Roman" w:hAnsi="Times New Roman"/>
          <w:color w:val="000000"/>
          <w:sz w:val="28"/>
          <w:szCs w:val="28"/>
        </w:rPr>
        <w:t>экономике знаний;</w:t>
      </w:r>
    </w:p>
    <w:p w:rsidR="0068434D" w:rsidRPr="00281102" w:rsidRDefault="006B6DA1"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w:t>
      </w:r>
      <w:r w:rsidR="004D2C9E">
        <w:rPr>
          <w:rFonts w:ascii="Times New Roman" w:hAnsi="Times New Roman"/>
          <w:color w:val="000000"/>
          <w:sz w:val="28"/>
          <w:szCs w:val="28"/>
        </w:rPr>
        <w:t>«</w:t>
      </w:r>
      <w:r w:rsidR="00A01426">
        <w:rPr>
          <w:rFonts w:ascii="Times New Roman" w:hAnsi="Times New Roman"/>
          <w:color w:val="000000"/>
          <w:sz w:val="28"/>
          <w:szCs w:val="28"/>
        </w:rPr>
        <w:t>С</w:t>
      </w:r>
      <w:r w:rsidR="0068434D" w:rsidRPr="00281102">
        <w:rPr>
          <w:rFonts w:ascii="Times New Roman" w:hAnsi="Times New Roman"/>
          <w:color w:val="000000"/>
          <w:sz w:val="28"/>
          <w:szCs w:val="28"/>
        </w:rPr>
        <w:t>оздание инновационной экосистемы</w:t>
      </w:r>
      <w:r w:rsidR="004D2C9E">
        <w:rPr>
          <w:rFonts w:ascii="Times New Roman" w:hAnsi="Times New Roman"/>
          <w:color w:val="000000"/>
          <w:sz w:val="28"/>
          <w:szCs w:val="28"/>
        </w:rPr>
        <w:t>»</w:t>
      </w:r>
      <w:r w:rsidR="0068434D" w:rsidRPr="00281102">
        <w:rPr>
          <w:rFonts w:ascii="Times New Roman" w:hAnsi="Times New Roman"/>
          <w:color w:val="000000"/>
          <w:sz w:val="28"/>
          <w:szCs w:val="28"/>
        </w:rPr>
        <w:t xml:space="preserve"> </w:t>
      </w:r>
      <w:r w:rsidR="00527900" w:rsidRPr="00527900">
        <w:rPr>
          <w:rFonts w:ascii="Times New Roman" w:hAnsi="Times New Roman"/>
          <w:color w:val="000000"/>
          <w:sz w:val="28"/>
          <w:szCs w:val="28"/>
        </w:rPr>
        <w:t>–</w:t>
      </w:r>
      <w:r w:rsidR="0068434D" w:rsidRPr="00281102">
        <w:rPr>
          <w:rFonts w:ascii="Times New Roman" w:hAnsi="Times New Roman"/>
          <w:color w:val="000000"/>
          <w:sz w:val="28"/>
          <w:szCs w:val="28"/>
        </w:rPr>
        <w:t xml:space="preserve"> направление создания условий для развития технологического предпринимательства и инноваций с устойчивыми горизонтальными связями между бизнесом, научной сферой и государством.</w:t>
      </w:r>
    </w:p>
    <w:p w:rsidR="0068434D" w:rsidRPr="00281102"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281102">
        <w:rPr>
          <w:rFonts w:ascii="Times New Roman" w:hAnsi="Times New Roman"/>
          <w:color w:val="000000"/>
          <w:sz w:val="28"/>
          <w:szCs w:val="28"/>
        </w:rPr>
        <w:t>Государство выступит в роли катализатора экосистемы, способного генерировать, адаптировать и внедрять в производство инновации.</w:t>
      </w:r>
    </w:p>
    <w:p w:rsidR="0068434D" w:rsidRPr="00281102"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281102">
        <w:rPr>
          <w:rFonts w:ascii="Times New Roman" w:hAnsi="Times New Roman"/>
          <w:color w:val="000000"/>
          <w:sz w:val="28"/>
          <w:szCs w:val="28"/>
        </w:rPr>
        <w:t xml:space="preserve">В рамках указанных направлений сформированы 17 инициатив и более 100 мероприятий, </w:t>
      </w:r>
      <w:r w:rsidR="008D28C9">
        <w:rPr>
          <w:rFonts w:ascii="Times New Roman" w:hAnsi="Times New Roman"/>
          <w:color w:val="000000"/>
          <w:sz w:val="28"/>
          <w:szCs w:val="28"/>
        </w:rPr>
        <w:t>эффект</w:t>
      </w:r>
      <w:r w:rsidRPr="00281102">
        <w:rPr>
          <w:rFonts w:ascii="Times New Roman" w:hAnsi="Times New Roman"/>
          <w:color w:val="000000"/>
          <w:sz w:val="28"/>
          <w:szCs w:val="28"/>
        </w:rPr>
        <w:t xml:space="preserve"> </w:t>
      </w:r>
      <w:r w:rsidR="006B6DA1" w:rsidRPr="00281102">
        <w:rPr>
          <w:rFonts w:ascii="Times New Roman" w:hAnsi="Times New Roman"/>
          <w:color w:val="000000"/>
          <w:sz w:val="28"/>
          <w:szCs w:val="28"/>
        </w:rPr>
        <w:t>от реализации,</w:t>
      </w:r>
      <w:r w:rsidRPr="00281102">
        <w:rPr>
          <w:rFonts w:ascii="Times New Roman" w:hAnsi="Times New Roman"/>
          <w:color w:val="000000"/>
          <w:sz w:val="28"/>
          <w:szCs w:val="28"/>
        </w:rPr>
        <w:t xml:space="preserve"> которых можно будет увидеть уже в ближайшие годы в явной форме, а также мероприяти</w:t>
      </w:r>
      <w:r w:rsidR="003B6BEC">
        <w:rPr>
          <w:rFonts w:ascii="Times New Roman" w:hAnsi="Times New Roman"/>
          <w:color w:val="000000"/>
          <w:sz w:val="28"/>
          <w:szCs w:val="28"/>
        </w:rPr>
        <w:t>я</w:t>
      </w:r>
      <w:r w:rsidRPr="00281102">
        <w:rPr>
          <w:rFonts w:ascii="Times New Roman" w:hAnsi="Times New Roman"/>
          <w:color w:val="000000"/>
          <w:sz w:val="28"/>
          <w:szCs w:val="28"/>
        </w:rPr>
        <w:t xml:space="preserve">, </w:t>
      </w:r>
      <w:r w:rsidR="003B6BEC">
        <w:rPr>
          <w:rFonts w:ascii="Times New Roman" w:hAnsi="Times New Roman"/>
          <w:color w:val="000000"/>
          <w:sz w:val="28"/>
          <w:szCs w:val="28"/>
        </w:rPr>
        <w:t>являющиеся</w:t>
      </w:r>
      <w:r w:rsidRPr="00281102">
        <w:rPr>
          <w:rFonts w:ascii="Times New Roman" w:hAnsi="Times New Roman"/>
          <w:color w:val="000000"/>
          <w:sz w:val="28"/>
          <w:szCs w:val="28"/>
        </w:rPr>
        <w:t xml:space="preserve"> основ</w:t>
      </w:r>
      <w:r w:rsidR="003B6BEC">
        <w:rPr>
          <w:rFonts w:ascii="Times New Roman" w:hAnsi="Times New Roman"/>
          <w:color w:val="000000"/>
          <w:sz w:val="28"/>
          <w:szCs w:val="28"/>
        </w:rPr>
        <w:t>ами</w:t>
      </w:r>
      <w:r w:rsidRPr="00281102">
        <w:rPr>
          <w:rFonts w:ascii="Times New Roman" w:hAnsi="Times New Roman"/>
          <w:color w:val="000000"/>
          <w:sz w:val="28"/>
          <w:szCs w:val="28"/>
        </w:rPr>
        <w:t xml:space="preserve"> формирования цифрового сектора как новой отрасли экономики будущего, основной результат от которых придется на следующие десятилетия.</w:t>
      </w:r>
    </w:p>
    <w:p w:rsidR="0068434D" w:rsidRPr="00281102"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281102">
        <w:rPr>
          <w:rFonts w:ascii="Times New Roman" w:hAnsi="Times New Roman"/>
          <w:color w:val="000000"/>
          <w:sz w:val="28"/>
          <w:szCs w:val="28"/>
        </w:rPr>
        <w:t xml:space="preserve">Реализация Программы предполагает привлечение финансирования в объеме 141 млрд </w:t>
      </w:r>
      <w:r w:rsidR="004B1913">
        <w:rPr>
          <w:rFonts w:ascii="Times New Roman" w:hAnsi="Times New Roman"/>
          <w:color w:val="000000"/>
          <w:sz w:val="28"/>
          <w:szCs w:val="28"/>
        </w:rPr>
        <w:t>тенге</w:t>
      </w:r>
      <w:r w:rsidRPr="00281102">
        <w:rPr>
          <w:rFonts w:ascii="Times New Roman" w:hAnsi="Times New Roman"/>
          <w:color w:val="000000"/>
          <w:sz w:val="28"/>
          <w:szCs w:val="28"/>
        </w:rPr>
        <w:t xml:space="preserve"> из средств республиканского бюджета. Также ожидается привлечение более 169 млрд </w:t>
      </w:r>
      <w:r w:rsidR="004B1913">
        <w:rPr>
          <w:rFonts w:ascii="Times New Roman" w:hAnsi="Times New Roman"/>
          <w:color w:val="000000"/>
          <w:sz w:val="28"/>
          <w:szCs w:val="28"/>
        </w:rPr>
        <w:t>тенге</w:t>
      </w:r>
      <w:r w:rsidRPr="00281102">
        <w:rPr>
          <w:rFonts w:ascii="Times New Roman" w:hAnsi="Times New Roman"/>
          <w:color w:val="000000"/>
          <w:sz w:val="28"/>
          <w:szCs w:val="28"/>
        </w:rPr>
        <w:t xml:space="preserve"> средств субъектов квазигосударственного сектора.</w:t>
      </w:r>
    </w:p>
    <w:p w:rsidR="0068434D" w:rsidRPr="00281102"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281102">
        <w:rPr>
          <w:rFonts w:ascii="Times New Roman" w:hAnsi="Times New Roman"/>
          <w:color w:val="000000"/>
          <w:sz w:val="28"/>
          <w:szCs w:val="28"/>
        </w:rPr>
        <w:t xml:space="preserve">Бенефициарами реализации Программы станут население, бизнес и госорганы </w:t>
      </w:r>
      <w:r w:rsidR="00EC0DBF" w:rsidRPr="00EC0DBF">
        <w:rPr>
          <w:rFonts w:ascii="Times New Roman" w:hAnsi="Times New Roman"/>
          <w:color w:val="000000"/>
          <w:sz w:val="28"/>
          <w:szCs w:val="28"/>
        </w:rPr>
        <w:t>Республики Казахстан</w:t>
      </w:r>
      <w:r w:rsidRPr="00EC0DBF">
        <w:rPr>
          <w:rFonts w:ascii="Times New Roman" w:hAnsi="Times New Roman"/>
          <w:color w:val="000000"/>
          <w:sz w:val="28"/>
          <w:szCs w:val="28"/>
        </w:rPr>
        <w:t>,</w:t>
      </w:r>
      <w:r w:rsidRPr="00281102">
        <w:rPr>
          <w:rFonts w:ascii="Times New Roman" w:hAnsi="Times New Roman"/>
          <w:color w:val="000000"/>
          <w:sz w:val="28"/>
          <w:szCs w:val="28"/>
        </w:rPr>
        <w:t xml:space="preserve"> так как она затрагивает все сферы жизнедеятельности и нацелена на повышение уровня жизни каждого жителя государства. Программа приведет к существенным сдвигам в структуре занятости </w:t>
      </w:r>
      <w:r w:rsidR="00527900" w:rsidRPr="00527900">
        <w:rPr>
          <w:rFonts w:ascii="Times New Roman" w:hAnsi="Times New Roman"/>
          <w:color w:val="000000"/>
          <w:sz w:val="28"/>
          <w:szCs w:val="28"/>
        </w:rPr>
        <w:t>–</w:t>
      </w:r>
      <w:r w:rsidRPr="00281102">
        <w:rPr>
          <w:rFonts w:ascii="Times New Roman" w:hAnsi="Times New Roman"/>
          <w:color w:val="000000"/>
          <w:sz w:val="28"/>
          <w:szCs w:val="28"/>
        </w:rPr>
        <w:t xml:space="preserve"> в частности, к 2022 году будет создано 300 тыс. рабочих мест за счет цифровизации.</w:t>
      </w:r>
    </w:p>
    <w:p w:rsidR="0068434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281102">
        <w:rPr>
          <w:rFonts w:ascii="Times New Roman" w:hAnsi="Times New Roman"/>
          <w:color w:val="000000"/>
          <w:sz w:val="28"/>
          <w:szCs w:val="28"/>
        </w:rPr>
        <w:t xml:space="preserve">Текущий средний уровень цифровизации экономики Казахстана сегодня </w:t>
      </w:r>
      <w:r w:rsidR="00527900" w:rsidRPr="00527900">
        <w:rPr>
          <w:rFonts w:ascii="Times New Roman" w:hAnsi="Times New Roman"/>
          <w:color w:val="000000"/>
          <w:sz w:val="28"/>
          <w:szCs w:val="28"/>
        </w:rPr>
        <w:t>–</w:t>
      </w:r>
      <w:r w:rsidRPr="00281102">
        <w:rPr>
          <w:rFonts w:ascii="Times New Roman" w:hAnsi="Times New Roman"/>
          <w:color w:val="000000"/>
          <w:sz w:val="28"/>
          <w:szCs w:val="28"/>
        </w:rPr>
        <w:t xml:space="preserve"> не барьер, а возможность совершить качественный рывок в развитии, который позволит стране выйти на передовые позиции на мировой арене. Для этого предполагается принятие комплекса мер и системной работы по пяти направлениям, описанным в данной Программе</w:t>
      </w:r>
      <w:r w:rsidR="004B1913">
        <w:rPr>
          <w:rFonts w:ascii="Times New Roman" w:hAnsi="Times New Roman"/>
          <w:color w:val="000000"/>
          <w:sz w:val="28"/>
          <w:szCs w:val="28"/>
        </w:rPr>
        <w:t>,</w:t>
      </w:r>
      <w:r w:rsidRPr="00281102">
        <w:rPr>
          <w:rFonts w:ascii="Times New Roman" w:hAnsi="Times New Roman"/>
          <w:color w:val="000000"/>
          <w:sz w:val="28"/>
          <w:szCs w:val="28"/>
        </w:rPr>
        <w:t xml:space="preserve"> и в рамках мероприятий, приведенных в приложении к ней. Перечень мероприятий будет актуализироваться.</w:t>
      </w:r>
    </w:p>
    <w:p w:rsidR="0068434D" w:rsidRPr="00094C60" w:rsidRDefault="0068434D" w:rsidP="004D2C9E">
      <w:pPr>
        <w:pStyle w:val="4"/>
      </w:pPr>
      <w:r w:rsidRPr="00094C60">
        <w:t>Кыргызская Республика</w:t>
      </w:r>
    </w:p>
    <w:p w:rsidR="0068434D" w:rsidRPr="00094C60" w:rsidRDefault="0068434D" w:rsidP="006D0AF9">
      <w:pPr>
        <w:pStyle w:val="22"/>
      </w:pPr>
      <w:r w:rsidRPr="00094C60">
        <w:t>Цифровой Кыргызстан – страна развитого информационного общества, основанного на инновациях и знаниях, цифровом национальном контенте, эффективном, прозрачном и подотчетном государственном управлении, цифровой инфраструктуре и цифровы</w:t>
      </w:r>
      <w:r w:rsidR="00A01426">
        <w:t>х</w:t>
      </w:r>
      <w:r w:rsidRPr="00094C60">
        <w:t xml:space="preserve"> услуга</w:t>
      </w:r>
      <w:r w:rsidR="00A01426">
        <w:t>х.</w:t>
      </w:r>
      <w:r w:rsidRPr="00094C60">
        <w:t xml:space="preserve"> </w:t>
      </w:r>
      <w:r w:rsidR="00A01426">
        <w:t>Это станет</w:t>
      </w:r>
      <w:r w:rsidRPr="00094C60">
        <w:t xml:space="preserve"> основ</w:t>
      </w:r>
      <w:r w:rsidR="00A01426">
        <w:t>ой</w:t>
      </w:r>
      <w:r w:rsidRPr="00094C60">
        <w:t xml:space="preserve"> цифровой экономики и </w:t>
      </w:r>
      <w:r w:rsidR="00A01426">
        <w:t xml:space="preserve">будет </w:t>
      </w:r>
      <w:r w:rsidRPr="00094C60">
        <w:t>стимулир</w:t>
      </w:r>
      <w:r w:rsidR="00A01426">
        <w:t>овать</w:t>
      </w:r>
      <w:r w:rsidRPr="00094C60">
        <w:t xml:space="preserve"> рост конкурентоспособности страны, благосостояния населения,</w:t>
      </w:r>
      <w:r w:rsidR="00A01426">
        <w:t xml:space="preserve"> а также</w:t>
      </w:r>
      <w:r w:rsidRPr="00094C60">
        <w:t xml:space="preserve"> минимизирует коррупцию.</w:t>
      </w:r>
    </w:p>
    <w:p w:rsidR="0068434D" w:rsidRPr="00094C60"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094C60">
        <w:rPr>
          <w:rFonts w:ascii="Times New Roman" w:hAnsi="Times New Roman"/>
          <w:color w:val="000000"/>
          <w:sz w:val="28"/>
          <w:szCs w:val="28"/>
        </w:rPr>
        <w:t xml:space="preserve">Современные информационные и коммуникационные технологии существенно меняют все общественные отношения, в связи с чем в настоящее время в Кыргызстане происходит становление нового, информационного общества, которое носит название </w:t>
      </w:r>
      <w:r w:rsidR="004D2C9E">
        <w:rPr>
          <w:rFonts w:ascii="Times New Roman" w:hAnsi="Times New Roman"/>
          <w:color w:val="000000"/>
          <w:sz w:val="28"/>
          <w:szCs w:val="28"/>
        </w:rPr>
        <w:t>«</w:t>
      </w:r>
      <w:r w:rsidRPr="00094C60">
        <w:rPr>
          <w:rFonts w:ascii="Times New Roman" w:hAnsi="Times New Roman"/>
          <w:color w:val="000000"/>
          <w:sz w:val="28"/>
          <w:szCs w:val="28"/>
        </w:rPr>
        <w:t>цифровой экономики</w:t>
      </w:r>
      <w:r w:rsidR="004D2C9E">
        <w:rPr>
          <w:rFonts w:ascii="Times New Roman" w:hAnsi="Times New Roman"/>
          <w:color w:val="000000"/>
          <w:sz w:val="28"/>
          <w:szCs w:val="28"/>
        </w:rPr>
        <w:t>»</w:t>
      </w:r>
      <w:r w:rsidR="004B1913">
        <w:rPr>
          <w:rFonts w:ascii="Times New Roman" w:hAnsi="Times New Roman"/>
          <w:color w:val="000000"/>
          <w:sz w:val="28"/>
          <w:szCs w:val="28"/>
        </w:rPr>
        <w:t xml:space="preserve">. Это </w:t>
      </w:r>
      <w:r w:rsidRPr="00094C60">
        <w:rPr>
          <w:rFonts w:ascii="Times New Roman" w:hAnsi="Times New Roman"/>
          <w:color w:val="000000"/>
          <w:sz w:val="28"/>
          <w:szCs w:val="28"/>
        </w:rPr>
        <w:t>прежде всего объясняется тем, что новые технологии не только меняют способы производства товаров, работ и услуг, но и создают новые возможности для реализации гражданских прав, самореализации личности, получения знаний, воспитания нового поколения и проведения досуга. В Кыргызской Республик</w:t>
      </w:r>
      <w:r w:rsidR="004B1913">
        <w:rPr>
          <w:rFonts w:ascii="Times New Roman" w:hAnsi="Times New Roman"/>
          <w:color w:val="000000"/>
          <w:sz w:val="28"/>
          <w:szCs w:val="28"/>
        </w:rPr>
        <w:t>е</w:t>
      </w:r>
      <w:r w:rsidRPr="00094C60">
        <w:rPr>
          <w:rFonts w:ascii="Times New Roman" w:hAnsi="Times New Roman"/>
          <w:color w:val="000000"/>
          <w:sz w:val="28"/>
          <w:szCs w:val="28"/>
        </w:rPr>
        <w:t xml:space="preserve"> условия становлени</w:t>
      </w:r>
      <w:r w:rsidR="004B1913">
        <w:rPr>
          <w:rFonts w:ascii="Times New Roman" w:hAnsi="Times New Roman"/>
          <w:color w:val="000000"/>
          <w:sz w:val="28"/>
          <w:szCs w:val="28"/>
        </w:rPr>
        <w:t>я</w:t>
      </w:r>
      <w:r w:rsidRPr="00094C60">
        <w:rPr>
          <w:rFonts w:ascii="Times New Roman" w:hAnsi="Times New Roman"/>
          <w:color w:val="000000"/>
          <w:sz w:val="28"/>
          <w:szCs w:val="28"/>
        </w:rPr>
        <w:t xml:space="preserve"> и развити</w:t>
      </w:r>
      <w:r w:rsidR="004B1913">
        <w:rPr>
          <w:rFonts w:ascii="Times New Roman" w:hAnsi="Times New Roman"/>
          <w:color w:val="000000"/>
          <w:sz w:val="28"/>
          <w:szCs w:val="28"/>
        </w:rPr>
        <w:t>я</w:t>
      </w:r>
      <w:r w:rsidRPr="00094C60">
        <w:rPr>
          <w:rFonts w:ascii="Times New Roman" w:hAnsi="Times New Roman"/>
          <w:color w:val="000000"/>
          <w:sz w:val="28"/>
          <w:szCs w:val="28"/>
        </w:rPr>
        <w:t xml:space="preserve"> цифрой </w:t>
      </w:r>
      <w:r w:rsidR="004B1913">
        <w:rPr>
          <w:rFonts w:ascii="Times New Roman" w:hAnsi="Times New Roman"/>
          <w:color w:val="000000"/>
          <w:sz w:val="28"/>
          <w:szCs w:val="28"/>
        </w:rPr>
        <w:t>экономики прежде всего определяю</w:t>
      </w:r>
      <w:r w:rsidR="00F35453">
        <w:rPr>
          <w:rFonts w:ascii="Times New Roman" w:hAnsi="Times New Roman"/>
          <w:color w:val="000000"/>
          <w:sz w:val="28"/>
          <w:szCs w:val="28"/>
        </w:rPr>
        <w:t>тся ее нормативно-</w:t>
      </w:r>
      <w:r w:rsidRPr="00094C60">
        <w:rPr>
          <w:rFonts w:ascii="Times New Roman" w:hAnsi="Times New Roman"/>
          <w:color w:val="000000"/>
          <w:sz w:val="28"/>
          <w:szCs w:val="28"/>
        </w:rPr>
        <w:t>правовой</w:t>
      </w:r>
      <w:r w:rsidR="00F35453">
        <w:rPr>
          <w:rFonts w:ascii="Times New Roman" w:hAnsi="Times New Roman"/>
          <w:color w:val="000000"/>
          <w:sz w:val="28"/>
          <w:szCs w:val="28"/>
        </w:rPr>
        <w:t xml:space="preserve"> </w:t>
      </w:r>
      <w:r w:rsidRPr="00094C60">
        <w:rPr>
          <w:rFonts w:ascii="Times New Roman" w:hAnsi="Times New Roman"/>
          <w:color w:val="000000"/>
          <w:sz w:val="28"/>
          <w:szCs w:val="28"/>
        </w:rPr>
        <w:t xml:space="preserve">базой. </w:t>
      </w:r>
    </w:p>
    <w:p w:rsidR="00F21C91"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 xml:space="preserve">В частности, в ее </w:t>
      </w:r>
      <w:r w:rsidR="005A3406" w:rsidRPr="005A3406">
        <w:rPr>
          <w:rFonts w:ascii="Times New Roman" w:hAnsi="Times New Roman"/>
          <w:color w:val="000000"/>
          <w:sz w:val="28"/>
          <w:szCs w:val="28"/>
        </w:rPr>
        <w:t xml:space="preserve">основе </w:t>
      </w:r>
      <w:r w:rsidRPr="00094C60">
        <w:rPr>
          <w:rFonts w:ascii="Times New Roman" w:hAnsi="Times New Roman"/>
          <w:color w:val="000000"/>
          <w:sz w:val="28"/>
          <w:szCs w:val="28"/>
        </w:rPr>
        <w:t xml:space="preserve">лежит </w:t>
      </w:r>
      <w:r w:rsidR="001F531B" w:rsidRPr="00B66A84">
        <w:rPr>
          <w:rFonts w:ascii="Times New Roman" w:hAnsi="Times New Roman"/>
          <w:sz w:val="28"/>
          <w:szCs w:val="28"/>
        </w:rPr>
        <w:t xml:space="preserve">постановление Правительства Кыргызской </w:t>
      </w:r>
      <w:r w:rsidR="004020DC" w:rsidRPr="00B66A84">
        <w:rPr>
          <w:rFonts w:ascii="Times New Roman" w:hAnsi="Times New Roman"/>
          <w:sz w:val="28"/>
          <w:szCs w:val="28"/>
        </w:rPr>
        <w:t>Р</w:t>
      </w:r>
      <w:r w:rsidR="001F531B" w:rsidRPr="00B66A84">
        <w:rPr>
          <w:rFonts w:ascii="Times New Roman" w:hAnsi="Times New Roman"/>
          <w:sz w:val="28"/>
          <w:szCs w:val="28"/>
        </w:rPr>
        <w:t>еспублики от 19 мая 2017 года №</w:t>
      </w:r>
      <w:r w:rsidR="006D0AF9" w:rsidRPr="00B66A84">
        <w:rPr>
          <w:rFonts w:ascii="Times New Roman" w:hAnsi="Times New Roman"/>
          <w:sz w:val="28"/>
          <w:szCs w:val="28"/>
        </w:rPr>
        <w:t> </w:t>
      </w:r>
      <w:r w:rsidR="001F531B" w:rsidRPr="00B66A84">
        <w:rPr>
          <w:rFonts w:ascii="Times New Roman" w:hAnsi="Times New Roman"/>
          <w:sz w:val="28"/>
          <w:szCs w:val="28"/>
        </w:rPr>
        <w:t>297</w:t>
      </w:r>
      <w:r w:rsidR="004020DC" w:rsidRPr="00B66A84">
        <w:rPr>
          <w:rFonts w:ascii="Times New Roman" w:hAnsi="Times New Roman"/>
          <w:sz w:val="28"/>
          <w:szCs w:val="28"/>
        </w:rPr>
        <w:t xml:space="preserve"> «О Совете по электронному управлению и развитию информационно-коммуникационных технологий (</w:t>
      </w:r>
      <w:r w:rsidR="006D0AF9" w:rsidRPr="00B66A84">
        <w:rPr>
          <w:rFonts w:ascii="Times New Roman" w:hAnsi="Times New Roman"/>
          <w:sz w:val="28"/>
          <w:szCs w:val="28"/>
        </w:rPr>
        <w:t>«</w:t>
      </w:r>
      <w:r w:rsidR="004020DC" w:rsidRPr="00B66A84">
        <w:rPr>
          <w:rFonts w:ascii="Times New Roman" w:hAnsi="Times New Roman"/>
          <w:sz w:val="28"/>
          <w:szCs w:val="28"/>
        </w:rPr>
        <w:t>Таза Коом</w:t>
      </w:r>
      <w:r w:rsidR="006D0AF9" w:rsidRPr="00B66A84">
        <w:rPr>
          <w:rFonts w:ascii="Times New Roman" w:hAnsi="Times New Roman"/>
          <w:sz w:val="28"/>
          <w:szCs w:val="28"/>
        </w:rPr>
        <w:t>»</w:t>
      </w:r>
      <w:r w:rsidR="004020DC" w:rsidRPr="00B66A84">
        <w:rPr>
          <w:rFonts w:ascii="Times New Roman" w:hAnsi="Times New Roman"/>
          <w:sz w:val="28"/>
          <w:szCs w:val="28"/>
        </w:rPr>
        <w:t>) при Правительстве Кыргызской Республики</w:t>
      </w:r>
      <w:r w:rsidR="003B6BEC">
        <w:rPr>
          <w:rFonts w:ascii="Times New Roman" w:hAnsi="Times New Roman"/>
          <w:sz w:val="28"/>
          <w:szCs w:val="28"/>
        </w:rPr>
        <w:t>»</w:t>
      </w:r>
      <w:r w:rsidR="004020DC" w:rsidRPr="00B66A84">
        <w:rPr>
          <w:rFonts w:ascii="Times New Roman" w:hAnsi="Times New Roman"/>
          <w:color w:val="000000"/>
          <w:sz w:val="28"/>
          <w:szCs w:val="28"/>
        </w:rPr>
        <w:t>.</w:t>
      </w:r>
      <w:r w:rsidR="004020DC" w:rsidRPr="004020DC">
        <w:rPr>
          <w:rFonts w:ascii="Times New Roman" w:hAnsi="Times New Roman"/>
          <w:color w:val="000000"/>
          <w:sz w:val="28"/>
          <w:szCs w:val="28"/>
        </w:rPr>
        <w:t xml:space="preserve"> </w:t>
      </w:r>
      <w:r w:rsidRPr="00094C60">
        <w:rPr>
          <w:rFonts w:ascii="Times New Roman" w:hAnsi="Times New Roman"/>
          <w:color w:val="000000"/>
          <w:sz w:val="28"/>
          <w:szCs w:val="28"/>
        </w:rPr>
        <w:t xml:space="preserve">Также разработана Национальная стратегия </w:t>
      </w:r>
      <w:r w:rsidR="004D2C9E">
        <w:rPr>
          <w:rFonts w:ascii="Times New Roman" w:hAnsi="Times New Roman"/>
          <w:color w:val="000000"/>
          <w:sz w:val="28"/>
          <w:szCs w:val="28"/>
        </w:rPr>
        <w:t>«</w:t>
      </w:r>
      <w:r w:rsidRPr="00094C60">
        <w:rPr>
          <w:rFonts w:ascii="Times New Roman" w:hAnsi="Times New Roman"/>
          <w:color w:val="000000"/>
          <w:sz w:val="28"/>
          <w:szCs w:val="28"/>
        </w:rPr>
        <w:t>Информационно-коммуникационные технологии для развития Кыргызской Республики</w:t>
      </w:r>
      <w:r w:rsidR="004D2C9E">
        <w:rPr>
          <w:rFonts w:ascii="Times New Roman" w:hAnsi="Times New Roman"/>
          <w:color w:val="000000"/>
          <w:sz w:val="28"/>
          <w:szCs w:val="28"/>
        </w:rPr>
        <w:t>»</w:t>
      </w:r>
      <w:r w:rsidRPr="00094C60">
        <w:rPr>
          <w:rFonts w:ascii="Times New Roman" w:hAnsi="Times New Roman"/>
          <w:color w:val="000000"/>
          <w:sz w:val="28"/>
          <w:szCs w:val="28"/>
        </w:rPr>
        <w:t xml:space="preserve">, которая утверждена </w:t>
      </w:r>
      <w:r w:rsidR="00674F38">
        <w:rPr>
          <w:rFonts w:ascii="Times New Roman" w:hAnsi="Times New Roman"/>
          <w:color w:val="000000"/>
          <w:sz w:val="28"/>
          <w:szCs w:val="28"/>
        </w:rPr>
        <w:t>У</w:t>
      </w:r>
      <w:r w:rsidRPr="00094C60">
        <w:rPr>
          <w:rFonts w:ascii="Times New Roman" w:hAnsi="Times New Roman"/>
          <w:color w:val="000000"/>
          <w:sz w:val="28"/>
          <w:szCs w:val="28"/>
        </w:rPr>
        <w:t>казом Президента Кыргызской Республики от 10 марта 2002 г</w:t>
      </w:r>
      <w:r w:rsidR="00527900">
        <w:rPr>
          <w:rFonts w:ascii="Times New Roman" w:hAnsi="Times New Roman"/>
          <w:color w:val="000000"/>
          <w:sz w:val="28"/>
          <w:szCs w:val="28"/>
        </w:rPr>
        <w:t>ода</w:t>
      </w:r>
      <w:r w:rsidRPr="00094C60">
        <w:rPr>
          <w:rFonts w:ascii="Times New Roman" w:hAnsi="Times New Roman"/>
          <w:color w:val="000000"/>
          <w:sz w:val="28"/>
          <w:szCs w:val="28"/>
        </w:rPr>
        <w:t xml:space="preserve"> </w:t>
      </w:r>
      <w:r w:rsidR="00E720B2">
        <w:rPr>
          <w:rFonts w:ascii="Times New Roman" w:hAnsi="Times New Roman"/>
          <w:color w:val="000000"/>
          <w:sz w:val="28"/>
          <w:szCs w:val="28"/>
        </w:rPr>
        <w:t>№ </w:t>
      </w:r>
      <w:r w:rsidRPr="00094C60">
        <w:rPr>
          <w:rFonts w:ascii="Times New Roman" w:hAnsi="Times New Roman"/>
          <w:color w:val="000000"/>
          <w:sz w:val="28"/>
          <w:szCs w:val="28"/>
        </w:rPr>
        <w:t>54. В продолжение данного документа был разработан Национальный план действий по реализации</w:t>
      </w:r>
      <w:r w:rsidR="00674F38">
        <w:rPr>
          <w:rFonts w:ascii="Times New Roman" w:hAnsi="Times New Roman"/>
          <w:color w:val="000000"/>
          <w:sz w:val="28"/>
          <w:szCs w:val="28"/>
        </w:rPr>
        <w:t xml:space="preserve"> </w:t>
      </w:r>
      <w:r w:rsidRPr="00094C60">
        <w:rPr>
          <w:rFonts w:ascii="Times New Roman" w:hAnsi="Times New Roman"/>
          <w:color w:val="000000"/>
          <w:sz w:val="28"/>
          <w:szCs w:val="28"/>
        </w:rPr>
        <w:t xml:space="preserve">Национальной стратегии. </w:t>
      </w:r>
    </w:p>
    <w:p w:rsidR="0068434D"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Таким образом, институциональные основы развития цифровой экономики заложены и требуют корректировки в соответствии с тенденциями развития практики. Необходимо отметить, что отечественные представители данного рынка сумели зарекомендовать себя как высококвалифицированные специалисты в данной области</w:t>
      </w:r>
      <w:r w:rsidR="00674F38" w:rsidRPr="00674F38">
        <w:t xml:space="preserve"> </w:t>
      </w:r>
      <w:r w:rsidR="00674F38" w:rsidRPr="00674F38">
        <w:rPr>
          <w:rFonts w:ascii="Times New Roman" w:hAnsi="Times New Roman"/>
          <w:color w:val="000000"/>
          <w:sz w:val="28"/>
          <w:szCs w:val="28"/>
        </w:rPr>
        <w:t>на мировом рынке</w:t>
      </w:r>
      <w:r w:rsidRPr="00674F38">
        <w:rPr>
          <w:rFonts w:ascii="Times New Roman" w:hAnsi="Times New Roman"/>
          <w:color w:val="000000"/>
          <w:sz w:val="28"/>
          <w:szCs w:val="28"/>
        </w:rPr>
        <w:t>.</w:t>
      </w:r>
      <w:r w:rsidRPr="00094C60">
        <w:rPr>
          <w:rFonts w:ascii="Times New Roman" w:hAnsi="Times New Roman"/>
          <w:color w:val="000000"/>
          <w:sz w:val="28"/>
          <w:szCs w:val="28"/>
        </w:rPr>
        <w:t xml:space="preserve"> Кроме того, IT-специалисты</w:t>
      </w:r>
      <w:r w:rsidR="00527900" w:rsidRPr="00527900">
        <w:t xml:space="preserve"> </w:t>
      </w:r>
      <w:r w:rsidR="00527900" w:rsidRPr="00527900">
        <w:rPr>
          <w:rFonts w:ascii="Times New Roman" w:hAnsi="Times New Roman"/>
          <w:color w:val="000000"/>
          <w:sz w:val="28"/>
          <w:szCs w:val="28"/>
        </w:rPr>
        <w:t>Кыргызской Республики</w:t>
      </w:r>
      <w:r w:rsidRPr="00527900">
        <w:rPr>
          <w:rFonts w:ascii="Times New Roman" w:hAnsi="Times New Roman"/>
          <w:color w:val="000000"/>
          <w:sz w:val="28"/>
          <w:szCs w:val="28"/>
        </w:rPr>
        <w:t xml:space="preserve"> </w:t>
      </w:r>
      <w:r w:rsidRPr="00094C60">
        <w:rPr>
          <w:rFonts w:ascii="Times New Roman" w:hAnsi="Times New Roman"/>
          <w:color w:val="000000"/>
          <w:sz w:val="28"/>
          <w:szCs w:val="28"/>
        </w:rPr>
        <w:t>известны как хорошие исполнители оффшорного программирования. Так, в июне 2012 г</w:t>
      </w:r>
      <w:r w:rsidR="00527900">
        <w:rPr>
          <w:rFonts w:ascii="Times New Roman" w:hAnsi="Times New Roman"/>
          <w:color w:val="000000"/>
          <w:sz w:val="28"/>
          <w:szCs w:val="28"/>
        </w:rPr>
        <w:t>ода</w:t>
      </w:r>
      <w:r w:rsidRPr="00094C60">
        <w:rPr>
          <w:rFonts w:ascii="Times New Roman" w:hAnsi="Times New Roman"/>
          <w:color w:val="000000"/>
          <w:sz w:val="28"/>
          <w:szCs w:val="28"/>
        </w:rPr>
        <w:t xml:space="preserve"> Кыргызстан посетили глава Совета директоров Google и исполнительный директор аналитического центра Google Ideas. Цел</w:t>
      </w:r>
      <w:r w:rsidR="00F90E48">
        <w:rPr>
          <w:rFonts w:ascii="Times New Roman" w:hAnsi="Times New Roman"/>
          <w:color w:val="000000"/>
          <w:sz w:val="28"/>
          <w:szCs w:val="28"/>
        </w:rPr>
        <w:t>ями</w:t>
      </w:r>
      <w:r w:rsidRPr="00094C60">
        <w:rPr>
          <w:rFonts w:ascii="Times New Roman" w:hAnsi="Times New Roman"/>
          <w:color w:val="000000"/>
          <w:sz w:val="28"/>
          <w:szCs w:val="28"/>
        </w:rPr>
        <w:t xml:space="preserve"> их приезда были оценка потенциала идей кыргызстанских IT</w:t>
      </w:r>
      <w:r w:rsidR="00903F7A">
        <w:rPr>
          <w:rFonts w:ascii="Times New Roman" w:hAnsi="Times New Roman"/>
          <w:color w:val="000000"/>
          <w:sz w:val="28"/>
          <w:szCs w:val="28"/>
        </w:rPr>
        <w:noBreakHyphen/>
      </w:r>
      <w:r w:rsidRPr="00094C60">
        <w:rPr>
          <w:rFonts w:ascii="Times New Roman" w:hAnsi="Times New Roman"/>
          <w:color w:val="000000"/>
          <w:sz w:val="28"/>
          <w:szCs w:val="28"/>
        </w:rPr>
        <w:t xml:space="preserve">специалистов и ознакомление с рынком интернет-услуг в </w:t>
      </w:r>
      <w:r w:rsidR="00527900" w:rsidRPr="00527900">
        <w:rPr>
          <w:rFonts w:ascii="Times New Roman" w:hAnsi="Times New Roman"/>
          <w:color w:val="000000"/>
          <w:sz w:val="28"/>
          <w:szCs w:val="28"/>
        </w:rPr>
        <w:t>Кыргызской Республик</w:t>
      </w:r>
      <w:r w:rsidR="00527900">
        <w:rPr>
          <w:rFonts w:ascii="Times New Roman" w:hAnsi="Times New Roman"/>
          <w:color w:val="000000"/>
          <w:sz w:val="28"/>
          <w:szCs w:val="28"/>
        </w:rPr>
        <w:t>е</w:t>
      </w:r>
      <w:r w:rsidRPr="00527900">
        <w:rPr>
          <w:rFonts w:ascii="Times New Roman" w:hAnsi="Times New Roman"/>
          <w:color w:val="000000"/>
          <w:sz w:val="28"/>
          <w:szCs w:val="28"/>
        </w:rPr>
        <w:t>.</w:t>
      </w:r>
      <w:r w:rsidRPr="00094C60">
        <w:rPr>
          <w:rFonts w:ascii="Times New Roman" w:hAnsi="Times New Roman"/>
          <w:color w:val="000000"/>
          <w:sz w:val="28"/>
          <w:szCs w:val="28"/>
        </w:rPr>
        <w:t xml:space="preserve"> </w:t>
      </w:r>
      <w:r w:rsidR="00F90E48">
        <w:rPr>
          <w:rFonts w:ascii="Times New Roman" w:hAnsi="Times New Roman"/>
          <w:color w:val="000000"/>
          <w:sz w:val="28"/>
          <w:szCs w:val="28"/>
        </w:rPr>
        <w:t>По результатам визита</w:t>
      </w:r>
      <w:r w:rsidRPr="00094C60">
        <w:rPr>
          <w:rFonts w:ascii="Times New Roman" w:hAnsi="Times New Roman"/>
          <w:color w:val="000000"/>
          <w:sz w:val="28"/>
          <w:szCs w:val="28"/>
        </w:rPr>
        <w:t xml:space="preserve"> Google открыл подразделение по Центральной Азии. Немаловажным фактором развития цифровой экономики является формирование ее полноценной инфраструктуры. В частности, создание Парка высоких технологий стало важным элементом развития </w:t>
      </w:r>
      <w:r w:rsidR="00F90E48">
        <w:rPr>
          <w:rFonts w:ascii="Times New Roman" w:hAnsi="Times New Roman"/>
          <w:color w:val="000000"/>
          <w:sz w:val="28"/>
          <w:szCs w:val="28"/>
        </w:rPr>
        <w:t>ИКТ</w:t>
      </w:r>
      <w:r w:rsidRPr="00094C60">
        <w:rPr>
          <w:rFonts w:ascii="Times New Roman" w:hAnsi="Times New Roman"/>
          <w:color w:val="000000"/>
          <w:sz w:val="28"/>
          <w:szCs w:val="28"/>
        </w:rPr>
        <w:t xml:space="preserve"> в стране. </w:t>
      </w:r>
    </w:p>
    <w:p w:rsidR="00F21C91"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 xml:space="preserve">Также действует </w:t>
      </w:r>
      <w:r w:rsidR="00527900">
        <w:rPr>
          <w:rFonts w:ascii="Times New Roman" w:hAnsi="Times New Roman"/>
          <w:color w:val="000000"/>
          <w:sz w:val="28"/>
          <w:szCs w:val="28"/>
        </w:rPr>
        <w:t>К</w:t>
      </w:r>
      <w:r w:rsidRPr="00094C60">
        <w:rPr>
          <w:rFonts w:ascii="Times New Roman" w:hAnsi="Times New Roman"/>
          <w:color w:val="000000"/>
          <w:sz w:val="28"/>
          <w:szCs w:val="28"/>
        </w:rPr>
        <w:t>ыргызская ассоциация разработчиков п</w:t>
      </w:r>
      <w:r w:rsidR="003B6BEC">
        <w:rPr>
          <w:rFonts w:ascii="Times New Roman" w:hAnsi="Times New Roman"/>
          <w:color w:val="000000"/>
          <w:sz w:val="28"/>
          <w:szCs w:val="28"/>
        </w:rPr>
        <w:t>рограммного обеспечения и услуг,</w:t>
      </w:r>
      <w:r w:rsidRPr="00094C60">
        <w:rPr>
          <w:rFonts w:ascii="Times New Roman" w:hAnsi="Times New Roman"/>
          <w:color w:val="000000"/>
          <w:sz w:val="28"/>
          <w:szCs w:val="28"/>
        </w:rPr>
        <w:t xml:space="preserve"> развива</w:t>
      </w:r>
      <w:r w:rsidR="003B6BEC">
        <w:rPr>
          <w:rFonts w:ascii="Times New Roman" w:hAnsi="Times New Roman"/>
          <w:color w:val="000000"/>
          <w:sz w:val="28"/>
          <w:szCs w:val="28"/>
        </w:rPr>
        <w:t>е</w:t>
      </w:r>
      <w:r w:rsidRPr="00094C60">
        <w:rPr>
          <w:rFonts w:ascii="Times New Roman" w:hAnsi="Times New Roman"/>
          <w:color w:val="000000"/>
          <w:sz w:val="28"/>
          <w:szCs w:val="28"/>
        </w:rPr>
        <w:t>тся рынок IT</w:t>
      </w:r>
      <w:r w:rsidR="00F9318B">
        <w:rPr>
          <w:rFonts w:ascii="Times New Roman" w:hAnsi="Times New Roman"/>
          <w:color w:val="000000"/>
          <w:sz w:val="28"/>
          <w:szCs w:val="28"/>
        </w:rPr>
        <w:noBreakHyphen/>
      </w:r>
      <w:r w:rsidRPr="00094C60">
        <w:rPr>
          <w:rFonts w:ascii="Times New Roman" w:hAnsi="Times New Roman"/>
          <w:color w:val="000000"/>
          <w:sz w:val="28"/>
          <w:szCs w:val="28"/>
        </w:rPr>
        <w:t>технологий. В сфере работает около 30 компаний. В 2012 г</w:t>
      </w:r>
      <w:r w:rsidR="00527900">
        <w:rPr>
          <w:rFonts w:ascii="Times New Roman" w:hAnsi="Times New Roman"/>
          <w:color w:val="000000"/>
          <w:sz w:val="28"/>
          <w:szCs w:val="28"/>
        </w:rPr>
        <w:t>оду</w:t>
      </w:r>
      <w:r w:rsidRPr="00094C60">
        <w:rPr>
          <w:rFonts w:ascii="Times New Roman" w:hAnsi="Times New Roman"/>
          <w:color w:val="000000"/>
          <w:sz w:val="28"/>
          <w:szCs w:val="28"/>
        </w:rPr>
        <w:t xml:space="preserve"> была начата популяризация проекта </w:t>
      </w:r>
      <w:r w:rsidR="004D2C9E">
        <w:rPr>
          <w:rFonts w:ascii="Times New Roman" w:hAnsi="Times New Roman"/>
          <w:color w:val="000000"/>
          <w:sz w:val="28"/>
          <w:szCs w:val="28"/>
        </w:rPr>
        <w:t>«</w:t>
      </w:r>
      <w:r w:rsidRPr="00094C60">
        <w:rPr>
          <w:rFonts w:ascii="Times New Roman" w:hAnsi="Times New Roman"/>
          <w:color w:val="000000"/>
          <w:sz w:val="28"/>
          <w:szCs w:val="28"/>
        </w:rPr>
        <w:t>Кыргызская Википедия</w:t>
      </w:r>
      <w:r w:rsidR="004D2C9E">
        <w:rPr>
          <w:rFonts w:ascii="Times New Roman" w:hAnsi="Times New Roman"/>
          <w:color w:val="000000"/>
          <w:sz w:val="28"/>
          <w:szCs w:val="28"/>
        </w:rPr>
        <w:t>»</w:t>
      </w:r>
      <w:r w:rsidRPr="00094C60">
        <w:rPr>
          <w:rFonts w:ascii="Times New Roman" w:hAnsi="Times New Roman"/>
          <w:color w:val="000000"/>
          <w:sz w:val="28"/>
          <w:szCs w:val="28"/>
        </w:rPr>
        <w:t>.</w:t>
      </w:r>
    </w:p>
    <w:p w:rsidR="0068434D" w:rsidRPr="00F21C91" w:rsidRDefault="00FC2D29" w:rsidP="006D0AF9">
      <w:pPr>
        <w:autoSpaceDE w:val="0"/>
        <w:autoSpaceDN w:val="0"/>
        <w:adjustRightInd w:val="0"/>
        <w:spacing w:after="0" w:line="330" w:lineRule="exact"/>
        <w:ind w:firstLine="709"/>
        <w:jc w:val="both"/>
        <w:rPr>
          <w:rFonts w:ascii="Times New Roman" w:hAnsi="Times New Roman"/>
          <w:color w:val="000000"/>
          <w:sz w:val="28"/>
          <w:szCs w:val="28"/>
        </w:rPr>
      </w:pPr>
      <w:r w:rsidRPr="00B66A84">
        <w:rPr>
          <w:rFonts w:ascii="Times New Roman" w:hAnsi="Times New Roman"/>
          <w:color w:val="000000"/>
          <w:sz w:val="28"/>
          <w:szCs w:val="28"/>
        </w:rPr>
        <w:t>С 15 мая 2017 года осуществлен полный переход на цифровое телевизионное вещание</w:t>
      </w:r>
      <w:r w:rsidR="00757070" w:rsidRPr="00B66A84">
        <w:rPr>
          <w:rFonts w:ascii="Times New Roman" w:hAnsi="Times New Roman"/>
          <w:color w:val="000000"/>
          <w:sz w:val="28"/>
          <w:szCs w:val="28"/>
        </w:rPr>
        <w:t xml:space="preserve"> </w:t>
      </w:r>
      <w:r w:rsidRPr="00B66A84">
        <w:rPr>
          <w:rFonts w:ascii="Times New Roman" w:hAnsi="Times New Roman"/>
          <w:color w:val="000000"/>
          <w:sz w:val="28"/>
          <w:szCs w:val="28"/>
        </w:rPr>
        <w:t>в рамка</w:t>
      </w:r>
      <w:r w:rsidR="00757070" w:rsidRPr="00B66A84">
        <w:rPr>
          <w:rFonts w:ascii="Times New Roman" w:hAnsi="Times New Roman"/>
          <w:color w:val="000000"/>
          <w:sz w:val="28"/>
          <w:szCs w:val="28"/>
        </w:rPr>
        <w:t>х реализации Программы перехода на цифровое телевизионное вещание в Кыргызской Республике, утвержденной постановлением Правительства</w:t>
      </w:r>
      <w:r w:rsidR="00757070" w:rsidRPr="00B66A84">
        <w:t xml:space="preserve"> </w:t>
      </w:r>
      <w:r w:rsidR="00757070" w:rsidRPr="00B66A84">
        <w:rPr>
          <w:rFonts w:ascii="Times New Roman" w:hAnsi="Times New Roman"/>
          <w:color w:val="000000"/>
          <w:sz w:val="28"/>
          <w:szCs w:val="28"/>
        </w:rPr>
        <w:t>Кыргызской Республики от 2 ноября 2011 года №</w:t>
      </w:r>
      <w:r w:rsidR="006D0AF9" w:rsidRPr="00B66A84">
        <w:rPr>
          <w:rFonts w:ascii="Times New Roman" w:hAnsi="Times New Roman"/>
          <w:color w:val="000000"/>
          <w:sz w:val="28"/>
          <w:szCs w:val="28"/>
        </w:rPr>
        <w:t> </w:t>
      </w:r>
      <w:r w:rsidR="00757070" w:rsidRPr="00B66A84">
        <w:rPr>
          <w:rFonts w:ascii="Times New Roman" w:hAnsi="Times New Roman"/>
          <w:color w:val="000000"/>
          <w:sz w:val="28"/>
          <w:szCs w:val="28"/>
        </w:rPr>
        <w:t xml:space="preserve">692 и Планом технических мероприятий по строительству сети </w:t>
      </w:r>
      <w:r w:rsidR="001B1315" w:rsidRPr="00B66A84">
        <w:rPr>
          <w:rFonts w:ascii="Times New Roman" w:hAnsi="Times New Roman"/>
          <w:color w:val="000000"/>
          <w:sz w:val="28"/>
          <w:szCs w:val="28"/>
        </w:rPr>
        <w:t>цифрового телевизионного вещания</w:t>
      </w:r>
      <w:r w:rsidR="00757070" w:rsidRPr="00B66A84">
        <w:rPr>
          <w:rFonts w:ascii="Times New Roman" w:hAnsi="Times New Roman"/>
          <w:color w:val="000000"/>
          <w:sz w:val="28"/>
          <w:szCs w:val="28"/>
        </w:rPr>
        <w:t xml:space="preserve"> в Кыргызской Республике, разработанного </w:t>
      </w:r>
      <w:r w:rsidR="006D0AF9" w:rsidRPr="00B66A84">
        <w:rPr>
          <w:rFonts w:ascii="Times New Roman" w:hAnsi="Times New Roman"/>
          <w:color w:val="000000"/>
          <w:sz w:val="28"/>
          <w:szCs w:val="28"/>
        </w:rPr>
        <w:br/>
      </w:r>
      <w:r w:rsidR="00757070" w:rsidRPr="00B66A84">
        <w:rPr>
          <w:rFonts w:ascii="Times New Roman" w:hAnsi="Times New Roman"/>
          <w:color w:val="000000"/>
          <w:sz w:val="28"/>
          <w:szCs w:val="28"/>
        </w:rPr>
        <w:t>ОАО «Республиканское производственное объединение радиорелейных магистралей, телевидения и радиовещания».</w:t>
      </w:r>
    </w:p>
    <w:p w:rsidR="0068434D"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Всемирным банком был реализован проект регистрации земли и недвижимости в период 2008</w:t>
      </w:r>
      <w:r w:rsidR="00F9318B">
        <w:rPr>
          <w:rFonts w:ascii="Times New Roman" w:hAnsi="Times New Roman"/>
          <w:color w:val="000000"/>
          <w:sz w:val="28"/>
          <w:szCs w:val="28"/>
        </w:rPr>
        <w:t>–</w:t>
      </w:r>
      <w:r w:rsidRPr="00094C60">
        <w:rPr>
          <w:rFonts w:ascii="Times New Roman" w:hAnsi="Times New Roman"/>
          <w:color w:val="000000"/>
          <w:sz w:val="28"/>
          <w:szCs w:val="28"/>
        </w:rPr>
        <w:t>2013</w:t>
      </w:r>
      <w:r w:rsidR="00AD3823">
        <w:rPr>
          <w:rFonts w:ascii="Times New Roman" w:hAnsi="Times New Roman"/>
          <w:color w:val="000000"/>
          <w:sz w:val="28"/>
          <w:szCs w:val="28"/>
        </w:rPr>
        <w:t xml:space="preserve"> </w:t>
      </w:r>
      <w:r w:rsidR="00527900">
        <w:rPr>
          <w:rFonts w:ascii="Times New Roman" w:hAnsi="Times New Roman"/>
          <w:color w:val="000000"/>
          <w:sz w:val="28"/>
          <w:szCs w:val="28"/>
        </w:rPr>
        <w:t>год</w:t>
      </w:r>
      <w:r w:rsidR="00F90E48">
        <w:rPr>
          <w:rFonts w:ascii="Times New Roman" w:hAnsi="Times New Roman"/>
          <w:color w:val="000000"/>
          <w:sz w:val="28"/>
          <w:szCs w:val="28"/>
        </w:rPr>
        <w:t>ов</w:t>
      </w:r>
      <w:r w:rsidRPr="00094C60">
        <w:rPr>
          <w:rFonts w:ascii="Times New Roman" w:hAnsi="Times New Roman"/>
          <w:color w:val="000000"/>
          <w:sz w:val="28"/>
          <w:szCs w:val="28"/>
        </w:rPr>
        <w:t>. Это также позволило создать геогра</w:t>
      </w:r>
      <w:r w:rsidR="00F90E48">
        <w:rPr>
          <w:rFonts w:ascii="Times New Roman" w:hAnsi="Times New Roman"/>
          <w:color w:val="000000"/>
          <w:sz w:val="28"/>
          <w:szCs w:val="28"/>
        </w:rPr>
        <w:t>фическую информационную систему</w:t>
      </w:r>
      <w:r w:rsidRPr="00094C60">
        <w:rPr>
          <w:rFonts w:ascii="Times New Roman" w:hAnsi="Times New Roman"/>
          <w:color w:val="000000"/>
          <w:sz w:val="28"/>
          <w:szCs w:val="28"/>
        </w:rPr>
        <w:t xml:space="preserve">. </w:t>
      </w:r>
    </w:p>
    <w:p w:rsidR="0068434D" w:rsidRPr="00094C60" w:rsidRDefault="00AD3823"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0068434D" w:rsidRPr="00094C60">
        <w:rPr>
          <w:rFonts w:ascii="Times New Roman" w:hAnsi="Times New Roman"/>
          <w:color w:val="000000"/>
          <w:sz w:val="28"/>
          <w:szCs w:val="28"/>
        </w:rPr>
        <w:t>2014 г</w:t>
      </w:r>
      <w:r>
        <w:rPr>
          <w:rFonts w:ascii="Times New Roman" w:hAnsi="Times New Roman"/>
          <w:color w:val="000000"/>
          <w:sz w:val="28"/>
          <w:szCs w:val="28"/>
        </w:rPr>
        <w:t>оду</w:t>
      </w:r>
      <w:r w:rsidR="0068434D" w:rsidRPr="00094C60">
        <w:rPr>
          <w:rFonts w:ascii="Times New Roman" w:hAnsi="Times New Roman"/>
          <w:color w:val="000000"/>
          <w:sz w:val="28"/>
          <w:szCs w:val="28"/>
        </w:rPr>
        <w:t xml:space="preserve"> был реализован проект </w:t>
      </w:r>
      <w:r w:rsidR="004D2C9E">
        <w:rPr>
          <w:rFonts w:ascii="Times New Roman" w:hAnsi="Times New Roman"/>
          <w:color w:val="000000"/>
          <w:sz w:val="28"/>
          <w:szCs w:val="28"/>
        </w:rPr>
        <w:t>«</w:t>
      </w:r>
      <w:r w:rsidR="0068434D" w:rsidRPr="00094C60">
        <w:rPr>
          <w:rFonts w:ascii="Times New Roman" w:hAnsi="Times New Roman"/>
          <w:color w:val="000000"/>
          <w:sz w:val="28"/>
          <w:szCs w:val="28"/>
        </w:rPr>
        <w:t xml:space="preserve">Электронный кошелек </w:t>
      </w:r>
      <w:r w:rsidR="004D2C9E">
        <w:rPr>
          <w:rFonts w:ascii="Times New Roman" w:hAnsi="Times New Roman"/>
          <w:color w:val="000000"/>
          <w:sz w:val="28"/>
          <w:szCs w:val="28"/>
        </w:rPr>
        <w:t>«</w:t>
      </w:r>
      <w:r w:rsidR="0068434D" w:rsidRPr="00094C60">
        <w:rPr>
          <w:rFonts w:ascii="Times New Roman" w:hAnsi="Times New Roman"/>
          <w:color w:val="000000"/>
          <w:sz w:val="28"/>
          <w:szCs w:val="28"/>
        </w:rPr>
        <w:t>ЭЛСОМ</w:t>
      </w:r>
      <w:r w:rsidR="004D2C9E">
        <w:rPr>
          <w:rFonts w:ascii="Times New Roman" w:hAnsi="Times New Roman"/>
          <w:color w:val="000000"/>
          <w:sz w:val="28"/>
          <w:szCs w:val="28"/>
        </w:rPr>
        <w:t>»</w:t>
      </w:r>
      <w:r w:rsidR="00F90E48">
        <w:rPr>
          <w:rFonts w:ascii="Times New Roman" w:hAnsi="Times New Roman"/>
          <w:color w:val="000000"/>
          <w:sz w:val="28"/>
          <w:szCs w:val="28"/>
        </w:rPr>
        <w:t>,</w:t>
      </w:r>
      <w:r w:rsidR="0068434D" w:rsidRPr="00094C60">
        <w:rPr>
          <w:rFonts w:ascii="Times New Roman" w:hAnsi="Times New Roman"/>
          <w:color w:val="000000"/>
          <w:sz w:val="28"/>
          <w:szCs w:val="28"/>
        </w:rPr>
        <w:t xml:space="preserve"> </w:t>
      </w:r>
      <w:r w:rsidR="00F90E48">
        <w:rPr>
          <w:rFonts w:ascii="Times New Roman" w:hAnsi="Times New Roman"/>
          <w:color w:val="000000"/>
          <w:sz w:val="28"/>
          <w:szCs w:val="28"/>
        </w:rPr>
        <w:t>который представляет собой</w:t>
      </w:r>
      <w:r w:rsidR="0068434D" w:rsidRPr="00094C60">
        <w:rPr>
          <w:rFonts w:ascii="Times New Roman" w:hAnsi="Times New Roman"/>
          <w:color w:val="000000"/>
          <w:sz w:val="28"/>
          <w:szCs w:val="28"/>
        </w:rPr>
        <w:t xml:space="preserve"> виртуальный счет, представленный номером мобильного устройства, позволяющий совершать покупки в магазинах, в т</w:t>
      </w:r>
      <w:r w:rsidR="00F90E48">
        <w:rPr>
          <w:rFonts w:ascii="Times New Roman" w:hAnsi="Times New Roman"/>
          <w:color w:val="000000"/>
          <w:sz w:val="28"/>
          <w:szCs w:val="28"/>
        </w:rPr>
        <w:t>ом числе</w:t>
      </w:r>
      <w:r w:rsidR="0068434D" w:rsidRPr="00094C60">
        <w:rPr>
          <w:rFonts w:ascii="Times New Roman" w:hAnsi="Times New Roman"/>
          <w:color w:val="000000"/>
          <w:sz w:val="28"/>
          <w:szCs w:val="28"/>
        </w:rPr>
        <w:t xml:space="preserve"> на сайтах интернет-магазинов, оплачивать услуги ЖКХ, Интернета и кабельного телевидения, вкладывать, переводить и обналичивать деньги электронным путем. Он охватывает возможности банковского счета, но предлагает пользователю более удобный и простой способ совершать финансовые операции мобильно, в т</w:t>
      </w:r>
      <w:r w:rsidR="00F90E48">
        <w:rPr>
          <w:rFonts w:ascii="Times New Roman" w:hAnsi="Times New Roman"/>
          <w:color w:val="000000"/>
          <w:sz w:val="28"/>
          <w:szCs w:val="28"/>
        </w:rPr>
        <w:t>ом числе</w:t>
      </w:r>
      <w:r w:rsidR="0068434D" w:rsidRPr="00094C60">
        <w:rPr>
          <w:rFonts w:ascii="Times New Roman" w:hAnsi="Times New Roman"/>
          <w:color w:val="000000"/>
          <w:sz w:val="28"/>
          <w:szCs w:val="28"/>
        </w:rPr>
        <w:t xml:space="preserve"> задействовав свой банковский счет. Предоставляется возможность совершать операции в любом месте и в любое время при условии доступности мобильной сети. Через год после запуска в республике насчитывалось более 135 тыс. пользователей электронного кошелька </w:t>
      </w:r>
      <w:r w:rsidR="004D2C9E">
        <w:rPr>
          <w:rFonts w:ascii="Times New Roman" w:hAnsi="Times New Roman"/>
          <w:color w:val="000000"/>
          <w:sz w:val="28"/>
          <w:szCs w:val="28"/>
        </w:rPr>
        <w:t>«</w:t>
      </w:r>
      <w:r w:rsidR="0068434D" w:rsidRPr="00094C60">
        <w:rPr>
          <w:rFonts w:ascii="Times New Roman" w:hAnsi="Times New Roman"/>
          <w:color w:val="000000"/>
          <w:sz w:val="28"/>
          <w:szCs w:val="28"/>
        </w:rPr>
        <w:t>ЭЛСОМ</w:t>
      </w:r>
      <w:r w:rsidR="004D2C9E">
        <w:rPr>
          <w:rFonts w:ascii="Times New Roman" w:hAnsi="Times New Roman"/>
          <w:color w:val="000000"/>
          <w:sz w:val="28"/>
          <w:szCs w:val="28"/>
        </w:rPr>
        <w:t>»</w:t>
      </w:r>
      <w:r w:rsidR="0068434D" w:rsidRPr="00094C60">
        <w:rPr>
          <w:rFonts w:ascii="Times New Roman" w:hAnsi="Times New Roman"/>
          <w:color w:val="000000"/>
          <w:sz w:val="28"/>
          <w:szCs w:val="28"/>
        </w:rPr>
        <w:t>, 1</w:t>
      </w:r>
      <w:r w:rsidR="0037459F">
        <w:rPr>
          <w:rFonts w:ascii="Times New Roman" w:hAnsi="Times New Roman"/>
          <w:color w:val="000000"/>
          <w:sz w:val="28"/>
          <w:szCs w:val="28"/>
        </w:rPr>
        <w:t> </w:t>
      </w:r>
      <w:r w:rsidR="0068434D" w:rsidRPr="00094C60">
        <w:rPr>
          <w:rFonts w:ascii="Times New Roman" w:hAnsi="Times New Roman"/>
          <w:color w:val="000000"/>
          <w:sz w:val="28"/>
          <w:szCs w:val="28"/>
        </w:rPr>
        <w:t xml:space="preserve">300 агентов и торговых точек. </w:t>
      </w:r>
    </w:p>
    <w:p w:rsidR="0068434D"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В 2015 г</w:t>
      </w:r>
      <w:r w:rsidR="00AD3823">
        <w:rPr>
          <w:rFonts w:ascii="Times New Roman" w:hAnsi="Times New Roman"/>
          <w:color w:val="000000"/>
          <w:sz w:val="28"/>
          <w:szCs w:val="28"/>
        </w:rPr>
        <w:t>оду</w:t>
      </w:r>
      <w:r w:rsidRPr="00094C60">
        <w:rPr>
          <w:rFonts w:ascii="Times New Roman" w:hAnsi="Times New Roman"/>
          <w:color w:val="000000"/>
          <w:sz w:val="28"/>
          <w:szCs w:val="28"/>
        </w:rPr>
        <w:t xml:space="preserve"> началась разработка проекта </w:t>
      </w:r>
      <w:r w:rsidR="004D2C9E">
        <w:rPr>
          <w:rFonts w:ascii="Times New Roman" w:hAnsi="Times New Roman"/>
          <w:color w:val="000000"/>
          <w:sz w:val="28"/>
          <w:szCs w:val="28"/>
        </w:rPr>
        <w:t>«</w:t>
      </w:r>
      <w:r w:rsidRPr="00094C60">
        <w:rPr>
          <w:rFonts w:ascii="Times New Roman" w:hAnsi="Times New Roman"/>
          <w:color w:val="000000"/>
          <w:sz w:val="28"/>
          <w:szCs w:val="28"/>
        </w:rPr>
        <w:t xml:space="preserve">Развитие агентских услуг по электронному кошельку </w:t>
      </w:r>
      <w:r w:rsidR="004D2C9E">
        <w:rPr>
          <w:rFonts w:ascii="Times New Roman" w:hAnsi="Times New Roman"/>
          <w:color w:val="000000"/>
          <w:sz w:val="28"/>
          <w:szCs w:val="28"/>
        </w:rPr>
        <w:t>«</w:t>
      </w:r>
      <w:r w:rsidRPr="00094C60">
        <w:rPr>
          <w:rFonts w:ascii="Times New Roman" w:hAnsi="Times New Roman"/>
          <w:color w:val="000000"/>
          <w:sz w:val="28"/>
          <w:szCs w:val="28"/>
        </w:rPr>
        <w:t>ЭЛСОМ</w:t>
      </w:r>
      <w:r w:rsidR="004D2C9E">
        <w:rPr>
          <w:rFonts w:ascii="Times New Roman" w:hAnsi="Times New Roman"/>
          <w:color w:val="000000"/>
          <w:sz w:val="28"/>
          <w:szCs w:val="28"/>
        </w:rPr>
        <w:t>»</w:t>
      </w:r>
      <w:r w:rsidRPr="00094C60">
        <w:rPr>
          <w:rFonts w:ascii="Times New Roman" w:hAnsi="Times New Roman"/>
          <w:color w:val="000000"/>
          <w:sz w:val="28"/>
          <w:szCs w:val="28"/>
        </w:rPr>
        <w:t xml:space="preserve"> для предоставления агентских услуг ГП </w:t>
      </w:r>
      <w:r w:rsidR="004D2C9E">
        <w:rPr>
          <w:rFonts w:ascii="Times New Roman" w:hAnsi="Times New Roman"/>
          <w:color w:val="000000"/>
          <w:sz w:val="28"/>
          <w:szCs w:val="28"/>
        </w:rPr>
        <w:t>«</w:t>
      </w:r>
      <w:r w:rsidRPr="00094C60">
        <w:rPr>
          <w:rFonts w:ascii="Times New Roman" w:hAnsi="Times New Roman"/>
          <w:color w:val="000000"/>
          <w:sz w:val="28"/>
          <w:szCs w:val="28"/>
        </w:rPr>
        <w:t>Кыргыз почтасы</w:t>
      </w:r>
      <w:r w:rsidR="004D2C9E">
        <w:rPr>
          <w:rFonts w:ascii="Times New Roman" w:hAnsi="Times New Roman"/>
          <w:color w:val="000000"/>
          <w:sz w:val="28"/>
          <w:szCs w:val="28"/>
        </w:rPr>
        <w:t>»</w:t>
      </w:r>
      <w:r w:rsidRPr="00094C60">
        <w:rPr>
          <w:rFonts w:ascii="Times New Roman" w:hAnsi="Times New Roman"/>
          <w:color w:val="000000"/>
          <w:sz w:val="28"/>
          <w:szCs w:val="28"/>
        </w:rPr>
        <w:t xml:space="preserve"> для населения по электронному кошельку </w:t>
      </w:r>
      <w:r w:rsidR="004D2C9E">
        <w:rPr>
          <w:rFonts w:ascii="Times New Roman" w:hAnsi="Times New Roman"/>
          <w:color w:val="000000"/>
          <w:sz w:val="28"/>
          <w:szCs w:val="28"/>
        </w:rPr>
        <w:t>«</w:t>
      </w:r>
      <w:r w:rsidRPr="00094C60">
        <w:rPr>
          <w:rFonts w:ascii="Times New Roman" w:hAnsi="Times New Roman"/>
          <w:color w:val="000000"/>
          <w:sz w:val="28"/>
          <w:szCs w:val="28"/>
        </w:rPr>
        <w:t>ЭЛСОМ</w:t>
      </w:r>
      <w:r w:rsidR="004D2C9E">
        <w:rPr>
          <w:rFonts w:ascii="Times New Roman" w:hAnsi="Times New Roman"/>
          <w:color w:val="000000"/>
          <w:sz w:val="28"/>
          <w:szCs w:val="28"/>
        </w:rPr>
        <w:t>»</w:t>
      </w:r>
      <w:r w:rsidRPr="00094C60">
        <w:rPr>
          <w:rFonts w:ascii="Times New Roman" w:hAnsi="Times New Roman"/>
          <w:color w:val="000000"/>
          <w:sz w:val="28"/>
          <w:szCs w:val="28"/>
        </w:rPr>
        <w:t>. Еще одним проектом по созданию благоприятных условий для коммерческой деятельности, реализованным в 2015 г</w:t>
      </w:r>
      <w:r w:rsidR="00AD3823">
        <w:rPr>
          <w:rFonts w:ascii="Times New Roman" w:hAnsi="Times New Roman"/>
          <w:color w:val="000000"/>
          <w:sz w:val="28"/>
          <w:szCs w:val="28"/>
        </w:rPr>
        <w:t>оду</w:t>
      </w:r>
      <w:r w:rsidRPr="00094C60">
        <w:rPr>
          <w:rFonts w:ascii="Times New Roman" w:hAnsi="Times New Roman"/>
          <w:color w:val="000000"/>
          <w:sz w:val="28"/>
          <w:szCs w:val="28"/>
        </w:rPr>
        <w:t xml:space="preserve">, является </w:t>
      </w:r>
      <w:r w:rsidR="004D2C9E">
        <w:rPr>
          <w:rFonts w:ascii="Times New Roman" w:hAnsi="Times New Roman"/>
          <w:color w:val="000000"/>
          <w:sz w:val="28"/>
          <w:szCs w:val="28"/>
        </w:rPr>
        <w:t>«</w:t>
      </w:r>
      <w:r w:rsidRPr="00094C60">
        <w:rPr>
          <w:rFonts w:ascii="Times New Roman" w:hAnsi="Times New Roman"/>
          <w:color w:val="000000"/>
          <w:sz w:val="28"/>
          <w:szCs w:val="28"/>
        </w:rPr>
        <w:t>Запуск сервиса онлайн-процессинга</w:t>
      </w:r>
      <w:r w:rsidR="004D2C9E">
        <w:rPr>
          <w:rFonts w:ascii="Times New Roman" w:hAnsi="Times New Roman"/>
          <w:color w:val="000000"/>
          <w:sz w:val="28"/>
          <w:szCs w:val="28"/>
        </w:rPr>
        <w:t>»</w:t>
      </w:r>
      <w:r w:rsidRPr="00094C60">
        <w:rPr>
          <w:rFonts w:ascii="Times New Roman" w:hAnsi="Times New Roman"/>
          <w:color w:val="000000"/>
          <w:sz w:val="28"/>
          <w:szCs w:val="28"/>
        </w:rPr>
        <w:t xml:space="preserve">. Суть проекта состоит во внедрении системы электронных платежей PayOnline в Кыргызстане. Прием платежей по банковским картам производится в национальной валюте Кыргызстана – сомах. В настоящее время в республике работает 60 интернет-магазинов, и наличие надежной системы электронных платежей является действенным стимулом для их развития. </w:t>
      </w:r>
    </w:p>
    <w:p w:rsidR="0068434D"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 xml:space="preserve">Активно </w:t>
      </w:r>
      <w:r w:rsidR="00F90E48">
        <w:rPr>
          <w:rFonts w:ascii="Times New Roman" w:hAnsi="Times New Roman"/>
          <w:color w:val="000000"/>
          <w:sz w:val="28"/>
          <w:szCs w:val="28"/>
        </w:rPr>
        <w:t>развиваются</w:t>
      </w:r>
      <w:r w:rsidRPr="00094C60">
        <w:rPr>
          <w:rFonts w:ascii="Times New Roman" w:hAnsi="Times New Roman"/>
          <w:color w:val="000000"/>
          <w:sz w:val="28"/>
          <w:szCs w:val="28"/>
        </w:rPr>
        <w:t xml:space="preserve"> и внедр</w:t>
      </w:r>
      <w:r w:rsidR="00F90E48">
        <w:rPr>
          <w:rFonts w:ascii="Times New Roman" w:hAnsi="Times New Roman"/>
          <w:color w:val="000000"/>
          <w:sz w:val="28"/>
          <w:szCs w:val="28"/>
        </w:rPr>
        <w:t>яются</w:t>
      </w:r>
      <w:r w:rsidRPr="00094C60">
        <w:rPr>
          <w:rFonts w:ascii="Times New Roman" w:hAnsi="Times New Roman"/>
          <w:color w:val="000000"/>
          <w:sz w:val="28"/>
          <w:szCs w:val="28"/>
        </w:rPr>
        <w:t xml:space="preserve"> элемент</w:t>
      </w:r>
      <w:r w:rsidR="00F90E48">
        <w:rPr>
          <w:rFonts w:ascii="Times New Roman" w:hAnsi="Times New Roman"/>
          <w:color w:val="000000"/>
          <w:sz w:val="28"/>
          <w:szCs w:val="28"/>
        </w:rPr>
        <w:t>ы</w:t>
      </w:r>
      <w:r w:rsidRPr="00094C60">
        <w:rPr>
          <w:rFonts w:ascii="Times New Roman" w:hAnsi="Times New Roman"/>
          <w:color w:val="000000"/>
          <w:sz w:val="28"/>
          <w:szCs w:val="28"/>
        </w:rPr>
        <w:t xml:space="preserve"> цифрового управления в государственных органах власти. В Министерстве сельского и водного хозяйства с 1998 г</w:t>
      </w:r>
      <w:r w:rsidR="00AD3823">
        <w:rPr>
          <w:rFonts w:ascii="Times New Roman" w:hAnsi="Times New Roman"/>
          <w:color w:val="000000"/>
          <w:sz w:val="28"/>
          <w:szCs w:val="28"/>
        </w:rPr>
        <w:t>ода</w:t>
      </w:r>
      <w:r w:rsidRPr="00094C60">
        <w:rPr>
          <w:rFonts w:ascii="Times New Roman" w:hAnsi="Times New Roman"/>
          <w:color w:val="000000"/>
          <w:sz w:val="28"/>
          <w:szCs w:val="28"/>
        </w:rPr>
        <w:t xml:space="preserve"> в составе проекта </w:t>
      </w:r>
      <w:r w:rsidR="004D2C9E">
        <w:rPr>
          <w:rFonts w:ascii="Times New Roman" w:hAnsi="Times New Roman"/>
          <w:color w:val="000000"/>
          <w:sz w:val="28"/>
          <w:szCs w:val="28"/>
        </w:rPr>
        <w:t>«</w:t>
      </w:r>
      <w:r w:rsidRPr="00094C60">
        <w:rPr>
          <w:rFonts w:ascii="Times New Roman" w:hAnsi="Times New Roman"/>
          <w:color w:val="000000"/>
          <w:sz w:val="28"/>
          <w:szCs w:val="28"/>
        </w:rPr>
        <w:t>Поддержка вспомогательных сельскохозяйственных услуг</w:t>
      </w:r>
      <w:r w:rsidR="004D2C9E">
        <w:rPr>
          <w:rFonts w:ascii="Times New Roman" w:hAnsi="Times New Roman"/>
          <w:color w:val="000000"/>
          <w:sz w:val="28"/>
          <w:szCs w:val="28"/>
        </w:rPr>
        <w:t>»</w:t>
      </w:r>
      <w:r w:rsidRPr="00094C60">
        <w:rPr>
          <w:rFonts w:ascii="Times New Roman" w:hAnsi="Times New Roman"/>
          <w:color w:val="000000"/>
          <w:sz w:val="28"/>
          <w:szCs w:val="28"/>
        </w:rPr>
        <w:t xml:space="preserve"> Всемирным банком разработан проект </w:t>
      </w:r>
      <w:r w:rsidR="004D2C9E">
        <w:rPr>
          <w:rFonts w:ascii="Times New Roman" w:hAnsi="Times New Roman"/>
          <w:color w:val="000000"/>
          <w:sz w:val="28"/>
          <w:szCs w:val="28"/>
        </w:rPr>
        <w:t>«</w:t>
      </w:r>
      <w:r w:rsidRPr="00094C60">
        <w:rPr>
          <w:rFonts w:ascii="Times New Roman" w:hAnsi="Times New Roman"/>
          <w:color w:val="000000"/>
          <w:sz w:val="28"/>
          <w:szCs w:val="28"/>
        </w:rPr>
        <w:t>Кыргызская агропромышленная рыночная информационная система</w:t>
      </w:r>
      <w:r w:rsidR="004D2C9E">
        <w:rPr>
          <w:rFonts w:ascii="Times New Roman" w:hAnsi="Times New Roman"/>
          <w:color w:val="000000"/>
          <w:sz w:val="28"/>
          <w:szCs w:val="28"/>
        </w:rPr>
        <w:t>»</w:t>
      </w:r>
      <w:r w:rsidRPr="00094C60">
        <w:rPr>
          <w:rFonts w:ascii="Times New Roman" w:hAnsi="Times New Roman"/>
          <w:color w:val="000000"/>
          <w:sz w:val="28"/>
          <w:szCs w:val="28"/>
        </w:rPr>
        <w:t>, цел</w:t>
      </w:r>
      <w:r w:rsidR="00F90E48">
        <w:rPr>
          <w:rFonts w:ascii="Times New Roman" w:hAnsi="Times New Roman"/>
          <w:color w:val="000000"/>
          <w:sz w:val="28"/>
          <w:szCs w:val="28"/>
        </w:rPr>
        <w:t>ями</w:t>
      </w:r>
      <w:r w:rsidRPr="00094C60">
        <w:rPr>
          <w:rFonts w:ascii="Times New Roman" w:hAnsi="Times New Roman"/>
          <w:color w:val="000000"/>
          <w:sz w:val="28"/>
          <w:szCs w:val="28"/>
        </w:rPr>
        <w:t xml:space="preserve"> которого явля</w:t>
      </w:r>
      <w:r w:rsidR="00B01E5B">
        <w:rPr>
          <w:rFonts w:ascii="Times New Roman" w:hAnsi="Times New Roman"/>
          <w:color w:val="000000"/>
          <w:sz w:val="28"/>
          <w:szCs w:val="28"/>
        </w:rPr>
        <w:t>ю</w:t>
      </w:r>
      <w:r w:rsidRPr="00094C60">
        <w:rPr>
          <w:rFonts w:ascii="Times New Roman" w:hAnsi="Times New Roman"/>
          <w:color w:val="000000"/>
          <w:sz w:val="28"/>
          <w:szCs w:val="28"/>
        </w:rPr>
        <w:t xml:space="preserve">тся создание базы данных по ценам на сельскохозяйственную продукцию на рынках Кыргызстана и Центральной Азии и распространение информации о продажах и покупках. </w:t>
      </w:r>
    </w:p>
    <w:p w:rsidR="0068434D"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Другой проект</w:t>
      </w:r>
      <w:r w:rsidR="00F90E48">
        <w:rPr>
          <w:rFonts w:ascii="Times New Roman" w:hAnsi="Times New Roman"/>
          <w:color w:val="000000"/>
          <w:sz w:val="28"/>
          <w:szCs w:val="28"/>
        </w:rPr>
        <w:t>, стартовавший</w:t>
      </w:r>
      <w:r w:rsidRPr="00094C60">
        <w:rPr>
          <w:rFonts w:ascii="Times New Roman" w:hAnsi="Times New Roman"/>
          <w:color w:val="000000"/>
          <w:sz w:val="28"/>
          <w:szCs w:val="28"/>
        </w:rPr>
        <w:t xml:space="preserve"> в 2000 г</w:t>
      </w:r>
      <w:r w:rsidR="00BD15D3">
        <w:rPr>
          <w:rFonts w:ascii="Times New Roman" w:hAnsi="Times New Roman"/>
          <w:color w:val="000000"/>
          <w:sz w:val="28"/>
          <w:szCs w:val="28"/>
        </w:rPr>
        <w:t>оду</w:t>
      </w:r>
      <w:r w:rsidR="00F90E48">
        <w:rPr>
          <w:rFonts w:ascii="Times New Roman" w:hAnsi="Times New Roman"/>
          <w:color w:val="000000"/>
          <w:sz w:val="28"/>
          <w:szCs w:val="28"/>
        </w:rPr>
        <w:t>, это</w:t>
      </w:r>
      <w:r w:rsidRPr="00094C60">
        <w:rPr>
          <w:rFonts w:ascii="Times New Roman" w:hAnsi="Times New Roman"/>
          <w:color w:val="000000"/>
          <w:sz w:val="28"/>
          <w:szCs w:val="28"/>
        </w:rPr>
        <w:t xml:space="preserve"> SIMIS – Информационная система управления ирригационными сетями, целью которого является введение пакетов компьютерных программ для эффективной эксплуатации и содержания ирригационных систем. </w:t>
      </w:r>
    </w:p>
    <w:p w:rsidR="0068434D"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В 2014 г</w:t>
      </w:r>
      <w:r w:rsidR="00BD15D3">
        <w:rPr>
          <w:rFonts w:ascii="Times New Roman" w:hAnsi="Times New Roman"/>
          <w:color w:val="000000"/>
          <w:sz w:val="28"/>
          <w:szCs w:val="28"/>
        </w:rPr>
        <w:t>оду</w:t>
      </w:r>
      <w:r w:rsidRPr="00094C60">
        <w:rPr>
          <w:rFonts w:ascii="Times New Roman" w:hAnsi="Times New Roman"/>
          <w:color w:val="000000"/>
          <w:sz w:val="28"/>
          <w:szCs w:val="28"/>
        </w:rPr>
        <w:t xml:space="preserve"> в рамках инициативы Программы ООН по окружающей среде </w:t>
      </w:r>
      <w:r w:rsidR="004D2C9E">
        <w:rPr>
          <w:rFonts w:ascii="Times New Roman" w:hAnsi="Times New Roman"/>
          <w:color w:val="000000"/>
          <w:sz w:val="28"/>
          <w:szCs w:val="28"/>
        </w:rPr>
        <w:t>«</w:t>
      </w:r>
      <w:r w:rsidRPr="00094C60">
        <w:rPr>
          <w:rFonts w:ascii="Times New Roman" w:hAnsi="Times New Roman"/>
          <w:color w:val="000000"/>
          <w:sz w:val="28"/>
          <w:szCs w:val="28"/>
        </w:rPr>
        <w:t>Бедность и окружающая среда</w:t>
      </w:r>
      <w:r w:rsidR="004D2C9E">
        <w:rPr>
          <w:rFonts w:ascii="Times New Roman" w:hAnsi="Times New Roman"/>
          <w:color w:val="000000"/>
          <w:sz w:val="28"/>
          <w:szCs w:val="28"/>
        </w:rPr>
        <w:t>»</w:t>
      </w:r>
      <w:r w:rsidRPr="00094C60">
        <w:rPr>
          <w:rFonts w:ascii="Times New Roman" w:hAnsi="Times New Roman"/>
          <w:color w:val="000000"/>
          <w:sz w:val="28"/>
          <w:szCs w:val="28"/>
        </w:rPr>
        <w:t xml:space="preserve"> были проведены работы по внедрению электронной системы управления пастбищами, которая позволяет принимать решения по управлению пастбищными ресурсами в режиме реального времени. С ее помощью можно вести учет пастбищных участков, количества пастбищ, пользователей, скота, вакцинации скота, платы за поголовье скота и выданных пастбищных билетов. Кроме того, с помощью системы можно регулярно отслеживать процесс деградации пастбищ и своевременно принимать меры для их устойчивого управления. </w:t>
      </w:r>
    </w:p>
    <w:p w:rsidR="0068434D"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 xml:space="preserve">Министерством образования и науки запущен научный портал nauka.kg и введена в действие Кыргызская научно-образовательная компьютерная сеть. В Кыргызстане также действует </w:t>
      </w:r>
      <w:r w:rsidR="00B53D39" w:rsidRPr="00B53D39">
        <w:rPr>
          <w:rFonts w:ascii="Times New Roman" w:hAnsi="Times New Roman"/>
          <w:color w:val="000000"/>
          <w:sz w:val="28"/>
          <w:szCs w:val="28"/>
        </w:rPr>
        <w:t xml:space="preserve">исследовательская сеть Национального научного фонда США </w:t>
      </w:r>
      <w:r w:rsidRPr="00094C60">
        <w:rPr>
          <w:rFonts w:ascii="Times New Roman" w:hAnsi="Times New Roman"/>
          <w:color w:val="000000"/>
          <w:sz w:val="28"/>
          <w:szCs w:val="28"/>
        </w:rPr>
        <w:t>KRENA. Помимо KRENA, в Кыргызстане функционирует Центрально</w:t>
      </w:r>
      <w:r w:rsidR="00BD15D3">
        <w:rPr>
          <w:rFonts w:ascii="Times New Roman" w:hAnsi="Times New Roman"/>
          <w:color w:val="000000"/>
          <w:sz w:val="28"/>
          <w:szCs w:val="28"/>
        </w:rPr>
        <w:t>-</w:t>
      </w:r>
      <w:r w:rsidR="00F90E48">
        <w:rPr>
          <w:rFonts w:ascii="Times New Roman" w:hAnsi="Times New Roman"/>
          <w:color w:val="000000"/>
          <w:sz w:val="28"/>
          <w:szCs w:val="28"/>
        </w:rPr>
        <w:t>А</w:t>
      </w:r>
      <w:r w:rsidRPr="00094C60">
        <w:rPr>
          <w:rFonts w:ascii="Times New Roman" w:hAnsi="Times New Roman"/>
          <w:color w:val="000000"/>
          <w:sz w:val="28"/>
          <w:szCs w:val="28"/>
        </w:rPr>
        <w:t xml:space="preserve">зиатская научно-исследовательская и образовательная сеть CAREN, объединяющая университеты и научно-исследовательские институты в Центральной Азии. CAREN имеет прямое соединение с европейской сетью, обеспечивая выход в глобальное научно-образовательное пространство. </w:t>
      </w:r>
    </w:p>
    <w:p w:rsidR="0068434D"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 xml:space="preserve">В сфере </w:t>
      </w:r>
      <w:r w:rsidR="00F90E48">
        <w:rPr>
          <w:rFonts w:ascii="Times New Roman" w:hAnsi="Times New Roman"/>
          <w:color w:val="000000"/>
          <w:sz w:val="28"/>
          <w:szCs w:val="28"/>
        </w:rPr>
        <w:t>агропромышленного комплекса</w:t>
      </w:r>
      <w:r w:rsidRPr="00094C60">
        <w:rPr>
          <w:rFonts w:ascii="Times New Roman" w:hAnsi="Times New Roman"/>
          <w:color w:val="000000"/>
          <w:sz w:val="28"/>
          <w:szCs w:val="28"/>
        </w:rPr>
        <w:t xml:space="preserve"> представляют интерес решения компании </w:t>
      </w:r>
      <w:r w:rsidR="0037459F">
        <w:rPr>
          <w:rFonts w:ascii="Times New Roman" w:hAnsi="Times New Roman"/>
          <w:color w:val="000000"/>
          <w:sz w:val="28"/>
          <w:szCs w:val="28"/>
        </w:rPr>
        <w:t>«</w:t>
      </w:r>
      <w:r w:rsidRPr="00094C60">
        <w:rPr>
          <w:rFonts w:ascii="Times New Roman" w:hAnsi="Times New Roman"/>
          <w:color w:val="000000"/>
          <w:sz w:val="28"/>
          <w:szCs w:val="28"/>
        </w:rPr>
        <w:t>АгроИнформАзия</w:t>
      </w:r>
      <w:r w:rsidR="0037459F">
        <w:rPr>
          <w:rFonts w:ascii="Times New Roman" w:hAnsi="Times New Roman"/>
          <w:color w:val="000000"/>
          <w:sz w:val="28"/>
          <w:szCs w:val="28"/>
        </w:rPr>
        <w:t>»</w:t>
      </w:r>
      <w:r w:rsidRPr="00094C60">
        <w:rPr>
          <w:rFonts w:ascii="Times New Roman" w:hAnsi="Times New Roman"/>
          <w:color w:val="000000"/>
          <w:sz w:val="28"/>
          <w:szCs w:val="28"/>
        </w:rPr>
        <w:t xml:space="preserve">, которая разрабатывает мобильные приложения для фермеров в сфере сельского хозяйства и предоставляет сервисы. </w:t>
      </w:r>
      <w:r w:rsidR="009D23B6">
        <w:rPr>
          <w:rFonts w:ascii="Times New Roman" w:hAnsi="Times New Roman"/>
          <w:color w:val="000000"/>
          <w:sz w:val="28"/>
          <w:szCs w:val="28"/>
        </w:rPr>
        <w:t xml:space="preserve">Компания </w:t>
      </w:r>
      <w:r w:rsidR="0037459F">
        <w:rPr>
          <w:rFonts w:ascii="Times New Roman" w:hAnsi="Times New Roman"/>
          <w:color w:val="000000"/>
          <w:sz w:val="28"/>
          <w:szCs w:val="28"/>
        </w:rPr>
        <w:t>«</w:t>
      </w:r>
      <w:r w:rsidRPr="00094C60">
        <w:rPr>
          <w:rFonts w:ascii="Times New Roman" w:hAnsi="Times New Roman"/>
          <w:color w:val="000000"/>
          <w:sz w:val="28"/>
          <w:szCs w:val="28"/>
        </w:rPr>
        <w:t>АгроИнформАзия</w:t>
      </w:r>
      <w:r w:rsidR="0037459F">
        <w:rPr>
          <w:rFonts w:ascii="Times New Roman" w:hAnsi="Times New Roman"/>
          <w:color w:val="000000"/>
          <w:sz w:val="28"/>
          <w:szCs w:val="28"/>
        </w:rPr>
        <w:t>»</w:t>
      </w:r>
      <w:r w:rsidRPr="00094C60">
        <w:rPr>
          <w:rFonts w:ascii="Times New Roman" w:hAnsi="Times New Roman"/>
          <w:color w:val="000000"/>
          <w:sz w:val="28"/>
          <w:szCs w:val="28"/>
        </w:rPr>
        <w:t xml:space="preserve"> имеет более 10 приложений для производства сельхозпродукции на рынках Кыргызстана и Таджикистана. Приложения доступны на русском, кыргызском, таджикском и английском языках. Мобильные приложения интегрированы в торговую площадку и </w:t>
      </w:r>
      <w:r w:rsidR="00F90E48" w:rsidRPr="00F90E48">
        <w:rPr>
          <w:rFonts w:ascii="Times New Roman" w:hAnsi="Times New Roman"/>
          <w:color w:val="000000"/>
          <w:sz w:val="28"/>
          <w:szCs w:val="28"/>
        </w:rPr>
        <w:t>географическ</w:t>
      </w:r>
      <w:r w:rsidR="00F90E48">
        <w:rPr>
          <w:rFonts w:ascii="Times New Roman" w:hAnsi="Times New Roman"/>
          <w:color w:val="000000"/>
          <w:sz w:val="28"/>
          <w:szCs w:val="28"/>
        </w:rPr>
        <w:t>ую</w:t>
      </w:r>
      <w:r w:rsidR="00F90E48" w:rsidRPr="00F90E48">
        <w:rPr>
          <w:rFonts w:ascii="Times New Roman" w:hAnsi="Times New Roman"/>
          <w:color w:val="000000"/>
          <w:sz w:val="28"/>
          <w:szCs w:val="28"/>
        </w:rPr>
        <w:t xml:space="preserve"> информационную систему</w:t>
      </w:r>
      <w:r w:rsidRPr="00094C60">
        <w:rPr>
          <w:rFonts w:ascii="Times New Roman" w:hAnsi="Times New Roman"/>
          <w:color w:val="000000"/>
          <w:sz w:val="28"/>
          <w:szCs w:val="28"/>
        </w:rPr>
        <w:t xml:space="preserve">. Продукты были разработаны при поддержке Информационной программы </w:t>
      </w:r>
      <w:r w:rsidR="00F90E48">
        <w:rPr>
          <w:rFonts w:ascii="Times New Roman" w:hAnsi="Times New Roman"/>
          <w:color w:val="000000"/>
          <w:sz w:val="28"/>
          <w:szCs w:val="28"/>
        </w:rPr>
        <w:t>ф</w:t>
      </w:r>
      <w:r w:rsidRPr="00094C60">
        <w:rPr>
          <w:rFonts w:ascii="Times New Roman" w:hAnsi="Times New Roman"/>
          <w:color w:val="000000"/>
          <w:sz w:val="28"/>
          <w:szCs w:val="28"/>
        </w:rPr>
        <w:t xml:space="preserve">онда </w:t>
      </w:r>
      <w:r w:rsidR="004D2C9E">
        <w:rPr>
          <w:rFonts w:ascii="Times New Roman" w:hAnsi="Times New Roman"/>
          <w:color w:val="000000"/>
          <w:sz w:val="28"/>
          <w:szCs w:val="28"/>
        </w:rPr>
        <w:t>«</w:t>
      </w:r>
      <w:r w:rsidRPr="00094C60">
        <w:rPr>
          <w:rFonts w:ascii="Times New Roman" w:hAnsi="Times New Roman"/>
          <w:color w:val="000000"/>
          <w:sz w:val="28"/>
          <w:szCs w:val="28"/>
        </w:rPr>
        <w:t>Сорос</w:t>
      </w:r>
      <w:r w:rsidR="00BD15D3">
        <w:rPr>
          <w:rFonts w:ascii="Times New Roman" w:hAnsi="Times New Roman"/>
          <w:color w:val="000000"/>
          <w:sz w:val="28"/>
          <w:szCs w:val="28"/>
        </w:rPr>
        <w:t>-</w:t>
      </w:r>
      <w:r w:rsidRPr="00094C60">
        <w:rPr>
          <w:rFonts w:ascii="Times New Roman" w:hAnsi="Times New Roman"/>
          <w:color w:val="000000"/>
          <w:sz w:val="28"/>
          <w:szCs w:val="28"/>
        </w:rPr>
        <w:t>Кыргызстан</w:t>
      </w:r>
      <w:r w:rsidR="004D2C9E">
        <w:rPr>
          <w:rFonts w:ascii="Times New Roman" w:hAnsi="Times New Roman"/>
          <w:color w:val="000000"/>
          <w:sz w:val="28"/>
          <w:szCs w:val="28"/>
        </w:rPr>
        <w:t>»</w:t>
      </w:r>
      <w:r w:rsidRPr="00094C60">
        <w:rPr>
          <w:rFonts w:ascii="Times New Roman" w:hAnsi="Times New Roman"/>
          <w:color w:val="000000"/>
          <w:sz w:val="28"/>
          <w:szCs w:val="28"/>
        </w:rPr>
        <w:t xml:space="preserve"> в рамках реализуемого проекта </w:t>
      </w:r>
      <w:r w:rsidR="004D2C9E">
        <w:rPr>
          <w:rFonts w:ascii="Times New Roman" w:hAnsi="Times New Roman"/>
          <w:color w:val="000000"/>
          <w:sz w:val="28"/>
          <w:szCs w:val="28"/>
        </w:rPr>
        <w:t>«</w:t>
      </w:r>
      <w:r w:rsidRPr="00094C60">
        <w:rPr>
          <w:rFonts w:ascii="Times New Roman" w:hAnsi="Times New Roman"/>
          <w:color w:val="000000"/>
          <w:sz w:val="28"/>
          <w:szCs w:val="28"/>
        </w:rPr>
        <w:t>Развитие и продвижение образовательного контента по сельскому хозяйству с использованием мобильного Интернета и интернет-платформы</w:t>
      </w:r>
      <w:r w:rsidR="004D2C9E">
        <w:rPr>
          <w:rFonts w:ascii="Times New Roman" w:hAnsi="Times New Roman"/>
          <w:color w:val="000000"/>
          <w:sz w:val="28"/>
          <w:szCs w:val="28"/>
        </w:rPr>
        <w:t>»</w:t>
      </w:r>
      <w:r w:rsidRPr="00094C60">
        <w:rPr>
          <w:rFonts w:ascii="Times New Roman" w:hAnsi="Times New Roman"/>
          <w:color w:val="000000"/>
          <w:sz w:val="28"/>
          <w:szCs w:val="28"/>
        </w:rPr>
        <w:t xml:space="preserve">. Приложениями </w:t>
      </w:r>
      <w:r w:rsidR="009D23B6" w:rsidRPr="009D23B6">
        <w:rPr>
          <w:rFonts w:ascii="Times New Roman" w:hAnsi="Times New Roman"/>
          <w:color w:val="000000"/>
          <w:sz w:val="28"/>
          <w:szCs w:val="28"/>
        </w:rPr>
        <w:t xml:space="preserve">компании </w:t>
      </w:r>
      <w:r w:rsidR="004D2C9E">
        <w:rPr>
          <w:rFonts w:ascii="Times New Roman" w:hAnsi="Times New Roman"/>
          <w:color w:val="000000"/>
          <w:sz w:val="28"/>
          <w:szCs w:val="28"/>
        </w:rPr>
        <w:t>«</w:t>
      </w:r>
      <w:r w:rsidRPr="00094C60">
        <w:rPr>
          <w:rFonts w:ascii="Times New Roman" w:hAnsi="Times New Roman"/>
          <w:color w:val="000000"/>
          <w:sz w:val="28"/>
          <w:szCs w:val="28"/>
        </w:rPr>
        <w:t>АгроИнформАзия</w:t>
      </w:r>
      <w:r w:rsidR="004D2C9E">
        <w:rPr>
          <w:rFonts w:ascii="Times New Roman" w:hAnsi="Times New Roman"/>
          <w:color w:val="000000"/>
          <w:sz w:val="28"/>
          <w:szCs w:val="28"/>
        </w:rPr>
        <w:t>»</w:t>
      </w:r>
      <w:r w:rsidRPr="00094C60">
        <w:rPr>
          <w:rFonts w:ascii="Times New Roman" w:hAnsi="Times New Roman"/>
          <w:color w:val="000000"/>
          <w:sz w:val="28"/>
          <w:szCs w:val="28"/>
        </w:rPr>
        <w:t xml:space="preserve"> пользу</w:t>
      </w:r>
      <w:r w:rsidR="009D23B6">
        <w:rPr>
          <w:rFonts w:ascii="Times New Roman" w:hAnsi="Times New Roman"/>
          <w:color w:val="000000"/>
          <w:sz w:val="28"/>
          <w:szCs w:val="28"/>
        </w:rPr>
        <w:t>ю</w:t>
      </w:r>
      <w:r w:rsidRPr="00094C60">
        <w:rPr>
          <w:rFonts w:ascii="Times New Roman" w:hAnsi="Times New Roman"/>
          <w:color w:val="000000"/>
          <w:sz w:val="28"/>
          <w:szCs w:val="28"/>
        </w:rPr>
        <w:t>тся тысяч</w:t>
      </w:r>
      <w:r w:rsidR="00F90E48">
        <w:rPr>
          <w:rFonts w:ascii="Times New Roman" w:hAnsi="Times New Roman"/>
          <w:color w:val="000000"/>
          <w:sz w:val="28"/>
          <w:szCs w:val="28"/>
        </w:rPr>
        <w:t>и</w:t>
      </w:r>
      <w:r w:rsidRPr="00094C60">
        <w:rPr>
          <w:rFonts w:ascii="Times New Roman" w:hAnsi="Times New Roman"/>
          <w:color w:val="000000"/>
          <w:sz w:val="28"/>
          <w:szCs w:val="28"/>
        </w:rPr>
        <w:t xml:space="preserve"> фермеров Кыргызстана и Таджикистана. Таким образом, рынок программного обеспечения развивается устойчивыми темпами, характеризуя тем самым и внедрение цифровой экономики как неотъемлемый фактор устойчивого экономического развития республики. </w:t>
      </w:r>
    </w:p>
    <w:p w:rsidR="007E15EF" w:rsidRDefault="008D28C9"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В</w:t>
      </w:r>
      <w:r w:rsidR="0068434D" w:rsidRPr="00094C60">
        <w:rPr>
          <w:rFonts w:ascii="Times New Roman" w:hAnsi="Times New Roman"/>
          <w:color w:val="000000"/>
          <w:sz w:val="28"/>
          <w:szCs w:val="28"/>
        </w:rPr>
        <w:t xml:space="preserve"> своем выступлении на заседании Национального совета по устойчивому развитию 3 апреля 2017 года Президент Кыргызской Республики отметил необходимость построения в Кыргызстане экономики, основанной на знаниях</w:t>
      </w:r>
      <w:r w:rsidR="007E15EF">
        <w:rPr>
          <w:rFonts w:ascii="Times New Roman" w:hAnsi="Times New Roman"/>
          <w:color w:val="000000"/>
          <w:sz w:val="28"/>
          <w:szCs w:val="28"/>
        </w:rPr>
        <w:t>,</w:t>
      </w:r>
      <w:r w:rsidR="0068434D" w:rsidRPr="00094C60">
        <w:rPr>
          <w:rFonts w:ascii="Times New Roman" w:hAnsi="Times New Roman"/>
          <w:color w:val="000000"/>
          <w:sz w:val="28"/>
          <w:szCs w:val="28"/>
        </w:rPr>
        <w:t xml:space="preserve"> – Умной страны </w:t>
      </w:r>
      <w:r w:rsidR="004D2C9E">
        <w:rPr>
          <w:rFonts w:ascii="Times New Roman" w:hAnsi="Times New Roman"/>
          <w:color w:val="000000"/>
          <w:sz w:val="28"/>
          <w:szCs w:val="28"/>
        </w:rPr>
        <w:t>«</w:t>
      </w:r>
      <w:r w:rsidR="0068434D" w:rsidRPr="00094C60">
        <w:rPr>
          <w:rFonts w:ascii="Times New Roman" w:hAnsi="Times New Roman"/>
          <w:color w:val="000000"/>
          <w:sz w:val="28"/>
          <w:szCs w:val="28"/>
        </w:rPr>
        <w:t>Таза Коом</w:t>
      </w:r>
      <w:r w:rsidR="004D2C9E">
        <w:rPr>
          <w:rFonts w:ascii="Times New Roman" w:hAnsi="Times New Roman"/>
          <w:color w:val="000000"/>
          <w:sz w:val="28"/>
          <w:szCs w:val="28"/>
        </w:rPr>
        <w:t>»</w:t>
      </w:r>
      <w:r w:rsidR="0068434D" w:rsidRPr="00094C60">
        <w:rPr>
          <w:rFonts w:ascii="Times New Roman" w:hAnsi="Times New Roman"/>
          <w:color w:val="000000"/>
          <w:sz w:val="28"/>
          <w:szCs w:val="28"/>
        </w:rPr>
        <w:t xml:space="preserve"> – чистого, честного общества. Поэтому</w:t>
      </w:r>
      <w:r w:rsidR="007E15EF">
        <w:rPr>
          <w:rFonts w:ascii="Times New Roman" w:hAnsi="Times New Roman"/>
          <w:color w:val="000000"/>
          <w:sz w:val="28"/>
          <w:szCs w:val="28"/>
        </w:rPr>
        <w:t xml:space="preserve"> в</w:t>
      </w:r>
      <w:r w:rsidR="0068434D" w:rsidRPr="00094C60">
        <w:rPr>
          <w:rFonts w:ascii="Times New Roman" w:hAnsi="Times New Roman"/>
          <w:color w:val="000000"/>
          <w:sz w:val="28"/>
          <w:szCs w:val="28"/>
        </w:rPr>
        <w:t xml:space="preserve"> цел</w:t>
      </w:r>
      <w:r w:rsidR="007E15EF">
        <w:rPr>
          <w:rFonts w:ascii="Times New Roman" w:hAnsi="Times New Roman"/>
          <w:color w:val="000000"/>
          <w:sz w:val="28"/>
          <w:szCs w:val="28"/>
        </w:rPr>
        <w:t>ях</w:t>
      </w:r>
      <w:r w:rsidR="0068434D" w:rsidRPr="00094C60">
        <w:rPr>
          <w:rFonts w:ascii="Times New Roman" w:hAnsi="Times New Roman"/>
          <w:color w:val="000000"/>
          <w:sz w:val="28"/>
          <w:szCs w:val="28"/>
        </w:rPr>
        <w:t xml:space="preserve"> построения открытого и прозрачного государства, повышения качества жизни граждан, а также улучшения условий для бизнеса в Кыргызской Республике запускается общенациональная программа цифровой трансформации </w:t>
      </w:r>
      <w:r w:rsidR="004D2C9E">
        <w:rPr>
          <w:rFonts w:ascii="Times New Roman" w:hAnsi="Times New Roman"/>
          <w:color w:val="000000"/>
          <w:sz w:val="28"/>
          <w:szCs w:val="28"/>
        </w:rPr>
        <w:t>«</w:t>
      </w:r>
      <w:r w:rsidR="0068434D" w:rsidRPr="00094C60">
        <w:rPr>
          <w:rFonts w:ascii="Times New Roman" w:hAnsi="Times New Roman"/>
          <w:color w:val="000000"/>
          <w:sz w:val="28"/>
          <w:szCs w:val="28"/>
        </w:rPr>
        <w:t>Таза Коом</w:t>
      </w:r>
      <w:r w:rsidR="004D2C9E">
        <w:rPr>
          <w:rFonts w:ascii="Times New Roman" w:hAnsi="Times New Roman"/>
          <w:color w:val="000000"/>
          <w:sz w:val="28"/>
          <w:szCs w:val="28"/>
        </w:rPr>
        <w:t>»</w:t>
      </w:r>
      <w:r w:rsidR="0068434D" w:rsidRPr="00094C60">
        <w:rPr>
          <w:rFonts w:ascii="Times New Roman" w:hAnsi="Times New Roman"/>
          <w:color w:val="000000"/>
          <w:sz w:val="28"/>
          <w:szCs w:val="28"/>
        </w:rPr>
        <w:t>.</w:t>
      </w:r>
    </w:p>
    <w:p w:rsidR="0068434D" w:rsidRPr="00094C60" w:rsidRDefault="007E15EF"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Программа</w:t>
      </w:r>
      <w:r w:rsidR="0068434D" w:rsidRPr="00094C60">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094C60">
        <w:rPr>
          <w:rFonts w:ascii="Times New Roman" w:hAnsi="Times New Roman"/>
          <w:color w:val="000000"/>
          <w:sz w:val="28"/>
          <w:szCs w:val="28"/>
        </w:rPr>
        <w:t>Таза Коом</w:t>
      </w:r>
      <w:r w:rsidR="004D2C9E">
        <w:rPr>
          <w:rFonts w:ascii="Times New Roman" w:hAnsi="Times New Roman"/>
          <w:color w:val="000000"/>
          <w:sz w:val="28"/>
          <w:szCs w:val="28"/>
        </w:rPr>
        <w:t>»</w:t>
      </w:r>
      <w:r w:rsidR="0068434D" w:rsidRPr="00094C60">
        <w:rPr>
          <w:rFonts w:ascii="Times New Roman" w:hAnsi="Times New Roman"/>
          <w:color w:val="000000"/>
          <w:sz w:val="28"/>
          <w:szCs w:val="28"/>
        </w:rPr>
        <w:t xml:space="preserve"> является ключевым компонентом Стратегии устойчивого развития страны</w:t>
      </w:r>
      <w:r w:rsidR="00B53D39">
        <w:rPr>
          <w:rFonts w:ascii="Times New Roman" w:hAnsi="Times New Roman"/>
          <w:color w:val="000000"/>
          <w:sz w:val="28"/>
          <w:szCs w:val="28"/>
        </w:rPr>
        <w:t>-</w:t>
      </w:r>
      <w:r>
        <w:rPr>
          <w:rFonts w:ascii="Times New Roman" w:hAnsi="Times New Roman"/>
          <w:color w:val="000000"/>
          <w:sz w:val="28"/>
          <w:szCs w:val="28"/>
        </w:rPr>
        <w:t>2040. Э</w:t>
      </w:r>
      <w:r w:rsidR="0068434D" w:rsidRPr="00094C60">
        <w:rPr>
          <w:rFonts w:ascii="Times New Roman" w:hAnsi="Times New Roman"/>
          <w:color w:val="000000"/>
          <w:sz w:val="28"/>
          <w:szCs w:val="28"/>
        </w:rPr>
        <w:t>т</w:t>
      </w:r>
      <w:r w:rsidR="005C1618">
        <w:rPr>
          <w:rFonts w:ascii="Times New Roman" w:hAnsi="Times New Roman"/>
          <w:color w:val="000000"/>
          <w:sz w:val="28"/>
          <w:szCs w:val="28"/>
        </w:rPr>
        <w:t>а</w:t>
      </w:r>
      <w:r w:rsidR="0068434D" w:rsidRPr="00094C60">
        <w:rPr>
          <w:rFonts w:ascii="Times New Roman" w:hAnsi="Times New Roman"/>
          <w:color w:val="000000"/>
          <w:sz w:val="28"/>
          <w:szCs w:val="28"/>
        </w:rPr>
        <w:t xml:space="preserve"> высокотехнологичная программа является одним из ключевых факторов и катализаторов ускорения и содействия устойчивому развитию страны</w:t>
      </w:r>
      <w:r>
        <w:rPr>
          <w:rFonts w:ascii="Times New Roman" w:hAnsi="Times New Roman"/>
          <w:color w:val="000000"/>
          <w:sz w:val="28"/>
          <w:szCs w:val="28"/>
        </w:rPr>
        <w:t>, а также</w:t>
      </w:r>
      <w:r w:rsidR="0068434D" w:rsidRPr="00094C60">
        <w:rPr>
          <w:rFonts w:ascii="Times New Roman" w:hAnsi="Times New Roman"/>
          <w:color w:val="000000"/>
          <w:sz w:val="28"/>
          <w:szCs w:val="28"/>
        </w:rPr>
        <w:t xml:space="preserve"> достижению всех 17</w:t>
      </w:r>
      <w:r w:rsidR="0037459F">
        <w:rPr>
          <w:rFonts w:ascii="Times New Roman" w:hAnsi="Times New Roman"/>
          <w:color w:val="000000"/>
          <w:sz w:val="28"/>
          <w:szCs w:val="28"/>
        </w:rPr>
        <w:t> </w:t>
      </w:r>
      <w:r w:rsidR="0068434D" w:rsidRPr="00094C60">
        <w:rPr>
          <w:rFonts w:ascii="Times New Roman" w:hAnsi="Times New Roman"/>
          <w:color w:val="000000"/>
          <w:sz w:val="28"/>
          <w:szCs w:val="28"/>
        </w:rPr>
        <w:t xml:space="preserve">Целей в области </w:t>
      </w:r>
      <w:r w:rsidR="005C1618">
        <w:rPr>
          <w:rFonts w:ascii="Times New Roman" w:hAnsi="Times New Roman"/>
          <w:color w:val="000000"/>
          <w:sz w:val="28"/>
          <w:szCs w:val="28"/>
        </w:rPr>
        <w:t>у</w:t>
      </w:r>
      <w:r w:rsidR="0068434D" w:rsidRPr="00094C60">
        <w:rPr>
          <w:rFonts w:ascii="Times New Roman" w:hAnsi="Times New Roman"/>
          <w:color w:val="000000"/>
          <w:sz w:val="28"/>
          <w:szCs w:val="28"/>
        </w:rPr>
        <w:t xml:space="preserve">стойчивого </w:t>
      </w:r>
      <w:r w:rsidR="005C1618">
        <w:rPr>
          <w:rFonts w:ascii="Times New Roman" w:hAnsi="Times New Roman"/>
          <w:color w:val="000000"/>
          <w:sz w:val="28"/>
          <w:szCs w:val="28"/>
        </w:rPr>
        <w:t>р</w:t>
      </w:r>
      <w:r w:rsidR="0068434D" w:rsidRPr="00094C60">
        <w:rPr>
          <w:rFonts w:ascii="Times New Roman" w:hAnsi="Times New Roman"/>
          <w:color w:val="000000"/>
          <w:sz w:val="28"/>
          <w:szCs w:val="28"/>
        </w:rPr>
        <w:t xml:space="preserve">азвития и соответствующих им задач, выполнению </w:t>
      </w:r>
      <w:r>
        <w:rPr>
          <w:rFonts w:ascii="Times New Roman" w:hAnsi="Times New Roman"/>
          <w:color w:val="000000"/>
          <w:sz w:val="28"/>
          <w:szCs w:val="28"/>
        </w:rPr>
        <w:t>положений итоговых документов</w:t>
      </w:r>
      <w:r w:rsidR="0068434D" w:rsidRPr="00094C60">
        <w:rPr>
          <w:rFonts w:ascii="Times New Roman" w:hAnsi="Times New Roman"/>
          <w:color w:val="000000"/>
          <w:sz w:val="28"/>
          <w:szCs w:val="28"/>
        </w:rPr>
        <w:t xml:space="preserve"> </w:t>
      </w:r>
      <w:r>
        <w:rPr>
          <w:rFonts w:ascii="Times New Roman" w:hAnsi="Times New Roman"/>
          <w:color w:val="000000"/>
          <w:sz w:val="28"/>
          <w:szCs w:val="28"/>
        </w:rPr>
        <w:t>В</w:t>
      </w:r>
      <w:r w:rsidR="0068434D" w:rsidRPr="00094C60">
        <w:rPr>
          <w:rFonts w:ascii="Times New Roman" w:hAnsi="Times New Roman"/>
          <w:color w:val="000000"/>
          <w:sz w:val="28"/>
          <w:szCs w:val="28"/>
        </w:rPr>
        <w:t xml:space="preserve">семирной встречи на высшем уровне по вопросам информационного общества (ВВУИО+10), поскольку </w:t>
      </w:r>
      <w:r w:rsidR="004D2C9E">
        <w:rPr>
          <w:rFonts w:ascii="Times New Roman" w:hAnsi="Times New Roman"/>
          <w:color w:val="000000"/>
          <w:sz w:val="28"/>
          <w:szCs w:val="28"/>
        </w:rPr>
        <w:t>«</w:t>
      </w:r>
      <w:r w:rsidR="0068434D" w:rsidRPr="00094C60">
        <w:rPr>
          <w:rFonts w:ascii="Times New Roman" w:hAnsi="Times New Roman"/>
          <w:color w:val="000000"/>
          <w:sz w:val="28"/>
          <w:szCs w:val="28"/>
        </w:rPr>
        <w:t>Таза Коом</w:t>
      </w:r>
      <w:r w:rsidR="004D2C9E">
        <w:rPr>
          <w:rFonts w:ascii="Times New Roman" w:hAnsi="Times New Roman"/>
          <w:color w:val="000000"/>
          <w:sz w:val="28"/>
          <w:szCs w:val="28"/>
        </w:rPr>
        <w:t>»</w:t>
      </w:r>
      <w:r w:rsidR="0068434D" w:rsidRPr="00094C60">
        <w:rPr>
          <w:rFonts w:ascii="Times New Roman" w:hAnsi="Times New Roman"/>
          <w:color w:val="000000"/>
          <w:sz w:val="28"/>
          <w:szCs w:val="28"/>
        </w:rPr>
        <w:t xml:space="preserve"> основывается на повсеместном, межсекторальном использовании ИКТ.</w:t>
      </w:r>
    </w:p>
    <w:p w:rsidR="0068434D" w:rsidRPr="00094C60" w:rsidRDefault="007E15EF" w:rsidP="006D0AF9">
      <w:pPr>
        <w:autoSpaceDE w:val="0"/>
        <w:autoSpaceDN w:val="0"/>
        <w:adjustRightInd w:val="0"/>
        <w:spacing w:after="0" w:line="330" w:lineRule="exact"/>
        <w:ind w:firstLine="709"/>
        <w:jc w:val="both"/>
        <w:rPr>
          <w:rFonts w:ascii="Times New Roman" w:hAnsi="Times New Roman"/>
          <w:color w:val="000000"/>
          <w:sz w:val="28"/>
          <w:szCs w:val="28"/>
        </w:rPr>
      </w:pPr>
      <w:r w:rsidRPr="007E15EF">
        <w:rPr>
          <w:rFonts w:ascii="Times New Roman" w:hAnsi="Times New Roman"/>
          <w:color w:val="000000"/>
          <w:sz w:val="28"/>
          <w:szCs w:val="28"/>
        </w:rPr>
        <w:t xml:space="preserve">Программа </w:t>
      </w:r>
      <w:r w:rsidR="004D2C9E">
        <w:rPr>
          <w:rFonts w:ascii="Times New Roman" w:hAnsi="Times New Roman"/>
          <w:color w:val="000000"/>
          <w:sz w:val="28"/>
          <w:szCs w:val="28"/>
        </w:rPr>
        <w:t>«</w:t>
      </w:r>
      <w:r w:rsidR="0068434D" w:rsidRPr="00094C60">
        <w:rPr>
          <w:rFonts w:ascii="Times New Roman" w:hAnsi="Times New Roman"/>
          <w:color w:val="000000"/>
          <w:sz w:val="28"/>
          <w:szCs w:val="28"/>
        </w:rPr>
        <w:t>Таза Коом</w:t>
      </w:r>
      <w:r w:rsidR="004D2C9E">
        <w:rPr>
          <w:rFonts w:ascii="Times New Roman" w:hAnsi="Times New Roman"/>
          <w:color w:val="000000"/>
          <w:sz w:val="28"/>
          <w:szCs w:val="28"/>
        </w:rPr>
        <w:t>»</w:t>
      </w:r>
      <w:r w:rsidR="0068434D" w:rsidRPr="00094C60">
        <w:rPr>
          <w:rFonts w:ascii="Times New Roman" w:hAnsi="Times New Roman"/>
          <w:color w:val="000000"/>
          <w:sz w:val="28"/>
          <w:szCs w:val="28"/>
        </w:rPr>
        <w:t xml:space="preserve"> также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предоставления цифровых государственных услуг. Обеспечение доступа к современным, защищенным и приемлемым в ценовом отношении инфраструктуре, приложениям и услугам открыва</w:t>
      </w:r>
      <w:r w:rsidR="005C1618">
        <w:rPr>
          <w:rFonts w:ascii="Times New Roman" w:hAnsi="Times New Roman"/>
          <w:color w:val="000000"/>
          <w:sz w:val="28"/>
          <w:szCs w:val="28"/>
        </w:rPr>
        <w:t>е</w:t>
      </w:r>
      <w:r w:rsidR="0068434D" w:rsidRPr="00094C60">
        <w:rPr>
          <w:rFonts w:ascii="Times New Roman" w:hAnsi="Times New Roman"/>
          <w:color w:val="000000"/>
          <w:sz w:val="28"/>
          <w:szCs w:val="28"/>
        </w:rPr>
        <w:t>т возможности для улучшения жизни людей и обеспечения устойчиво</w:t>
      </w:r>
      <w:r>
        <w:rPr>
          <w:rFonts w:ascii="Times New Roman" w:hAnsi="Times New Roman"/>
          <w:color w:val="000000"/>
          <w:sz w:val="28"/>
          <w:szCs w:val="28"/>
        </w:rPr>
        <w:t>го</w:t>
      </w:r>
      <w:r w:rsidR="0068434D" w:rsidRPr="00094C60">
        <w:rPr>
          <w:rFonts w:ascii="Times New Roman" w:hAnsi="Times New Roman"/>
          <w:color w:val="000000"/>
          <w:sz w:val="28"/>
          <w:szCs w:val="28"/>
        </w:rPr>
        <w:t xml:space="preserve"> инновационно</w:t>
      </w:r>
      <w:r>
        <w:rPr>
          <w:rFonts w:ascii="Times New Roman" w:hAnsi="Times New Roman"/>
          <w:color w:val="000000"/>
          <w:sz w:val="28"/>
          <w:szCs w:val="28"/>
        </w:rPr>
        <w:t>го</w:t>
      </w:r>
      <w:r w:rsidR="0068434D" w:rsidRPr="00094C60">
        <w:rPr>
          <w:rFonts w:ascii="Times New Roman" w:hAnsi="Times New Roman"/>
          <w:color w:val="000000"/>
          <w:sz w:val="28"/>
          <w:szCs w:val="28"/>
        </w:rPr>
        <w:t xml:space="preserve"> развити</w:t>
      </w:r>
      <w:r>
        <w:rPr>
          <w:rFonts w:ascii="Times New Roman" w:hAnsi="Times New Roman"/>
          <w:color w:val="000000"/>
          <w:sz w:val="28"/>
          <w:szCs w:val="28"/>
        </w:rPr>
        <w:t>я</w:t>
      </w:r>
      <w:r w:rsidR="0068434D" w:rsidRPr="00094C60">
        <w:rPr>
          <w:rFonts w:ascii="Times New Roman" w:hAnsi="Times New Roman"/>
          <w:color w:val="000000"/>
          <w:sz w:val="28"/>
          <w:szCs w:val="28"/>
        </w:rPr>
        <w:t xml:space="preserve"> в Кыргызстане.</w:t>
      </w:r>
    </w:p>
    <w:p w:rsidR="0068434D" w:rsidRPr="00094C60" w:rsidRDefault="0068434D" w:rsidP="006D0AF9">
      <w:pPr>
        <w:autoSpaceDE w:val="0"/>
        <w:autoSpaceDN w:val="0"/>
        <w:adjustRightInd w:val="0"/>
        <w:spacing w:after="0" w:line="330" w:lineRule="exact"/>
        <w:ind w:firstLine="709"/>
        <w:jc w:val="both"/>
        <w:rPr>
          <w:rFonts w:ascii="Times New Roman" w:hAnsi="Times New Roman"/>
          <w:color w:val="000000"/>
          <w:sz w:val="28"/>
          <w:szCs w:val="28"/>
        </w:rPr>
      </w:pPr>
      <w:r w:rsidRPr="00094C60">
        <w:rPr>
          <w:rFonts w:ascii="Times New Roman" w:hAnsi="Times New Roman"/>
          <w:color w:val="000000"/>
          <w:sz w:val="28"/>
          <w:szCs w:val="28"/>
        </w:rPr>
        <w:t xml:space="preserve">Чтобы действительно стать </w:t>
      </w:r>
      <w:r w:rsidR="005C1618">
        <w:rPr>
          <w:rFonts w:ascii="Times New Roman" w:hAnsi="Times New Roman"/>
          <w:color w:val="000000"/>
          <w:sz w:val="28"/>
          <w:szCs w:val="28"/>
        </w:rPr>
        <w:t>«</w:t>
      </w:r>
      <w:r w:rsidRPr="00094C60">
        <w:rPr>
          <w:rFonts w:ascii="Times New Roman" w:hAnsi="Times New Roman"/>
          <w:color w:val="000000"/>
          <w:sz w:val="28"/>
          <w:szCs w:val="28"/>
        </w:rPr>
        <w:t>цифровым государством</w:t>
      </w:r>
      <w:r w:rsidR="005C1618">
        <w:rPr>
          <w:rFonts w:ascii="Times New Roman" w:hAnsi="Times New Roman"/>
          <w:color w:val="000000"/>
          <w:sz w:val="28"/>
          <w:szCs w:val="28"/>
        </w:rPr>
        <w:t>»</w:t>
      </w:r>
      <w:r w:rsidRPr="00094C60">
        <w:rPr>
          <w:rFonts w:ascii="Times New Roman" w:hAnsi="Times New Roman"/>
          <w:color w:val="000000"/>
          <w:sz w:val="28"/>
          <w:szCs w:val="28"/>
        </w:rPr>
        <w:t>, необходимо создать единое информационное пространство в стране, комплексно и единообразно охватить в</w:t>
      </w:r>
      <w:r w:rsidR="005C1618">
        <w:rPr>
          <w:rFonts w:ascii="Times New Roman" w:hAnsi="Times New Roman"/>
          <w:color w:val="000000"/>
          <w:sz w:val="28"/>
          <w:szCs w:val="28"/>
        </w:rPr>
        <w:t>се ветви государственной власти</w:t>
      </w:r>
      <w:r w:rsidR="00E9454A">
        <w:rPr>
          <w:rFonts w:ascii="Times New Roman" w:hAnsi="Times New Roman"/>
          <w:color w:val="000000"/>
          <w:sz w:val="28"/>
          <w:szCs w:val="28"/>
        </w:rPr>
        <w:t xml:space="preserve"> – </w:t>
      </w:r>
      <w:r w:rsidRPr="00094C60">
        <w:rPr>
          <w:rFonts w:ascii="Times New Roman" w:hAnsi="Times New Roman"/>
          <w:color w:val="000000"/>
          <w:sz w:val="28"/>
          <w:szCs w:val="28"/>
        </w:rPr>
        <w:t>исполнительную, законодательную и судебную, активнее внедрять принципы и подходы электронной демократии, обеспечив участие граждан и бизнес-структур в процессах принятия решений через онлайн</w:t>
      </w:r>
      <w:r w:rsidR="007E15EF">
        <w:rPr>
          <w:rFonts w:ascii="Times New Roman" w:hAnsi="Times New Roman"/>
          <w:color w:val="000000"/>
          <w:sz w:val="28"/>
          <w:szCs w:val="28"/>
        </w:rPr>
        <w:t>-</w:t>
      </w:r>
      <w:r w:rsidRPr="00094C60">
        <w:rPr>
          <w:rFonts w:ascii="Times New Roman" w:hAnsi="Times New Roman"/>
          <w:color w:val="000000"/>
          <w:sz w:val="28"/>
          <w:szCs w:val="28"/>
        </w:rPr>
        <w:t>инструменты. Необходимо развивать цифровую экономику, внедрять инновации и расширять потенциал цифровых знаний и компетенций на всех уровнях.</w:t>
      </w:r>
    </w:p>
    <w:p w:rsidR="0068434D" w:rsidRPr="00094C60" w:rsidRDefault="007E15EF"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Цели проекта </w:t>
      </w:r>
      <w:r w:rsidR="004D2C9E">
        <w:rPr>
          <w:rFonts w:ascii="Times New Roman" w:hAnsi="Times New Roman"/>
          <w:color w:val="000000"/>
          <w:sz w:val="28"/>
          <w:szCs w:val="28"/>
        </w:rPr>
        <w:t>«</w:t>
      </w:r>
      <w:r w:rsidR="0068434D" w:rsidRPr="00094C60">
        <w:rPr>
          <w:rFonts w:ascii="Times New Roman" w:hAnsi="Times New Roman"/>
          <w:color w:val="000000"/>
          <w:sz w:val="28"/>
          <w:szCs w:val="28"/>
        </w:rPr>
        <w:t>Таза Коом</w:t>
      </w:r>
      <w:r w:rsidR="004D2C9E">
        <w:rPr>
          <w:rFonts w:ascii="Times New Roman" w:hAnsi="Times New Roman"/>
          <w:color w:val="000000"/>
          <w:sz w:val="28"/>
          <w:szCs w:val="28"/>
        </w:rPr>
        <w:t>»</w:t>
      </w:r>
      <w:r w:rsidR="0068434D" w:rsidRPr="00094C60">
        <w:rPr>
          <w:rFonts w:ascii="Times New Roman" w:hAnsi="Times New Roman"/>
          <w:color w:val="000000"/>
          <w:sz w:val="28"/>
          <w:szCs w:val="28"/>
        </w:rPr>
        <w:t>:</w:t>
      </w:r>
    </w:p>
    <w:p w:rsidR="0068434D" w:rsidRPr="00094C60" w:rsidRDefault="007E15EF"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п</w:t>
      </w:r>
      <w:r w:rsidR="0068434D" w:rsidRPr="00094C60">
        <w:rPr>
          <w:rFonts w:ascii="Times New Roman" w:hAnsi="Times New Roman"/>
          <w:color w:val="000000"/>
          <w:sz w:val="28"/>
          <w:szCs w:val="28"/>
        </w:rPr>
        <w:t xml:space="preserve">остроение цифровой инфраструктуры мирового класса, основанной на </w:t>
      </w:r>
      <w:r w:rsidR="004D2C9E">
        <w:rPr>
          <w:rFonts w:ascii="Times New Roman" w:hAnsi="Times New Roman"/>
          <w:color w:val="000000"/>
          <w:sz w:val="28"/>
          <w:szCs w:val="28"/>
        </w:rPr>
        <w:t>«</w:t>
      </w:r>
      <w:r w:rsidR="0068434D" w:rsidRPr="00094C60">
        <w:rPr>
          <w:rFonts w:ascii="Times New Roman" w:hAnsi="Times New Roman"/>
          <w:color w:val="000000"/>
          <w:sz w:val="28"/>
          <w:szCs w:val="28"/>
        </w:rPr>
        <w:t>зеленых</w:t>
      </w:r>
      <w:r w:rsidR="004D2C9E">
        <w:rPr>
          <w:rFonts w:ascii="Times New Roman" w:hAnsi="Times New Roman"/>
          <w:color w:val="000000"/>
          <w:sz w:val="28"/>
          <w:szCs w:val="28"/>
        </w:rPr>
        <w:t>»</w:t>
      </w:r>
      <w:r w:rsidR="0068434D" w:rsidRPr="00094C60">
        <w:rPr>
          <w:rFonts w:ascii="Times New Roman" w:hAnsi="Times New Roman"/>
          <w:color w:val="000000"/>
          <w:sz w:val="28"/>
          <w:szCs w:val="28"/>
        </w:rPr>
        <w:t xml:space="preserve"> технологиях и чистой энергетике (телекоммуникационные сети широкополо</w:t>
      </w:r>
      <w:r w:rsidR="00EF1FCB">
        <w:rPr>
          <w:rFonts w:ascii="Times New Roman" w:hAnsi="Times New Roman"/>
          <w:color w:val="000000"/>
          <w:sz w:val="28"/>
          <w:szCs w:val="28"/>
        </w:rPr>
        <w:t>с</w:t>
      </w:r>
      <w:r w:rsidR="0068434D" w:rsidRPr="00094C60">
        <w:rPr>
          <w:rFonts w:ascii="Times New Roman" w:hAnsi="Times New Roman"/>
          <w:color w:val="000000"/>
          <w:sz w:val="28"/>
          <w:szCs w:val="28"/>
        </w:rPr>
        <w:t xml:space="preserve">ного доступа, центры обработки данных, </w:t>
      </w:r>
      <w:r w:rsidR="00EF1FCB">
        <w:rPr>
          <w:rFonts w:ascii="Times New Roman" w:hAnsi="Times New Roman"/>
          <w:color w:val="000000"/>
          <w:sz w:val="28"/>
          <w:szCs w:val="28"/>
        </w:rPr>
        <w:t>«</w:t>
      </w:r>
      <w:r w:rsidR="0068434D" w:rsidRPr="00094C60">
        <w:rPr>
          <w:rFonts w:ascii="Times New Roman" w:hAnsi="Times New Roman"/>
          <w:color w:val="000000"/>
          <w:sz w:val="28"/>
          <w:szCs w:val="28"/>
        </w:rPr>
        <w:t>облачные технологии</w:t>
      </w:r>
      <w:r w:rsidR="00EF1FCB">
        <w:rPr>
          <w:rFonts w:ascii="Times New Roman" w:hAnsi="Times New Roman"/>
          <w:color w:val="000000"/>
          <w:sz w:val="28"/>
          <w:szCs w:val="28"/>
        </w:rPr>
        <w:t>»</w:t>
      </w:r>
      <w:r w:rsidR="0068434D" w:rsidRPr="00094C60">
        <w:rPr>
          <w:rFonts w:ascii="Times New Roman" w:hAnsi="Times New Roman"/>
          <w:color w:val="000000"/>
          <w:sz w:val="28"/>
          <w:szCs w:val="28"/>
        </w:rPr>
        <w:t>, цифровые платформы);</w:t>
      </w:r>
    </w:p>
    <w:p w:rsidR="0068434D" w:rsidRPr="00094C60" w:rsidRDefault="008842C8"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с</w:t>
      </w:r>
      <w:r w:rsidR="0068434D" w:rsidRPr="00094C60">
        <w:rPr>
          <w:rFonts w:ascii="Times New Roman" w:hAnsi="Times New Roman"/>
          <w:color w:val="000000"/>
          <w:sz w:val="28"/>
          <w:szCs w:val="28"/>
        </w:rPr>
        <w:t>оздание благоприятной среды, способствующей устойчивому инновационному развитию (политика, правовые основы, институты);</w:t>
      </w:r>
    </w:p>
    <w:p w:rsidR="0068434D" w:rsidRPr="00094C60" w:rsidRDefault="008842C8"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ц</w:t>
      </w:r>
      <w:r w:rsidR="0068434D" w:rsidRPr="00094C60">
        <w:rPr>
          <w:rFonts w:ascii="Times New Roman" w:hAnsi="Times New Roman"/>
          <w:color w:val="000000"/>
          <w:sz w:val="28"/>
          <w:szCs w:val="28"/>
        </w:rPr>
        <w:t xml:space="preserve">ифровые возможности для всех, цифровые навыки для цифровой экономики (доступ каждому к </w:t>
      </w:r>
      <w:r w:rsidR="00EF1FCB">
        <w:rPr>
          <w:rFonts w:ascii="Times New Roman" w:hAnsi="Times New Roman"/>
          <w:color w:val="000000"/>
          <w:sz w:val="28"/>
          <w:szCs w:val="28"/>
        </w:rPr>
        <w:t>«</w:t>
      </w:r>
      <w:r w:rsidR="0068434D" w:rsidRPr="00094C60">
        <w:rPr>
          <w:rFonts w:ascii="Times New Roman" w:hAnsi="Times New Roman"/>
          <w:color w:val="000000"/>
          <w:sz w:val="28"/>
          <w:szCs w:val="28"/>
        </w:rPr>
        <w:t>цифровым знаниям</w:t>
      </w:r>
      <w:r w:rsidR="00EF1FCB">
        <w:rPr>
          <w:rFonts w:ascii="Times New Roman" w:hAnsi="Times New Roman"/>
          <w:color w:val="000000"/>
          <w:sz w:val="28"/>
          <w:szCs w:val="28"/>
        </w:rPr>
        <w:t>»</w:t>
      </w:r>
      <w:r w:rsidR="0068434D" w:rsidRPr="00094C60">
        <w:rPr>
          <w:rFonts w:ascii="Times New Roman" w:hAnsi="Times New Roman"/>
          <w:color w:val="000000"/>
          <w:sz w:val="28"/>
          <w:szCs w:val="28"/>
        </w:rPr>
        <w:t>, инновациям, опыту и возможностям для производства, использования и сбыта чистых товаров и услуг);</w:t>
      </w:r>
    </w:p>
    <w:p w:rsidR="0068434D" w:rsidRPr="00094C60" w:rsidRDefault="008842C8"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ф</w:t>
      </w:r>
      <w:r w:rsidR="0068434D" w:rsidRPr="00094C60">
        <w:rPr>
          <w:rFonts w:ascii="Times New Roman" w:hAnsi="Times New Roman"/>
          <w:color w:val="000000"/>
          <w:sz w:val="28"/>
          <w:szCs w:val="28"/>
        </w:rPr>
        <w:t xml:space="preserve">ормирование открытого цифрового общества, движущей силой которого является индустрия данных (открытые государственные данные, сенсорные технологии и телеметрия, интернет вещей, </w:t>
      </w:r>
      <w:r w:rsidR="00BD5211">
        <w:rPr>
          <w:rFonts w:ascii="Times New Roman" w:hAnsi="Times New Roman"/>
          <w:color w:val="000000"/>
          <w:sz w:val="28"/>
          <w:szCs w:val="28"/>
        </w:rPr>
        <w:t>«</w:t>
      </w:r>
      <w:r w:rsidR="0068434D" w:rsidRPr="00094C60">
        <w:rPr>
          <w:rFonts w:ascii="Times New Roman" w:hAnsi="Times New Roman"/>
          <w:color w:val="000000"/>
          <w:sz w:val="28"/>
          <w:szCs w:val="28"/>
        </w:rPr>
        <w:t>облачные вычисления</w:t>
      </w:r>
      <w:r w:rsidR="00BD5211">
        <w:rPr>
          <w:rFonts w:ascii="Times New Roman" w:hAnsi="Times New Roman"/>
          <w:color w:val="000000"/>
          <w:sz w:val="28"/>
          <w:szCs w:val="28"/>
        </w:rPr>
        <w:t>»</w:t>
      </w:r>
      <w:r w:rsidR="00BA6DDD">
        <w:rPr>
          <w:rFonts w:ascii="Times New Roman" w:hAnsi="Times New Roman"/>
          <w:color w:val="000000"/>
          <w:sz w:val="28"/>
          <w:szCs w:val="28"/>
        </w:rPr>
        <w:t>, большие данные</w:t>
      </w:r>
      <w:r w:rsidR="0068434D" w:rsidRPr="00094C60">
        <w:rPr>
          <w:rFonts w:ascii="Times New Roman" w:hAnsi="Times New Roman"/>
          <w:color w:val="000000"/>
          <w:sz w:val="28"/>
          <w:szCs w:val="28"/>
        </w:rPr>
        <w:t>);</w:t>
      </w:r>
    </w:p>
    <w:p w:rsidR="0068434D" w:rsidRPr="00094C60" w:rsidRDefault="008842C8"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п</w:t>
      </w:r>
      <w:r w:rsidR="0068434D" w:rsidRPr="00094C60">
        <w:rPr>
          <w:rFonts w:ascii="Times New Roman" w:hAnsi="Times New Roman"/>
          <w:color w:val="000000"/>
          <w:sz w:val="28"/>
          <w:szCs w:val="28"/>
        </w:rPr>
        <w:t>ревращение Кыргызстана в безопасное место для жизни и работы on</w:t>
      </w:r>
      <w:r w:rsidR="00F9318B">
        <w:rPr>
          <w:rFonts w:ascii="Times New Roman" w:hAnsi="Times New Roman"/>
          <w:color w:val="000000"/>
          <w:sz w:val="28"/>
          <w:szCs w:val="28"/>
        </w:rPr>
        <w:noBreakHyphen/>
      </w:r>
      <w:r w:rsidR="0068434D" w:rsidRPr="00094C60">
        <w:rPr>
          <w:rFonts w:ascii="Times New Roman" w:hAnsi="Times New Roman"/>
          <w:color w:val="000000"/>
          <w:sz w:val="28"/>
          <w:szCs w:val="28"/>
        </w:rPr>
        <w:t>line (безопасность технологий, данных и сетей);</w:t>
      </w:r>
    </w:p>
    <w:p w:rsidR="0068434D" w:rsidRPr="00094C60" w:rsidRDefault="008842C8"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п</w:t>
      </w:r>
      <w:r w:rsidR="0068434D" w:rsidRPr="00094C60">
        <w:rPr>
          <w:rFonts w:ascii="Times New Roman" w:hAnsi="Times New Roman"/>
          <w:color w:val="000000"/>
          <w:sz w:val="28"/>
          <w:szCs w:val="28"/>
        </w:rPr>
        <w:t>ревращение Кыргызстана в региональный хаб цифрового Шелкового пути для цифрового бизнеса и цифровых инноваций (благоприятная цифровая среда).</w:t>
      </w:r>
    </w:p>
    <w:p w:rsidR="0068434D" w:rsidRDefault="008842C8" w:rsidP="006D0AF9">
      <w:pPr>
        <w:autoSpaceDE w:val="0"/>
        <w:autoSpaceDN w:val="0"/>
        <w:adjustRightInd w:val="0"/>
        <w:spacing w:after="0" w:line="330" w:lineRule="exact"/>
        <w:ind w:firstLine="709"/>
        <w:jc w:val="both"/>
        <w:rPr>
          <w:rFonts w:ascii="Times New Roman" w:hAnsi="Times New Roman"/>
          <w:color w:val="000000"/>
          <w:sz w:val="28"/>
          <w:szCs w:val="28"/>
        </w:rPr>
      </w:pPr>
      <w:r>
        <w:rPr>
          <w:rFonts w:ascii="Times New Roman" w:hAnsi="Times New Roman"/>
          <w:color w:val="000000"/>
          <w:sz w:val="28"/>
          <w:szCs w:val="28"/>
        </w:rPr>
        <w:t>В</w:t>
      </w:r>
      <w:r w:rsidR="0068434D" w:rsidRPr="00094C60">
        <w:rPr>
          <w:rFonts w:ascii="Times New Roman" w:hAnsi="Times New Roman"/>
          <w:color w:val="000000"/>
          <w:sz w:val="28"/>
          <w:szCs w:val="28"/>
        </w:rPr>
        <w:t xml:space="preserve">недрение новых технологий в различные сферы деятельности и подготовка к переходу на цифровую экономику </w:t>
      </w:r>
      <w:r>
        <w:rPr>
          <w:rFonts w:ascii="Times New Roman" w:hAnsi="Times New Roman"/>
          <w:color w:val="000000"/>
          <w:sz w:val="28"/>
          <w:szCs w:val="28"/>
        </w:rPr>
        <w:t>позвол</w:t>
      </w:r>
      <w:r w:rsidR="00BD5211">
        <w:rPr>
          <w:rFonts w:ascii="Times New Roman" w:hAnsi="Times New Roman"/>
          <w:color w:val="000000"/>
          <w:sz w:val="28"/>
          <w:szCs w:val="28"/>
        </w:rPr>
        <w:t>я</w:t>
      </w:r>
      <w:r>
        <w:rPr>
          <w:rFonts w:ascii="Times New Roman" w:hAnsi="Times New Roman"/>
          <w:color w:val="000000"/>
          <w:sz w:val="28"/>
          <w:szCs w:val="28"/>
        </w:rPr>
        <w:t>т</w:t>
      </w:r>
      <w:r w:rsidR="0068434D" w:rsidRPr="00094C60">
        <w:rPr>
          <w:rFonts w:ascii="Times New Roman" w:hAnsi="Times New Roman"/>
          <w:color w:val="000000"/>
          <w:sz w:val="28"/>
          <w:szCs w:val="28"/>
        </w:rPr>
        <w:t xml:space="preserve"> созда</w:t>
      </w:r>
      <w:r>
        <w:rPr>
          <w:rFonts w:ascii="Times New Roman" w:hAnsi="Times New Roman"/>
          <w:color w:val="000000"/>
          <w:sz w:val="28"/>
          <w:szCs w:val="28"/>
        </w:rPr>
        <w:t>ть</w:t>
      </w:r>
      <w:r w:rsidR="0068434D" w:rsidRPr="00094C60">
        <w:rPr>
          <w:rFonts w:ascii="Times New Roman" w:hAnsi="Times New Roman"/>
          <w:color w:val="000000"/>
          <w:sz w:val="28"/>
          <w:szCs w:val="28"/>
        </w:rPr>
        <w:t xml:space="preserve"> мобильное и гибкое государство, способное оперативно реагировать на любые современные тенденции.</w:t>
      </w:r>
    </w:p>
    <w:p w:rsidR="0068434D" w:rsidRPr="00D036FA" w:rsidRDefault="0068434D" w:rsidP="004D2C9E">
      <w:pPr>
        <w:pStyle w:val="4"/>
      </w:pPr>
      <w:r w:rsidRPr="00D036FA">
        <w:t>Республика Таджикистан</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Начиная с 2000 года появились благоприятные условия развития всех сфер жизни государства и общества страны.</w:t>
      </w:r>
      <w:r w:rsidR="004D2C9E">
        <w:rPr>
          <w:rFonts w:ascii="Times New Roman" w:hAnsi="Times New Roman"/>
          <w:color w:val="000000"/>
          <w:sz w:val="28"/>
          <w:szCs w:val="28"/>
        </w:rPr>
        <w:t xml:space="preserve"> </w:t>
      </w:r>
    </w:p>
    <w:p w:rsidR="0068434D" w:rsidRPr="00D036FA" w:rsidRDefault="00BD5211"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этот период</w:t>
      </w:r>
      <w:r w:rsidR="0068434D" w:rsidRPr="00D036FA">
        <w:rPr>
          <w:rFonts w:ascii="Times New Roman" w:hAnsi="Times New Roman"/>
          <w:color w:val="000000"/>
          <w:sz w:val="28"/>
          <w:szCs w:val="28"/>
        </w:rPr>
        <w:t xml:space="preserve"> наряду с другими важными вопросами государственного стр</w:t>
      </w:r>
      <w:r>
        <w:rPr>
          <w:rFonts w:ascii="Times New Roman" w:hAnsi="Times New Roman"/>
          <w:color w:val="000000"/>
          <w:sz w:val="28"/>
          <w:szCs w:val="28"/>
        </w:rPr>
        <w:t>оительства</w:t>
      </w:r>
      <w:r w:rsidR="0068434D" w:rsidRPr="00D036FA">
        <w:rPr>
          <w:rFonts w:ascii="Times New Roman" w:hAnsi="Times New Roman"/>
          <w:color w:val="000000"/>
          <w:sz w:val="28"/>
          <w:szCs w:val="28"/>
        </w:rPr>
        <w:t xml:space="preserve"> особое внимание уделялось и уделяется вопросам внедрения </w:t>
      </w:r>
      <w:r w:rsidR="00FA132B">
        <w:rPr>
          <w:rFonts w:ascii="Times New Roman" w:hAnsi="Times New Roman"/>
          <w:color w:val="000000"/>
          <w:sz w:val="28"/>
          <w:szCs w:val="28"/>
        </w:rPr>
        <w:t>ИКТ</w:t>
      </w:r>
      <w:r w:rsidR="0068434D" w:rsidRPr="00D036FA">
        <w:rPr>
          <w:rFonts w:ascii="Times New Roman" w:hAnsi="Times New Roman"/>
          <w:color w:val="000000"/>
          <w:sz w:val="28"/>
          <w:szCs w:val="28"/>
        </w:rPr>
        <w:t xml:space="preserve"> для развития Республики Таджикистан.</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В Республике Таджикистан принят</w:t>
      </w:r>
      <w:r w:rsidR="00FA132B">
        <w:rPr>
          <w:rFonts w:ascii="Times New Roman" w:hAnsi="Times New Roman"/>
          <w:color w:val="000000"/>
          <w:sz w:val="28"/>
          <w:szCs w:val="28"/>
        </w:rPr>
        <w:t>ы</w:t>
      </w:r>
      <w:r w:rsidRPr="00D036FA">
        <w:rPr>
          <w:rFonts w:ascii="Times New Roman" w:hAnsi="Times New Roman"/>
          <w:color w:val="000000"/>
          <w:sz w:val="28"/>
          <w:szCs w:val="28"/>
        </w:rPr>
        <w:t xml:space="preserve"> и реализу</w:t>
      </w:r>
      <w:r w:rsidR="00FA132B">
        <w:rPr>
          <w:rFonts w:ascii="Times New Roman" w:hAnsi="Times New Roman"/>
          <w:color w:val="000000"/>
          <w:sz w:val="28"/>
          <w:szCs w:val="28"/>
        </w:rPr>
        <w:t>ю</w:t>
      </w:r>
      <w:r w:rsidRPr="00D036FA">
        <w:rPr>
          <w:rFonts w:ascii="Times New Roman" w:hAnsi="Times New Roman"/>
          <w:color w:val="000000"/>
          <w:sz w:val="28"/>
          <w:szCs w:val="28"/>
        </w:rPr>
        <w:t xml:space="preserve">тся ряд нормативных и правовых актов в сфере связи, информации, защиты информации, информатизации и </w:t>
      </w:r>
      <w:r w:rsidR="00FA132B" w:rsidRPr="00FA132B">
        <w:rPr>
          <w:rFonts w:ascii="Times New Roman" w:hAnsi="Times New Roman"/>
          <w:color w:val="000000"/>
          <w:sz w:val="28"/>
          <w:szCs w:val="28"/>
        </w:rPr>
        <w:t>ИКТ</w:t>
      </w:r>
      <w:r w:rsidRPr="00D036FA">
        <w:rPr>
          <w:rFonts w:ascii="Times New Roman" w:hAnsi="Times New Roman"/>
          <w:color w:val="000000"/>
          <w:sz w:val="28"/>
          <w:szCs w:val="28"/>
        </w:rPr>
        <w:t>.</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Законы Республики Таджикистан:</w:t>
      </w:r>
    </w:p>
    <w:p w:rsidR="0068434D" w:rsidRPr="00D036FA" w:rsidRDefault="00A91E86"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 6 августа 2001 года</w:t>
      </w:r>
      <w:r w:rsidRPr="00A91E86">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Об информатизации</w:t>
      </w:r>
      <w:r w:rsidR="004D2C9E">
        <w:rPr>
          <w:rFonts w:ascii="Times New Roman" w:hAnsi="Times New Roman"/>
          <w:color w:val="000000"/>
          <w:sz w:val="28"/>
          <w:szCs w:val="28"/>
        </w:rPr>
        <w:t>»</w:t>
      </w:r>
      <w:r>
        <w:rPr>
          <w:rFonts w:ascii="Times New Roman" w:hAnsi="Times New Roman"/>
          <w:color w:val="000000"/>
          <w:sz w:val="28"/>
          <w:szCs w:val="28"/>
        </w:rPr>
        <w:t>;</w:t>
      </w:r>
    </w:p>
    <w:p w:rsidR="0068434D" w:rsidRDefault="00A91E86" w:rsidP="004D2C9E">
      <w:pPr>
        <w:autoSpaceDE w:val="0"/>
        <w:autoSpaceDN w:val="0"/>
        <w:adjustRightInd w:val="0"/>
        <w:spacing w:after="0" w:line="240" w:lineRule="auto"/>
        <w:ind w:firstLine="709"/>
        <w:jc w:val="both"/>
        <w:rPr>
          <w:rFonts w:ascii="Times New Roman" w:hAnsi="Times New Roman"/>
          <w:color w:val="000000"/>
          <w:sz w:val="28"/>
          <w:szCs w:val="28"/>
        </w:rPr>
      </w:pPr>
      <w:r w:rsidRPr="00A91E86">
        <w:rPr>
          <w:rFonts w:ascii="Times New Roman" w:hAnsi="Times New Roman"/>
          <w:color w:val="000000"/>
          <w:sz w:val="28"/>
          <w:szCs w:val="28"/>
        </w:rPr>
        <w:t>от 10</w:t>
      </w:r>
      <w:r>
        <w:rPr>
          <w:rFonts w:ascii="Times New Roman" w:hAnsi="Times New Roman"/>
          <w:color w:val="000000"/>
          <w:sz w:val="28"/>
          <w:szCs w:val="28"/>
        </w:rPr>
        <w:t xml:space="preserve"> мая </w:t>
      </w:r>
      <w:r w:rsidRPr="00A91E86">
        <w:rPr>
          <w:rFonts w:ascii="Times New Roman" w:hAnsi="Times New Roman"/>
          <w:color w:val="000000"/>
          <w:sz w:val="28"/>
          <w:szCs w:val="28"/>
        </w:rPr>
        <w:t>2002</w:t>
      </w:r>
      <w:r>
        <w:rPr>
          <w:rFonts w:ascii="Times New Roman" w:hAnsi="Times New Roman"/>
          <w:color w:val="000000"/>
          <w:sz w:val="28"/>
          <w:szCs w:val="28"/>
        </w:rPr>
        <w:t xml:space="preserve"> </w:t>
      </w:r>
      <w:r w:rsidRPr="00A91E86">
        <w:rPr>
          <w:rFonts w:ascii="Times New Roman" w:hAnsi="Times New Roman"/>
          <w:color w:val="000000"/>
          <w:sz w:val="28"/>
          <w:szCs w:val="28"/>
        </w:rPr>
        <w:t>г</w:t>
      </w:r>
      <w:r>
        <w:rPr>
          <w:rFonts w:ascii="Times New Roman" w:hAnsi="Times New Roman"/>
          <w:color w:val="000000"/>
          <w:sz w:val="28"/>
          <w:szCs w:val="28"/>
        </w:rPr>
        <w:t>ода</w:t>
      </w:r>
      <w:r w:rsidRPr="00A91E86">
        <w:rPr>
          <w:rFonts w:ascii="Times New Roman" w:hAnsi="Times New Roman"/>
          <w:color w:val="000000"/>
          <w:sz w:val="28"/>
          <w:szCs w:val="28"/>
        </w:rPr>
        <w:t xml:space="preserve"> </w:t>
      </w:r>
      <w:r w:rsidR="004D2C9E">
        <w:rPr>
          <w:rFonts w:ascii="Times New Roman" w:hAnsi="Times New Roman"/>
          <w:color w:val="000000"/>
          <w:sz w:val="28"/>
          <w:szCs w:val="28"/>
        </w:rPr>
        <w:t>«</w:t>
      </w:r>
      <w:r>
        <w:rPr>
          <w:rFonts w:ascii="Times New Roman" w:hAnsi="Times New Roman"/>
          <w:color w:val="000000"/>
          <w:sz w:val="28"/>
          <w:szCs w:val="28"/>
        </w:rPr>
        <w:t>Об информации</w:t>
      </w:r>
      <w:r w:rsidR="004D2C9E">
        <w:rPr>
          <w:rFonts w:ascii="Times New Roman" w:hAnsi="Times New Roman"/>
          <w:color w:val="000000"/>
          <w:sz w:val="28"/>
          <w:szCs w:val="28"/>
        </w:rPr>
        <w:t>»</w:t>
      </w:r>
      <w:r>
        <w:rPr>
          <w:rFonts w:ascii="Times New Roman" w:hAnsi="Times New Roman"/>
          <w:color w:val="000000"/>
          <w:sz w:val="28"/>
          <w:szCs w:val="28"/>
        </w:rPr>
        <w:t>;</w:t>
      </w:r>
    </w:p>
    <w:p w:rsidR="00112364" w:rsidRDefault="00112364" w:rsidP="004D2C9E">
      <w:pPr>
        <w:autoSpaceDE w:val="0"/>
        <w:autoSpaceDN w:val="0"/>
        <w:adjustRightInd w:val="0"/>
        <w:spacing w:after="0" w:line="240" w:lineRule="auto"/>
        <w:ind w:firstLine="709"/>
        <w:jc w:val="both"/>
        <w:rPr>
          <w:rFonts w:ascii="Times New Roman" w:hAnsi="Times New Roman"/>
          <w:color w:val="000000"/>
          <w:sz w:val="28"/>
          <w:szCs w:val="28"/>
        </w:rPr>
      </w:pPr>
      <w:r w:rsidRPr="00112364">
        <w:rPr>
          <w:rFonts w:ascii="Times New Roman" w:hAnsi="Times New Roman"/>
          <w:color w:val="000000"/>
          <w:sz w:val="28"/>
          <w:szCs w:val="28"/>
        </w:rPr>
        <w:t>от 10 мая 2002 года «Об электрической связи»;</w:t>
      </w:r>
    </w:p>
    <w:p w:rsidR="00112364" w:rsidRDefault="00112364" w:rsidP="004D2C9E">
      <w:pPr>
        <w:autoSpaceDE w:val="0"/>
        <w:autoSpaceDN w:val="0"/>
        <w:adjustRightInd w:val="0"/>
        <w:spacing w:after="0" w:line="240" w:lineRule="auto"/>
        <w:ind w:firstLine="709"/>
        <w:jc w:val="both"/>
        <w:rPr>
          <w:rFonts w:ascii="Times New Roman" w:hAnsi="Times New Roman"/>
          <w:color w:val="000000"/>
          <w:sz w:val="28"/>
          <w:szCs w:val="28"/>
        </w:rPr>
      </w:pPr>
      <w:r w:rsidRPr="00112364">
        <w:rPr>
          <w:rFonts w:ascii="Times New Roman" w:hAnsi="Times New Roman"/>
          <w:color w:val="000000"/>
          <w:sz w:val="28"/>
          <w:szCs w:val="28"/>
        </w:rPr>
        <w:t>от 1 августа 2003 года «О рекламе»;</w:t>
      </w:r>
    </w:p>
    <w:p w:rsidR="0068434D" w:rsidRPr="00D036FA" w:rsidRDefault="00A91E86" w:rsidP="004D2C9E">
      <w:pPr>
        <w:autoSpaceDE w:val="0"/>
        <w:autoSpaceDN w:val="0"/>
        <w:adjustRightInd w:val="0"/>
        <w:spacing w:after="0" w:line="240" w:lineRule="auto"/>
        <w:ind w:firstLine="709"/>
        <w:jc w:val="both"/>
        <w:rPr>
          <w:rFonts w:ascii="Times New Roman" w:hAnsi="Times New Roman"/>
          <w:color w:val="000000"/>
          <w:sz w:val="28"/>
          <w:szCs w:val="28"/>
        </w:rPr>
      </w:pPr>
      <w:r w:rsidRPr="00A91E86">
        <w:rPr>
          <w:rFonts w:ascii="Times New Roman" w:hAnsi="Times New Roman"/>
          <w:color w:val="000000"/>
          <w:sz w:val="28"/>
          <w:szCs w:val="28"/>
        </w:rPr>
        <w:t>от 26</w:t>
      </w:r>
      <w:r>
        <w:rPr>
          <w:rFonts w:ascii="Times New Roman" w:hAnsi="Times New Roman"/>
          <w:color w:val="000000"/>
          <w:sz w:val="28"/>
          <w:szCs w:val="28"/>
        </w:rPr>
        <w:t xml:space="preserve"> декабря </w:t>
      </w:r>
      <w:r w:rsidRPr="00A91E86">
        <w:rPr>
          <w:rFonts w:ascii="Times New Roman" w:hAnsi="Times New Roman"/>
          <w:color w:val="000000"/>
          <w:sz w:val="28"/>
          <w:szCs w:val="28"/>
        </w:rPr>
        <w:t>2005</w:t>
      </w:r>
      <w:r>
        <w:rPr>
          <w:rFonts w:ascii="Times New Roman" w:hAnsi="Times New Roman"/>
          <w:color w:val="000000"/>
          <w:sz w:val="28"/>
          <w:szCs w:val="28"/>
        </w:rPr>
        <w:t xml:space="preserve"> </w:t>
      </w:r>
      <w:r w:rsidRPr="00A91E86">
        <w:rPr>
          <w:rFonts w:ascii="Times New Roman" w:hAnsi="Times New Roman"/>
          <w:color w:val="000000"/>
          <w:sz w:val="28"/>
          <w:szCs w:val="28"/>
        </w:rPr>
        <w:t>г</w:t>
      </w:r>
      <w:r>
        <w:rPr>
          <w:rFonts w:ascii="Times New Roman" w:hAnsi="Times New Roman"/>
          <w:color w:val="000000"/>
          <w:sz w:val="28"/>
          <w:szCs w:val="28"/>
        </w:rPr>
        <w:t>ода</w:t>
      </w:r>
      <w:r w:rsidRPr="00A91E86">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защите информации</w:t>
      </w:r>
      <w:r w:rsidR="004D2C9E">
        <w:rPr>
          <w:rFonts w:ascii="Times New Roman" w:hAnsi="Times New Roman"/>
          <w:color w:val="000000"/>
          <w:sz w:val="28"/>
          <w:szCs w:val="28"/>
        </w:rPr>
        <w:t>»</w:t>
      </w:r>
      <w:r>
        <w:rPr>
          <w:rFonts w:ascii="Times New Roman" w:hAnsi="Times New Roman"/>
          <w:color w:val="000000"/>
          <w:sz w:val="28"/>
          <w:szCs w:val="28"/>
        </w:rPr>
        <w:t>;</w:t>
      </w:r>
      <w:r w:rsidR="0068434D" w:rsidRPr="00D036FA">
        <w:rPr>
          <w:rFonts w:ascii="Times New Roman" w:hAnsi="Times New Roman"/>
          <w:color w:val="000000"/>
          <w:sz w:val="28"/>
          <w:szCs w:val="28"/>
        </w:rPr>
        <w:t xml:space="preserve"> </w:t>
      </w:r>
    </w:p>
    <w:p w:rsidR="0068434D" w:rsidRPr="00D036FA" w:rsidRDefault="00F05844" w:rsidP="004D2C9E">
      <w:pPr>
        <w:autoSpaceDE w:val="0"/>
        <w:autoSpaceDN w:val="0"/>
        <w:adjustRightInd w:val="0"/>
        <w:spacing w:after="0" w:line="240" w:lineRule="auto"/>
        <w:ind w:firstLine="709"/>
        <w:jc w:val="both"/>
        <w:rPr>
          <w:rFonts w:ascii="Times New Roman" w:hAnsi="Times New Roman"/>
          <w:color w:val="000000"/>
          <w:sz w:val="28"/>
          <w:szCs w:val="28"/>
        </w:rPr>
      </w:pPr>
      <w:r w:rsidRPr="00F05844">
        <w:rPr>
          <w:rFonts w:ascii="Times New Roman" w:hAnsi="Times New Roman"/>
          <w:color w:val="000000"/>
          <w:sz w:val="28"/>
          <w:szCs w:val="28"/>
        </w:rPr>
        <w:t>от 26</w:t>
      </w:r>
      <w:r>
        <w:rPr>
          <w:rFonts w:ascii="Times New Roman" w:hAnsi="Times New Roman"/>
          <w:color w:val="000000"/>
          <w:sz w:val="28"/>
          <w:szCs w:val="28"/>
        </w:rPr>
        <w:t xml:space="preserve"> декабря </w:t>
      </w:r>
      <w:r w:rsidRPr="00F05844">
        <w:rPr>
          <w:rFonts w:ascii="Times New Roman" w:hAnsi="Times New Roman"/>
          <w:color w:val="000000"/>
          <w:sz w:val="28"/>
          <w:szCs w:val="28"/>
        </w:rPr>
        <w:t>2005</w:t>
      </w:r>
      <w:r>
        <w:rPr>
          <w:rFonts w:ascii="Times New Roman" w:hAnsi="Times New Roman"/>
          <w:color w:val="000000"/>
          <w:sz w:val="28"/>
          <w:szCs w:val="28"/>
        </w:rPr>
        <w:t xml:space="preserve"> </w:t>
      </w:r>
      <w:r w:rsidRPr="00F05844">
        <w:rPr>
          <w:rFonts w:ascii="Times New Roman" w:hAnsi="Times New Roman"/>
          <w:color w:val="000000"/>
          <w:sz w:val="28"/>
          <w:szCs w:val="28"/>
        </w:rPr>
        <w:t>г</w:t>
      </w:r>
      <w:r>
        <w:rPr>
          <w:rFonts w:ascii="Times New Roman" w:hAnsi="Times New Roman"/>
          <w:color w:val="000000"/>
          <w:sz w:val="28"/>
          <w:szCs w:val="28"/>
        </w:rPr>
        <w:t>ода</w:t>
      </w:r>
      <w:r w:rsidRPr="00F05844">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Об электронном документе</w:t>
      </w:r>
      <w:r w:rsidR="004D2C9E">
        <w:rPr>
          <w:rFonts w:ascii="Times New Roman" w:hAnsi="Times New Roman"/>
          <w:color w:val="000000"/>
          <w:sz w:val="28"/>
          <w:szCs w:val="28"/>
        </w:rPr>
        <w:t>»</w:t>
      </w:r>
      <w:r>
        <w:rPr>
          <w:rFonts w:ascii="Times New Roman" w:hAnsi="Times New Roman"/>
          <w:color w:val="000000"/>
          <w:sz w:val="28"/>
          <w:szCs w:val="28"/>
        </w:rPr>
        <w:t>;</w:t>
      </w:r>
      <w:r w:rsidR="0068434D" w:rsidRPr="00D036FA">
        <w:rPr>
          <w:rFonts w:ascii="Times New Roman" w:hAnsi="Times New Roman"/>
          <w:color w:val="000000"/>
          <w:sz w:val="28"/>
          <w:szCs w:val="28"/>
        </w:rPr>
        <w:t xml:space="preserve"> </w:t>
      </w:r>
    </w:p>
    <w:p w:rsidR="00F05844" w:rsidRDefault="00F05844" w:rsidP="004D2C9E">
      <w:pPr>
        <w:autoSpaceDE w:val="0"/>
        <w:autoSpaceDN w:val="0"/>
        <w:adjustRightInd w:val="0"/>
        <w:spacing w:after="0" w:line="240" w:lineRule="auto"/>
        <w:ind w:firstLine="709"/>
        <w:jc w:val="both"/>
        <w:rPr>
          <w:rFonts w:ascii="Times New Roman" w:hAnsi="Times New Roman"/>
          <w:color w:val="000000"/>
          <w:sz w:val="28"/>
          <w:szCs w:val="28"/>
        </w:rPr>
      </w:pPr>
      <w:r w:rsidRPr="00F05844">
        <w:rPr>
          <w:rFonts w:ascii="Times New Roman" w:hAnsi="Times New Roman"/>
          <w:color w:val="000000"/>
          <w:sz w:val="28"/>
          <w:szCs w:val="28"/>
        </w:rPr>
        <w:t>от 30</w:t>
      </w:r>
      <w:r>
        <w:rPr>
          <w:rFonts w:ascii="Times New Roman" w:hAnsi="Times New Roman"/>
          <w:color w:val="000000"/>
          <w:sz w:val="28"/>
          <w:szCs w:val="28"/>
        </w:rPr>
        <w:t xml:space="preserve"> июня </w:t>
      </w:r>
      <w:r w:rsidRPr="00F05844">
        <w:rPr>
          <w:rFonts w:ascii="Times New Roman" w:hAnsi="Times New Roman"/>
          <w:color w:val="000000"/>
          <w:sz w:val="28"/>
          <w:szCs w:val="28"/>
        </w:rPr>
        <w:t>2007</w:t>
      </w:r>
      <w:r>
        <w:rPr>
          <w:rFonts w:ascii="Times New Roman" w:hAnsi="Times New Roman"/>
          <w:color w:val="000000"/>
          <w:sz w:val="28"/>
          <w:szCs w:val="28"/>
        </w:rPr>
        <w:t xml:space="preserve"> </w:t>
      </w:r>
      <w:r w:rsidRPr="00F05844">
        <w:rPr>
          <w:rFonts w:ascii="Times New Roman" w:hAnsi="Times New Roman"/>
          <w:color w:val="000000"/>
          <w:sz w:val="28"/>
          <w:szCs w:val="28"/>
        </w:rPr>
        <w:t>г</w:t>
      </w:r>
      <w:r>
        <w:rPr>
          <w:rFonts w:ascii="Times New Roman" w:hAnsi="Times New Roman"/>
          <w:color w:val="000000"/>
          <w:sz w:val="28"/>
          <w:szCs w:val="28"/>
        </w:rPr>
        <w:t>ода</w:t>
      </w:r>
      <w:r w:rsidRPr="00F05844">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Об электронной цифровой подписи</w:t>
      </w:r>
      <w:r w:rsidR="004D2C9E">
        <w:rPr>
          <w:rFonts w:ascii="Times New Roman" w:hAnsi="Times New Roman"/>
          <w:color w:val="000000"/>
          <w:sz w:val="28"/>
          <w:szCs w:val="28"/>
        </w:rPr>
        <w:t>»</w:t>
      </w:r>
      <w:r>
        <w:rPr>
          <w:rFonts w:ascii="Times New Roman" w:hAnsi="Times New Roman"/>
          <w:color w:val="000000"/>
          <w:sz w:val="28"/>
          <w:szCs w:val="28"/>
        </w:rPr>
        <w:t>;</w:t>
      </w:r>
      <w:r w:rsidR="0068434D" w:rsidRPr="00D036FA">
        <w:rPr>
          <w:rFonts w:ascii="Times New Roman" w:hAnsi="Times New Roman"/>
          <w:color w:val="000000"/>
          <w:sz w:val="28"/>
          <w:szCs w:val="28"/>
        </w:rPr>
        <w:t xml:space="preserve"> </w:t>
      </w:r>
    </w:p>
    <w:p w:rsidR="0068434D" w:rsidRPr="00D036FA" w:rsidRDefault="00F05844" w:rsidP="004D2C9E">
      <w:pPr>
        <w:autoSpaceDE w:val="0"/>
        <w:autoSpaceDN w:val="0"/>
        <w:adjustRightInd w:val="0"/>
        <w:spacing w:after="0" w:line="240" w:lineRule="auto"/>
        <w:ind w:firstLine="709"/>
        <w:jc w:val="both"/>
        <w:rPr>
          <w:rFonts w:ascii="Times New Roman" w:hAnsi="Times New Roman"/>
          <w:color w:val="000000"/>
          <w:sz w:val="28"/>
          <w:szCs w:val="28"/>
        </w:rPr>
      </w:pPr>
      <w:r w:rsidRPr="00F05844">
        <w:rPr>
          <w:rFonts w:ascii="Times New Roman" w:hAnsi="Times New Roman"/>
          <w:color w:val="000000"/>
          <w:sz w:val="28"/>
          <w:szCs w:val="28"/>
        </w:rPr>
        <w:t>от 18</w:t>
      </w:r>
      <w:r>
        <w:rPr>
          <w:rFonts w:ascii="Times New Roman" w:hAnsi="Times New Roman"/>
          <w:color w:val="000000"/>
          <w:sz w:val="28"/>
          <w:szCs w:val="28"/>
        </w:rPr>
        <w:t xml:space="preserve"> июня </w:t>
      </w:r>
      <w:r w:rsidRPr="00F05844">
        <w:rPr>
          <w:rFonts w:ascii="Times New Roman" w:hAnsi="Times New Roman"/>
          <w:color w:val="000000"/>
          <w:sz w:val="28"/>
          <w:szCs w:val="28"/>
        </w:rPr>
        <w:t>2008</w:t>
      </w:r>
      <w:r>
        <w:rPr>
          <w:rFonts w:ascii="Times New Roman" w:hAnsi="Times New Roman"/>
          <w:color w:val="000000"/>
          <w:sz w:val="28"/>
          <w:szCs w:val="28"/>
        </w:rPr>
        <w:t xml:space="preserve"> </w:t>
      </w:r>
      <w:r w:rsidRPr="00F05844">
        <w:rPr>
          <w:rFonts w:ascii="Times New Roman" w:hAnsi="Times New Roman"/>
          <w:color w:val="000000"/>
          <w:sz w:val="28"/>
          <w:szCs w:val="28"/>
        </w:rPr>
        <w:t>г</w:t>
      </w:r>
      <w:r>
        <w:rPr>
          <w:rFonts w:ascii="Times New Roman" w:hAnsi="Times New Roman"/>
          <w:color w:val="000000"/>
          <w:sz w:val="28"/>
          <w:szCs w:val="28"/>
        </w:rPr>
        <w:t>ода</w:t>
      </w:r>
      <w:r w:rsidRPr="00F05844">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праве на доступ к информации</w:t>
      </w:r>
      <w:r w:rsidR="004D2C9E">
        <w:rPr>
          <w:rFonts w:ascii="Times New Roman" w:hAnsi="Times New Roman"/>
          <w:color w:val="000000"/>
          <w:sz w:val="28"/>
          <w:szCs w:val="28"/>
        </w:rPr>
        <w:t>»</w:t>
      </w:r>
      <w:r>
        <w:rPr>
          <w:rFonts w:ascii="Times New Roman" w:hAnsi="Times New Roman"/>
          <w:color w:val="000000"/>
          <w:sz w:val="28"/>
          <w:szCs w:val="28"/>
        </w:rPr>
        <w:t>;</w:t>
      </w:r>
      <w:r w:rsidR="0068434D" w:rsidRPr="00D036FA">
        <w:rPr>
          <w:rFonts w:ascii="Times New Roman" w:hAnsi="Times New Roman"/>
          <w:color w:val="000000"/>
          <w:sz w:val="28"/>
          <w:szCs w:val="28"/>
        </w:rPr>
        <w:t xml:space="preserve"> </w:t>
      </w:r>
    </w:p>
    <w:p w:rsidR="0068434D" w:rsidRPr="00D036FA" w:rsidRDefault="00F05844" w:rsidP="004D2C9E">
      <w:pPr>
        <w:autoSpaceDE w:val="0"/>
        <w:autoSpaceDN w:val="0"/>
        <w:adjustRightInd w:val="0"/>
        <w:spacing w:after="0" w:line="240" w:lineRule="auto"/>
        <w:ind w:firstLine="709"/>
        <w:jc w:val="both"/>
        <w:rPr>
          <w:rFonts w:ascii="Times New Roman" w:hAnsi="Times New Roman"/>
          <w:color w:val="000000"/>
          <w:sz w:val="28"/>
          <w:szCs w:val="28"/>
        </w:rPr>
      </w:pPr>
      <w:r w:rsidRPr="00F05844">
        <w:rPr>
          <w:rFonts w:ascii="Times New Roman" w:hAnsi="Times New Roman"/>
          <w:color w:val="000000"/>
          <w:sz w:val="28"/>
          <w:szCs w:val="28"/>
        </w:rPr>
        <w:t>от 28</w:t>
      </w:r>
      <w:r>
        <w:rPr>
          <w:rFonts w:ascii="Times New Roman" w:hAnsi="Times New Roman"/>
          <w:color w:val="000000"/>
          <w:sz w:val="28"/>
          <w:szCs w:val="28"/>
        </w:rPr>
        <w:t xml:space="preserve"> июля </w:t>
      </w:r>
      <w:r w:rsidRPr="00F05844">
        <w:rPr>
          <w:rFonts w:ascii="Times New Roman" w:hAnsi="Times New Roman"/>
          <w:color w:val="000000"/>
          <w:sz w:val="28"/>
          <w:szCs w:val="28"/>
        </w:rPr>
        <w:t>2014</w:t>
      </w:r>
      <w:r>
        <w:rPr>
          <w:rFonts w:ascii="Times New Roman" w:hAnsi="Times New Roman"/>
          <w:color w:val="000000"/>
          <w:sz w:val="28"/>
          <w:szCs w:val="28"/>
        </w:rPr>
        <w:t xml:space="preserve"> </w:t>
      </w:r>
      <w:r w:rsidRPr="00F05844">
        <w:rPr>
          <w:rFonts w:ascii="Times New Roman" w:hAnsi="Times New Roman"/>
          <w:color w:val="000000"/>
          <w:sz w:val="28"/>
          <w:szCs w:val="28"/>
        </w:rPr>
        <w:t>г</w:t>
      </w:r>
      <w:r>
        <w:rPr>
          <w:rFonts w:ascii="Times New Roman" w:hAnsi="Times New Roman"/>
          <w:color w:val="000000"/>
          <w:sz w:val="28"/>
          <w:szCs w:val="28"/>
        </w:rPr>
        <w:t>ода</w:t>
      </w:r>
      <w:r w:rsidRPr="00F05844">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государствен</w:t>
      </w:r>
      <w:r>
        <w:rPr>
          <w:rFonts w:ascii="Times New Roman" w:hAnsi="Times New Roman"/>
          <w:color w:val="000000"/>
          <w:sz w:val="28"/>
          <w:szCs w:val="28"/>
        </w:rPr>
        <w:t>ных секретах</w:t>
      </w:r>
      <w:r w:rsidR="004D2C9E">
        <w:rPr>
          <w:rFonts w:ascii="Times New Roman" w:hAnsi="Times New Roman"/>
          <w:color w:val="000000"/>
          <w:sz w:val="28"/>
          <w:szCs w:val="28"/>
        </w:rPr>
        <w:t>»</w:t>
      </w:r>
      <w:r>
        <w:rPr>
          <w:rFonts w:ascii="Times New Roman" w:hAnsi="Times New Roman"/>
          <w:color w:val="000000"/>
          <w:sz w:val="28"/>
          <w:szCs w:val="28"/>
        </w:rPr>
        <w:t>.</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Указы Президента Республики Таджикистан:</w:t>
      </w:r>
    </w:p>
    <w:p w:rsidR="0068434D" w:rsidRPr="00D036FA" w:rsidRDefault="00F05844" w:rsidP="004D2C9E">
      <w:pPr>
        <w:autoSpaceDE w:val="0"/>
        <w:autoSpaceDN w:val="0"/>
        <w:adjustRightInd w:val="0"/>
        <w:spacing w:after="0" w:line="240" w:lineRule="auto"/>
        <w:ind w:firstLine="709"/>
        <w:jc w:val="both"/>
        <w:rPr>
          <w:rFonts w:ascii="Times New Roman" w:hAnsi="Times New Roman"/>
          <w:color w:val="000000"/>
          <w:sz w:val="28"/>
          <w:szCs w:val="28"/>
        </w:rPr>
      </w:pPr>
      <w:r w:rsidRPr="00F05844">
        <w:rPr>
          <w:rFonts w:ascii="Times New Roman" w:hAnsi="Times New Roman"/>
          <w:color w:val="000000"/>
          <w:sz w:val="28"/>
          <w:szCs w:val="28"/>
        </w:rPr>
        <w:t>от 5</w:t>
      </w:r>
      <w:r>
        <w:rPr>
          <w:rFonts w:ascii="Times New Roman" w:hAnsi="Times New Roman"/>
          <w:color w:val="000000"/>
          <w:sz w:val="28"/>
          <w:szCs w:val="28"/>
        </w:rPr>
        <w:t xml:space="preserve"> ноября </w:t>
      </w:r>
      <w:r w:rsidRPr="00F05844">
        <w:rPr>
          <w:rFonts w:ascii="Times New Roman" w:hAnsi="Times New Roman"/>
          <w:color w:val="000000"/>
          <w:sz w:val="28"/>
          <w:szCs w:val="28"/>
        </w:rPr>
        <w:t xml:space="preserve">2003 года </w:t>
      </w:r>
      <w:r w:rsidR="00E720B2">
        <w:rPr>
          <w:rFonts w:ascii="Times New Roman" w:hAnsi="Times New Roman"/>
          <w:color w:val="000000"/>
          <w:sz w:val="28"/>
          <w:szCs w:val="28"/>
        </w:rPr>
        <w:t>№ </w:t>
      </w:r>
      <w:r w:rsidRPr="00F05844">
        <w:rPr>
          <w:rFonts w:ascii="Times New Roman" w:hAnsi="Times New Roman"/>
          <w:color w:val="000000"/>
          <w:sz w:val="28"/>
          <w:szCs w:val="28"/>
        </w:rPr>
        <w:t xml:space="preserve">1173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Государственной стратегии</w:t>
      </w:r>
      <w:r>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Информационно-коммуникационные технологии для развития Республики Таджикистан</w:t>
      </w:r>
      <w:r w:rsidR="004D2C9E">
        <w:rPr>
          <w:rFonts w:ascii="Times New Roman" w:hAnsi="Times New Roman"/>
          <w:color w:val="000000"/>
          <w:sz w:val="28"/>
          <w:szCs w:val="28"/>
        </w:rPr>
        <w:t>»</w:t>
      </w:r>
      <w:r w:rsidR="0068434D" w:rsidRPr="00D036FA">
        <w:rPr>
          <w:rFonts w:ascii="Times New Roman" w:hAnsi="Times New Roman"/>
          <w:color w:val="000000"/>
          <w:sz w:val="28"/>
          <w:szCs w:val="28"/>
        </w:rPr>
        <w:t>;</w:t>
      </w:r>
    </w:p>
    <w:p w:rsidR="0068434D" w:rsidRPr="00D036FA" w:rsidRDefault="00F05844" w:rsidP="004D2C9E">
      <w:pPr>
        <w:autoSpaceDE w:val="0"/>
        <w:autoSpaceDN w:val="0"/>
        <w:adjustRightInd w:val="0"/>
        <w:spacing w:after="0" w:line="240" w:lineRule="auto"/>
        <w:ind w:firstLine="709"/>
        <w:jc w:val="both"/>
        <w:rPr>
          <w:rFonts w:ascii="Times New Roman" w:hAnsi="Times New Roman"/>
          <w:color w:val="000000"/>
          <w:sz w:val="28"/>
          <w:szCs w:val="28"/>
        </w:rPr>
      </w:pPr>
      <w:r w:rsidRPr="00F05844">
        <w:rPr>
          <w:rFonts w:ascii="Times New Roman" w:hAnsi="Times New Roman"/>
          <w:color w:val="000000"/>
          <w:sz w:val="28"/>
          <w:szCs w:val="28"/>
        </w:rPr>
        <w:t>от 7</w:t>
      </w:r>
      <w:r w:rsidRPr="00F05844">
        <w:t xml:space="preserve"> </w:t>
      </w:r>
      <w:r w:rsidRPr="00F05844">
        <w:rPr>
          <w:rFonts w:ascii="Times New Roman" w:hAnsi="Times New Roman"/>
          <w:color w:val="000000"/>
          <w:sz w:val="28"/>
          <w:szCs w:val="28"/>
        </w:rPr>
        <w:t xml:space="preserve">ноября 2003 года </w:t>
      </w:r>
      <w:r w:rsidR="00E720B2">
        <w:rPr>
          <w:rFonts w:ascii="Times New Roman" w:hAnsi="Times New Roman"/>
          <w:color w:val="000000"/>
          <w:sz w:val="28"/>
          <w:szCs w:val="28"/>
        </w:rPr>
        <w:t>№ </w:t>
      </w:r>
      <w:r w:rsidRPr="00F05844">
        <w:rPr>
          <w:rFonts w:ascii="Times New Roman" w:hAnsi="Times New Roman"/>
          <w:color w:val="000000"/>
          <w:sz w:val="28"/>
          <w:szCs w:val="28"/>
        </w:rPr>
        <w:t>1175</w:t>
      </w:r>
      <w:r w:rsidR="0068434D" w:rsidRPr="00D036FA">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Концепции информационной безопасности Республики Таджикистан</w:t>
      </w:r>
      <w:r w:rsidR="004D2C9E">
        <w:rPr>
          <w:rFonts w:ascii="Times New Roman" w:hAnsi="Times New Roman"/>
          <w:color w:val="000000"/>
          <w:sz w:val="28"/>
          <w:szCs w:val="28"/>
        </w:rPr>
        <w:t>»</w:t>
      </w:r>
      <w:r w:rsidR="0068434D" w:rsidRPr="00D036FA">
        <w:rPr>
          <w:rFonts w:ascii="Times New Roman" w:hAnsi="Times New Roman"/>
          <w:color w:val="000000"/>
          <w:sz w:val="28"/>
          <w:szCs w:val="28"/>
        </w:rPr>
        <w:t>;</w:t>
      </w:r>
    </w:p>
    <w:p w:rsidR="0068434D" w:rsidRPr="00D036FA" w:rsidRDefault="00FC419D" w:rsidP="004D2C9E">
      <w:pPr>
        <w:autoSpaceDE w:val="0"/>
        <w:autoSpaceDN w:val="0"/>
        <w:adjustRightInd w:val="0"/>
        <w:spacing w:after="0" w:line="240" w:lineRule="auto"/>
        <w:ind w:firstLine="709"/>
        <w:jc w:val="both"/>
        <w:rPr>
          <w:rFonts w:ascii="Times New Roman" w:hAnsi="Times New Roman"/>
          <w:color w:val="000000"/>
          <w:sz w:val="28"/>
          <w:szCs w:val="28"/>
        </w:rPr>
      </w:pPr>
      <w:r w:rsidRPr="00FC419D">
        <w:rPr>
          <w:rFonts w:ascii="Times New Roman" w:hAnsi="Times New Roman"/>
          <w:color w:val="000000"/>
          <w:sz w:val="28"/>
          <w:szCs w:val="28"/>
        </w:rPr>
        <w:t>от 27</w:t>
      </w:r>
      <w:r>
        <w:rPr>
          <w:rFonts w:ascii="Times New Roman" w:hAnsi="Times New Roman"/>
          <w:color w:val="000000"/>
          <w:sz w:val="28"/>
          <w:szCs w:val="28"/>
        </w:rPr>
        <w:t xml:space="preserve"> февраля </w:t>
      </w:r>
      <w:r w:rsidRPr="00FC419D">
        <w:rPr>
          <w:rFonts w:ascii="Times New Roman" w:hAnsi="Times New Roman"/>
          <w:color w:val="000000"/>
          <w:sz w:val="28"/>
          <w:szCs w:val="28"/>
        </w:rPr>
        <w:t>2006</w:t>
      </w:r>
      <w:r>
        <w:rPr>
          <w:rFonts w:ascii="Times New Roman" w:hAnsi="Times New Roman"/>
          <w:color w:val="000000"/>
          <w:sz w:val="28"/>
          <w:szCs w:val="28"/>
        </w:rPr>
        <w:t xml:space="preserve"> года </w:t>
      </w:r>
      <w:r w:rsidR="00E720B2">
        <w:rPr>
          <w:rFonts w:ascii="Times New Roman" w:hAnsi="Times New Roman"/>
          <w:color w:val="000000"/>
          <w:sz w:val="28"/>
          <w:szCs w:val="28"/>
        </w:rPr>
        <w:t>№ </w:t>
      </w:r>
      <w:r w:rsidRPr="00FC419D">
        <w:rPr>
          <w:rFonts w:ascii="Times New Roman" w:hAnsi="Times New Roman"/>
          <w:color w:val="000000"/>
          <w:sz w:val="28"/>
          <w:szCs w:val="28"/>
        </w:rPr>
        <w:t>1707</w:t>
      </w:r>
      <w:r w:rsidR="0068434D" w:rsidRPr="00D036FA">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Совете по информационно-коммуникационным технологиям при Президенте Республики Таджикистан</w:t>
      </w:r>
      <w:r w:rsidR="004D2C9E">
        <w:rPr>
          <w:rFonts w:ascii="Times New Roman" w:hAnsi="Times New Roman"/>
          <w:color w:val="000000"/>
          <w:sz w:val="28"/>
          <w:szCs w:val="28"/>
        </w:rPr>
        <w:t>»</w:t>
      </w:r>
      <w:r>
        <w:rPr>
          <w:rFonts w:ascii="Times New Roman" w:hAnsi="Times New Roman"/>
          <w:color w:val="000000"/>
          <w:sz w:val="28"/>
          <w:szCs w:val="28"/>
        </w:rPr>
        <w:t>;</w:t>
      </w:r>
    </w:p>
    <w:p w:rsidR="0068434D" w:rsidRPr="00D036FA" w:rsidRDefault="00FC419D" w:rsidP="004D2C9E">
      <w:pPr>
        <w:autoSpaceDE w:val="0"/>
        <w:autoSpaceDN w:val="0"/>
        <w:adjustRightInd w:val="0"/>
        <w:spacing w:after="0" w:line="240" w:lineRule="auto"/>
        <w:ind w:firstLine="709"/>
        <w:jc w:val="both"/>
        <w:rPr>
          <w:rFonts w:ascii="Times New Roman" w:hAnsi="Times New Roman"/>
          <w:color w:val="000000"/>
          <w:sz w:val="28"/>
          <w:szCs w:val="28"/>
        </w:rPr>
      </w:pPr>
      <w:r w:rsidRPr="00FC419D">
        <w:rPr>
          <w:rFonts w:ascii="Times New Roman" w:hAnsi="Times New Roman"/>
          <w:color w:val="000000"/>
          <w:sz w:val="28"/>
          <w:szCs w:val="28"/>
        </w:rPr>
        <w:t>от 30</w:t>
      </w:r>
      <w:r>
        <w:rPr>
          <w:rFonts w:ascii="Times New Roman" w:hAnsi="Times New Roman"/>
          <w:color w:val="000000"/>
          <w:sz w:val="28"/>
          <w:szCs w:val="28"/>
        </w:rPr>
        <w:t xml:space="preserve"> апреля 2008 года</w:t>
      </w:r>
      <w:r w:rsidRPr="00FC419D">
        <w:rPr>
          <w:rFonts w:ascii="Times New Roman" w:hAnsi="Times New Roman"/>
          <w:color w:val="000000"/>
          <w:sz w:val="28"/>
          <w:szCs w:val="28"/>
        </w:rPr>
        <w:t xml:space="preserve"> </w:t>
      </w:r>
      <w:r w:rsidR="00E720B2">
        <w:rPr>
          <w:rFonts w:ascii="Times New Roman" w:hAnsi="Times New Roman"/>
          <w:color w:val="000000"/>
          <w:sz w:val="28"/>
          <w:szCs w:val="28"/>
        </w:rPr>
        <w:t>№ </w:t>
      </w:r>
      <w:r w:rsidRPr="00FC419D">
        <w:rPr>
          <w:rFonts w:ascii="Times New Roman" w:hAnsi="Times New Roman"/>
          <w:color w:val="000000"/>
          <w:sz w:val="28"/>
          <w:szCs w:val="28"/>
        </w:rPr>
        <w:t>451</w:t>
      </w:r>
      <w:r w:rsidR="0068434D" w:rsidRPr="00D036FA">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Концепции государственной информационной политики Республики Таджикистан</w:t>
      </w:r>
      <w:r w:rsidR="004D2C9E">
        <w:rPr>
          <w:rFonts w:ascii="Times New Roman" w:hAnsi="Times New Roman"/>
          <w:color w:val="000000"/>
          <w:sz w:val="28"/>
          <w:szCs w:val="28"/>
        </w:rPr>
        <w:t>»</w:t>
      </w:r>
      <w:r w:rsidR="0068434D" w:rsidRPr="00D036FA">
        <w:rPr>
          <w:rFonts w:ascii="Times New Roman" w:hAnsi="Times New Roman"/>
          <w:color w:val="000000"/>
          <w:sz w:val="28"/>
          <w:szCs w:val="28"/>
        </w:rPr>
        <w:t>;</w:t>
      </w:r>
    </w:p>
    <w:p w:rsidR="0068434D" w:rsidRPr="00D036FA" w:rsidRDefault="00C1484B" w:rsidP="004D2C9E">
      <w:pPr>
        <w:autoSpaceDE w:val="0"/>
        <w:autoSpaceDN w:val="0"/>
        <w:adjustRightInd w:val="0"/>
        <w:spacing w:after="0" w:line="240" w:lineRule="auto"/>
        <w:ind w:firstLine="709"/>
        <w:jc w:val="both"/>
        <w:rPr>
          <w:rFonts w:ascii="Times New Roman" w:hAnsi="Times New Roman"/>
          <w:color w:val="000000"/>
          <w:sz w:val="28"/>
          <w:szCs w:val="28"/>
        </w:rPr>
      </w:pPr>
      <w:r w:rsidRPr="00C1484B">
        <w:rPr>
          <w:rFonts w:ascii="Times New Roman" w:hAnsi="Times New Roman"/>
          <w:color w:val="000000"/>
          <w:sz w:val="28"/>
          <w:szCs w:val="28"/>
        </w:rPr>
        <w:t>от 7</w:t>
      </w:r>
      <w:r>
        <w:rPr>
          <w:rFonts w:ascii="Times New Roman" w:hAnsi="Times New Roman"/>
          <w:color w:val="000000"/>
          <w:sz w:val="28"/>
          <w:szCs w:val="28"/>
        </w:rPr>
        <w:t xml:space="preserve"> февраля </w:t>
      </w:r>
      <w:r w:rsidRPr="00C1484B">
        <w:rPr>
          <w:rFonts w:ascii="Times New Roman" w:hAnsi="Times New Roman"/>
          <w:color w:val="000000"/>
          <w:sz w:val="28"/>
          <w:szCs w:val="28"/>
        </w:rPr>
        <w:t xml:space="preserve">2009 года </w:t>
      </w:r>
      <w:r w:rsidR="00E720B2">
        <w:rPr>
          <w:rFonts w:ascii="Times New Roman" w:hAnsi="Times New Roman"/>
          <w:color w:val="000000"/>
          <w:sz w:val="28"/>
          <w:szCs w:val="28"/>
        </w:rPr>
        <w:t>№ </w:t>
      </w:r>
      <w:r w:rsidRPr="00C1484B">
        <w:rPr>
          <w:rFonts w:ascii="Times New Roman" w:hAnsi="Times New Roman"/>
          <w:color w:val="000000"/>
          <w:sz w:val="28"/>
          <w:szCs w:val="28"/>
        </w:rPr>
        <w:t>622</w:t>
      </w:r>
      <w:r w:rsidR="0068434D" w:rsidRPr="00D036FA">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реагировании должностных лиц на критические и аналитические материалы средств массовой информ</w:t>
      </w:r>
      <w:r w:rsidR="0068434D">
        <w:rPr>
          <w:rFonts w:ascii="Times New Roman" w:hAnsi="Times New Roman"/>
          <w:color w:val="000000"/>
          <w:sz w:val="28"/>
          <w:szCs w:val="28"/>
        </w:rPr>
        <w:t>ации</w:t>
      </w:r>
      <w:r w:rsidR="004D2C9E">
        <w:rPr>
          <w:rFonts w:ascii="Times New Roman" w:hAnsi="Times New Roman"/>
          <w:color w:val="000000"/>
          <w:sz w:val="28"/>
          <w:szCs w:val="28"/>
        </w:rPr>
        <w:t>»</w:t>
      </w:r>
      <w:r>
        <w:rPr>
          <w:rFonts w:ascii="Times New Roman" w:hAnsi="Times New Roman"/>
          <w:color w:val="000000"/>
          <w:sz w:val="28"/>
          <w:szCs w:val="28"/>
        </w:rPr>
        <w:t>.</w:t>
      </w:r>
    </w:p>
    <w:p w:rsidR="0068434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Постановления Правительства Республик Таджикистан:</w:t>
      </w:r>
    </w:p>
    <w:p w:rsidR="00B62F94" w:rsidRDefault="00B62F94" w:rsidP="00B62F94">
      <w:pPr>
        <w:autoSpaceDE w:val="0"/>
        <w:autoSpaceDN w:val="0"/>
        <w:adjustRightInd w:val="0"/>
        <w:spacing w:after="0" w:line="240" w:lineRule="auto"/>
        <w:ind w:firstLine="709"/>
        <w:jc w:val="both"/>
        <w:rPr>
          <w:rFonts w:ascii="Times New Roman" w:hAnsi="Times New Roman"/>
          <w:color w:val="000000"/>
          <w:sz w:val="28"/>
          <w:szCs w:val="28"/>
        </w:rPr>
      </w:pPr>
      <w:r w:rsidRPr="00B62F94">
        <w:rPr>
          <w:rFonts w:ascii="Times New Roman" w:hAnsi="Times New Roman"/>
          <w:color w:val="000000"/>
          <w:sz w:val="28"/>
          <w:szCs w:val="28"/>
        </w:rPr>
        <w:t xml:space="preserve">от 30 декабря 2005 года </w:t>
      </w:r>
      <w:r w:rsidR="00E720B2">
        <w:rPr>
          <w:rFonts w:ascii="Times New Roman" w:hAnsi="Times New Roman"/>
          <w:color w:val="000000"/>
          <w:sz w:val="28"/>
          <w:szCs w:val="28"/>
        </w:rPr>
        <w:t>№ </w:t>
      </w:r>
      <w:r w:rsidRPr="00B62F94">
        <w:rPr>
          <w:rFonts w:ascii="Times New Roman" w:hAnsi="Times New Roman"/>
          <w:color w:val="000000"/>
          <w:sz w:val="28"/>
          <w:szCs w:val="28"/>
        </w:rPr>
        <w:t xml:space="preserve">508 (от 3 августа 2007 года </w:t>
      </w:r>
      <w:r w:rsidR="00E720B2">
        <w:rPr>
          <w:rFonts w:ascii="Times New Roman" w:hAnsi="Times New Roman"/>
          <w:color w:val="000000"/>
          <w:sz w:val="28"/>
          <w:szCs w:val="28"/>
        </w:rPr>
        <w:t>№ </w:t>
      </w:r>
      <w:r w:rsidRPr="00B62F94">
        <w:rPr>
          <w:rFonts w:ascii="Times New Roman" w:hAnsi="Times New Roman"/>
          <w:color w:val="000000"/>
          <w:sz w:val="28"/>
          <w:szCs w:val="28"/>
        </w:rPr>
        <w:t xml:space="preserve">419) </w:t>
      </w:r>
      <w:r w:rsidR="00903F7A">
        <w:rPr>
          <w:rFonts w:ascii="Times New Roman" w:hAnsi="Times New Roman"/>
          <w:color w:val="000000"/>
          <w:sz w:val="28"/>
          <w:szCs w:val="28"/>
        </w:rPr>
        <w:br/>
      </w:r>
      <w:r w:rsidRPr="00B62F94">
        <w:rPr>
          <w:rFonts w:ascii="Times New Roman" w:hAnsi="Times New Roman"/>
          <w:color w:val="000000"/>
          <w:sz w:val="28"/>
          <w:szCs w:val="28"/>
        </w:rPr>
        <w:t>«Об Инструкции о едином порядке проведения экспертизы, утверждения, финансирования и контроля проектов по созданию и развитию объектов информатизации в Республике Таджикистан»;</w:t>
      </w:r>
    </w:p>
    <w:p w:rsidR="0068434D" w:rsidRPr="00D036FA" w:rsidRDefault="00553266" w:rsidP="004D2C9E">
      <w:pPr>
        <w:autoSpaceDE w:val="0"/>
        <w:autoSpaceDN w:val="0"/>
        <w:adjustRightInd w:val="0"/>
        <w:spacing w:after="0" w:line="240" w:lineRule="auto"/>
        <w:ind w:firstLine="709"/>
        <w:jc w:val="both"/>
        <w:rPr>
          <w:rFonts w:ascii="Times New Roman" w:hAnsi="Times New Roman"/>
          <w:color w:val="000000"/>
          <w:sz w:val="28"/>
          <w:szCs w:val="28"/>
        </w:rPr>
      </w:pPr>
      <w:r w:rsidRPr="00553266">
        <w:rPr>
          <w:rFonts w:ascii="Times New Roman" w:hAnsi="Times New Roman"/>
          <w:color w:val="000000"/>
          <w:sz w:val="28"/>
          <w:szCs w:val="28"/>
        </w:rPr>
        <w:t>от 28</w:t>
      </w:r>
      <w:r>
        <w:rPr>
          <w:rFonts w:ascii="Times New Roman" w:hAnsi="Times New Roman"/>
          <w:color w:val="000000"/>
          <w:sz w:val="28"/>
          <w:szCs w:val="28"/>
        </w:rPr>
        <w:t xml:space="preserve"> мая </w:t>
      </w:r>
      <w:r w:rsidRPr="00553266">
        <w:rPr>
          <w:rFonts w:ascii="Times New Roman" w:hAnsi="Times New Roman"/>
          <w:color w:val="000000"/>
          <w:sz w:val="28"/>
          <w:szCs w:val="28"/>
        </w:rPr>
        <w:t>2009</w:t>
      </w:r>
      <w:r>
        <w:rPr>
          <w:rFonts w:ascii="Times New Roman" w:hAnsi="Times New Roman"/>
          <w:color w:val="000000"/>
          <w:sz w:val="28"/>
          <w:szCs w:val="28"/>
        </w:rPr>
        <w:t xml:space="preserve"> года </w:t>
      </w:r>
      <w:r w:rsidR="00E720B2">
        <w:rPr>
          <w:rFonts w:ascii="Times New Roman" w:hAnsi="Times New Roman"/>
          <w:color w:val="000000"/>
          <w:sz w:val="28"/>
          <w:szCs w:val="28"/>
        </w:rPr>
        <w:t>№ </w:t>
      </w:r>
      <w:r w:rsidRPr="00553266">
        <w:rPr>
          <w:rFonts w:ascii="Times New Roman" w:hAnsi="Times New Roman"/>
          <w:color w:val="000000"/>
          <w:sz w:val="28"/>
          <w:szCs w:val="28"/>
        </w:rPr>
        <w:t xml:space="preserve">307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Программе реализации Концепции государственной информационной политики Республики Таджикистан</w:t>
      </w:r>
      <w:r w:rsidR="004D2C9E">
        <w:rPr>
          <w:rFonts w:ascii="Times New Roman" w:hAnsi="Times New Roman"/>
          <w:color w:val="000000"/>
          <w:sz w:val="28"/>
          <w:szCs w:val="28"/>
        </w:rPr>
        <w:t>»</w:t>
      </w:r>
      <w:r w:rsidR="0068434D" w:rsidRPr="00D036FA">
        <w:rPr>
          <w:rFonts w:ascii="Times New Roman" w:hAnsi="Times New Roman"/>
          <w:color w:val="000000"/>
          <w:sz w:val="28"/>
          <w:szCs w:val="28"/>
        </w:rPr>
        <w:t>;</w:t>
      </w:r>
    </w:p>
    <w:p w:rsidR="0068434D" w:rsidRDefault="00553266" w:rsidP="004D2C9E">
      <w:pPr>
        <w:autoSpaceDE w:val="0"/>
        <w:autoSpaceDN w:val="0"/>
        <w:adjustRightInd w:val="0"/>
        <w:spacing w:after="0" w:line="240" w:lineRule="auto"/>
        <w:ind w:firstLine="709"/>
        <w:jc w:val="both"/>
        <w:rPr>
          <w:rFonts w:ascii="Times New Roman" w:hAnsi="Times New Roman"/>
          <w:color w:val="000000"/>
          <w:sz w:val="28"/>
          <w:szCs w:val="28"/>
        </w:rPr>
      </w:pPr>
      <w:r w:rsidRPr="00553266">
        <w:rPr>
          <w:rFonts w:ascii="Times New Roman" w:hAnsi="Times New Roman"/>
          <w:color w:val="000000"/>
          <w:sz w:val="28"/>
          <w:szCs w:val="28"/>
        </w:rPr>
        <w:t>от 2</w:t>
      </w:r>
      <w:r>
        <w:rPr>
          <w:rFonts w:ascii="Times New Roman" w:hAnsi="Times New Roman"/>
          <w:color w:val="000000"/>
          <w:sz w:val="28"/>
          <w:szCs w:val="28"/>
        </w:rPr>
        <w:t xml:space="preserve"> декабря </w:t>
      </w:r>
      <w:r w:rsidRPr="00553266">
        <w:rPr>
          <w:rFonts w:ascii="Times New Roman" w:hAnsi="Times New Roman"/>
          <w:color w:val="000000"/>
          <w:sz w:val="28"/>
          <w:szCs w:val="28"/>
        </w:rPr>
        <w:t>2009</w:t>
      </w:r>
      <w:r w:rsidR="00F9318B">
        <w:rPr>
          <w:rFonts w:ascii="Times New Roman" w:hAnsi="Times New Roman"/>
          <w:color w:val="000000"/>
          <w:sz w:val="28"/>
          <w:szCs w:val="28"/>
        </w:rPr>
        <w:t xml:space="preserve"> </w:t>
      </w:r>
      <w:r>
        <w:rPr>
          <w:rFonts w:ascii="Times New Roman" w:hAnsi="Times New Roman"/>
          <w:color w:val="000000"/>
          <w:sz w:val="28"/>
          <w:szCs w:val="28"/>
        </w:rPr>
        <w:t>года</w:t>
      </w:r>
      <w:r w:rsidRPr="00553266">
        <w:rPr>
          <w:rFonts w:ascii="Times New Roman" w:hAnsi="Times New Roman"/>
          <w:color w:val="000000"/>
          <w:sz w:val="28"/>
          <w:szCs w:val="28"/>
        </w:rPr>
        <w:t xml:space="preserve"> </w:t>
      </w:r>
      <w:r w:rsidR="00E720B2">
        <w:rPr>
          <w:rFonts w:ascii="Times New Roman" w:hAnsi="Times New Roman"/>
          <w:color w:val="000000"/>
          <w:sz w:val="28"/>
          <w:szCs w:val="28"/>
        </w:rPr>
        <w:t>№ </w:t>
      </w:r>
      <w:r w:rsidRPr="00553266">
        <w:rPr>
          <w:rFonts w:ascii="Times New Roman" w:hAnsi="Times New Roman"/>
          <w:color w:val="000000"/>
          <w:sz w:val="28"/>
          <w:szCs w:val="28"/>
        </w:rPr>
        <w:t xml:space="preserve">653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Об утверждении Программы компьютеризации государственных издательских учреждений на 2010</w:t>
      </w:r>
      <w:r w:rsidR="00F9318B">
        <w:rPr>
          <w:rFonts w:ascii="Times New Roman" w:hAnsi="Times New Roman"/>
          <w:color w:val="000000"/>
          <w:sz w:val="28"/>
          <w:szCs w:val="28"/>
        </w:rPr>
        <w:t>–</w:t>
      </w:r>
      <w:r w:rsidR="0068434D" w:rsidRPr="00D036FA">
        <w:rPr>
          <w:rFonts w:ascii="Times New Roman" w:hAnsi="Times New Roman"/>
          <w:color w:val="000000"/>
          <w:sz w:val="28"/>
          <w:szCs w:val="28"/>
        </w:rPr>
        <w:t>2013</w:t>
      </w:r>
      <w:r w:rsidR="0037459F">
        <w:rPr>
          <w:rFonts w:ascii="Times New Roman" w:hAnsi="Times New Roman"/>
          <w:color w:val="000000"/>
          <w:sz w:val="28"/>
          <w:szCs w:val="28"/>
        </w:rPr>
        <w:t> </w:t>
      </w:r>
      <w:r w:rsidR="0068434D" w:rsidRPr="00D036FA">
        <w:rPr>
          <w:rFonts w:ascii="Times New Roman" w:hAnsi="Times New Roman"/>
          <w:color w:val="000000"/>
          <w:sz w:val="28"/>
          <w:szCs w:val="28"/>
        </w:rPr>
        <w:t>годы</w:t>
      </w:r>
      <w:r w:rsidR="004D2C9E">
        <w:rPr>
          <w:rFonts w:ascii="Times New Roman" w:hAnsi="Times New Roman"/>
          <w:color w:val="000000"/>
          <w:sz w:val="28"/>
          <w:szCs w:val="28"/>
        </w:rPr>
        <w:t>»</w:t>
      </w:r>
      <w:r w:rsidR="0068434D" w:rsidRPr="00D036FA">
        <w:rPr>
          <w:rFonts w:ascii="Times New Roman" w:hAnsi="Times New Roman"/>
          <w:color w:val="000000"/>
          <w:sz w:val="28"/>
          <w:szCs w:val="28"/>
        </w:rPr>
        <w:t xml:space="preserve">; </w:t>
      </w:r>
    </w:p>
    <w:p w:rsidR="00B62F94" w:rsidRDefault="00B62F94" w:rsidP="004D2C9E">
      <w:pPr>
        <w:autoSpaceDE w:val="0"/>
        <w:autoSpaceDN w:val="0"/>
        <w:adjustRightInd w:val="0"/>
        <w:spacing w:after="0" w:line="240" w:lineRule="auto"/>
        <w:ind w:firstLine="709"/>
        <w:jc w:val="both"/>
        <w:rPr>
          <w:rFonts w:ascii="Times New Roman" w:hAnsi="Times New Roman"/>
          <w:color w:val="000000"/>
          <w:sz w:val="28"/>
          <w:szCs w:val="28"/>
        </w:rPr>
      </w:pPr>
      <w:r w:rsidRPr="00B62F94">
        <w:rPr>
          <w:rFonts w:ascii="Times New Roman" w:hAnsi="Times New Roman"/>
          <w:color w:val="000000"/>
          <w:sz w:val="28"/>
          <w:szCs w:val="28"/>
        </w:rPr>
        <w:t xml:space="preserve">от 1 апреля 2011 года </w:t>
      </w:r>
      <w:r w:rsidR="00E720B2">
        <w:rPr>
          <w:rFonts w:ascii="Times New Roman" w:hAnsi="Times New Roman"/>
          <w:color w:val="000000"/>
          <w:sz w:val="28"/>
          <w:szCs w:val="28"/>
        </w:rPr>
        <w:t>№ </w:t>
      </w:r>
      <w:r w:rsidRPr="00B62F94">
        <w:rPr>
          <w:rFonts w:ascii="Times New Roman" w:hAnsi="Times New Roman"/>
          <w:color w:val="000000"/>
          <w:sz w:val="28"/>
          <w:szCs w:val="28"/>
        </w:rPr>
        <w:t>166 «Об утверждении Порядка единых требований для веб-сайтов и локальной вычислительной сети органов государственного управления»;</w:t>
      </w:r>
    </w:p>
    <w:p w:rsidR="00B62F94" w:rsidRPr="00B62F94" w:rsidRDefault="00B62F94" w:rsidP="00B963DF">
      <w:pPr>
        <w:autoSpaceDE w:val="0"/>
        <w:autoSpaceDN w:val="0"/>
        <w:adjustRightInd w:val="0"/>
        <w:spacing w:after="0" w:line="315" w:lineRule="exact"/>
        <w:ind w:firstLine="709"/>
        <w:jc w:val="both"/>
        <w:rPr>
          <w:rFonts w:ascii="Times New Roman" w:hAnsi="Times New Roman"/>
          <w:color w:val="000000"/>
          <w:sz w:val="28"/>
          <w:szCs w:val="28"/>
        </w:rPr>
      </w:pPr>
      <w:r w:rsidRPr="00B62F94">
        <w:rPr>
          <w:rFonts w:ascii="Times New Roman" w:hAnsi="Times New Roman"/>
          <w:color w:val="000000"/>
          <w:sz w:val="28"/>
          <w:szCs w:val="28"/>
        </w:rPr>
        <w:t xml:space="preserve">от 1 августа 2011 года </w:t>
      </w:r>
      <w:r w:rsidR="00E720B2">
        <w:rPr>
          <w:rFonts w:ascii="Times New Roman" w:hAnsi="Times New Roman"/>
          <w:color w:val="000000"/>
          <w:sz w:val="28"/>
          <w:szCs w:val="28"/>
        </w:rPr>
        <w:t>№ </w:t>
      </w:r>
      <w:r w:rsidRPr="00B62F94">
        <w:rPr>
          <w:rFonts w:ascii="Times New Roman" w:hAnsi="Times New Roman"/>
          <w:color w:val="000000"/>
          <w:sz w:val="28"/>
          <w:szCs w:val="28"/>
        </w:rPr>
        <w:t>384 «О предстоящем Плане мероприятий Правительства Республики Таджикистан по внедрению информационно-коммуникационных технологий для совершенствования государственного управления»;</w:t>
      </w:r>
    </w:p>
    <w:p w:rsidR="00697E56" w:rsidRDefault="00697E56" w:rsidP="00B963DF">
      <w:pPr>
        <w:autoSpaceDE w:val="0"/>
        <w:autoSpaceDN w:val="0"/>
        <w:adjustRightInd w:val="0"/>
        <w:spacing w:after="0" w:line="315" w:lineRule="exact"/>
        <w:ind w:firstLine="709"/>
        <w:jc w:val="both"/>
        <w:rPr>
          <w:rFonts w:ascii="Times New Roman" w:hAnsi="Times New Roman"/>
          <w:color w:val="000000"/>
          <w:sz w:val="28"/>
          <w:szCs w:val="28"/>
        </w:rPr>
      </w:pPr>
      <w:r w:rsidRPr="00697E56">
        <w:rPr>
          <w:rFonts w:ascii="Times New Roman" w:hAnsi="Times New Roman"/>
          <w:color w:val="000000"/>
          <w:sz w:val="28"/>
          <w:szCs w:val="28"/>
        </w:rPr>
        <w:t>от 2</w:t>
      </w:r>
      <w:r>
        <w:rPr>
          <w:rFonts w:ascii="Times New Roman" w:hAnsi="Times New Roman"/>
          <w:color w:val="000000"/>
          <w:sz w:val="28"/>
          <w:szCs w:val="28"/>
        </w:rPr>
        <w:t xml:space="preserve"> ноября </w:t>
      </w:r>
      <w:r w:rsidRPr="00697E56">
        <w:rPr>
          <w:rFonts w:ascii="Times New Roman" w:hAnsi="Times New Roman"/>
          <w:color w:val="000000"/>
          <w:sz w:val="28"/>
          <w:szCs w:val="28"/>
        </w:rPr>
        <w:t>2011</w:t>
      </w:r>
      <w:r>
        <w:rPr>
          <w:rFonts w:ascii="Times New Roman" w:hAnsi="Times New Roman"/>
          <w:color w:val="000000"/>
          <w:sz w:val="28"/>
          <w:szCs w:val="28"/>
        </w:rPr>
        <w:t xml:space="preserve"> </w:t>
      </w:r>
      <w:r w:rsidRPr="00697E56">
        <w:rPr>
          <w:rFonts w:ascii="Times New Roman" w:hAnsi="Times New Roman"/>
          <w:color w:val="000000"/>
          <w:sz w:val="28"/>
          <w:szCs w:val="28"/>
        </w:rPr>
        <w:t>г</w:t>
      </w:r>
      <w:r>
        <w:rPr>
          <w:rFonts w:ascii="Times New Roman" w:hAnsi="Times New Roman"/>
          <w:color w:val="000000"/>
          <w:sz w:val="28"/>
          <w:szCs w:val="28"/>
        </w:rPr>
        <w:t>ода</w:t>
      </w:r>
      <w:r w:rsidR="0068434D" w:rsidRPr="00D036FA">
        <w:rPr>
          <w:rFonts w:ascii="Times New Roman" w:hAnsi="Times New Roman"/>
          <w:color w:val="000000"/>
          <w:sz w:val="28"/>
          <w:szCs w:val="28"/>
        </w:rPr>
        <w:t xml:space="preserve">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Об утверждении Государственной программы компьютеризации центральных и местных органов государственной власти, органов местного самоуправления поселков и сел на период 2012</w:t>
      </w:r>
      <w:r w:rsidR="00F9318B">
        <w:rPr>
          <w:rFonts w:ascii="Times New Roman" w:hAnsi="Times New Roman"/>
          <w:color w:val="000000"/>
          <w:sz w:val="28"/>
          <w:szCs w:val="28"/>
        </w:rPr>
        <w:t>–</w:t>
      </w:r>
      <w:r w:rsidR="0068434D" w:rsidRPr="00D036FA">
        <w:rPr>
          <w:rFonts w:ascii="Times New Roman" w:hAnsi="Times New Roman"/>
          <w:color w:val="000000"/>
          <w:sz w:val="28"/>
          <w:szCs w:val="28"/>
        </w:rPr>
        <w:t>2015 годов</w:t>
      </w:r>
      <w:r w:rsidR="004D2C9E">
        <w:rPr>
          <w:rFonts w:ascii="Times New Roman" w:hAnsi="Times New Roman"/>
          <w:color w:val="000000"/>
          <w:sz w:val="28"/>
          <w:szCs w:val="28"/>
        </w:rPr>
        <w:t>»</w:t>
      </w:r>
      <w:r>
        <w:rPr>
          <w:rFonts w:ascii="Times New Roman" w:hAnsi="Times New Roman"/>
          <w:color w:val="000000"/>
          <w:sz w:val="28"/>
          <w:szCs w:val="28"/>
        </w:rPr>
        <w:t>;</w:t>
      </w:r>
      <w:r w:rsidR="0068434D" w:rsidRPr="00D036FA">
        <w:rPr>
          <w:rFonts w:ascii="Times New Roman" w:hAnsi="Times New Roman"/>
          <w:color w:val="000000"/>
          <w:sz w:val="28"/>
          <w:szCs w:val="28"/>
        </w:rPr>
        <w:t xml:space="preserve"> </w:t>
      </w:r>
    </w:p>
    <w:p w:rsidR="0068434D" w:rsidRPr="00D036FA" w:rsidRDefault="00246362" w:rsidP="00B963DF">
      <w:pPr>
        <w:autoSpaceDE w:val="0"/>
        <w:autoSpaceDN w:val="0"/>
        <w:adjustRightInd w:val="0"/>
        <w:spacing w:after="0" w:line="315" w:lineRule="exact"/>
        <w:ind w:firstLine="709"/>
        <w:jc w:val="both"/>
        <w:rPr>
          <w:rFonts w:ascii="Times New Roman" w:hAnsi="Times New Roman"/>
          <w:color w:val="000000"/>
          <w:sz w:val="28"/>
          <w:szCs w:val="28"/>
        </w:rPr>
      </w:pPr>
      <w:r w:rsidRPr="00246362">
        <w:rPr>
          <w:rFonts w:ascii="Times New Roman" w:hAnsi="Times New Roman"/>
          <w:color w:val="000000"/>
          <w:sz w:val="28"/>
          <w:szCs w:val="28"/>
        </w:rPr>
        <w:t>от 30</w:t>
      </w:r>
      <w:r>
        <w:rPr>
          <w:rFonts w:ascii="Times New Roman" w:hAnsi="Times New Roman"/>
          <w:color w:val="000000"/>
          <w:sz w:val="28"/>
          <w:szCs w:val="28"/>
        </w:rPr>
        <w:t xml:space="preserve"> декабря </w:t>
      </w:r>
      <w:r w:rsidRPr="00246362">
        <w:rPr>
          <w:rFonts w:ascii="Times New Roman" w:hAnsi="Times New Roman"/>
          <w:color w:val="000000"/>
          <w:sz w:val="28"/>
          <w:szCs w:val="28"/>
        </w:rPr>
        <w:t>2011</w:t>
      </w:r>
      <w:r>
        <w:rPr>
          <w:rFonts w:ascii="Times New Roman" w:hAnsi="Times New Roman"/>
          <w:color w:val="000000"/>
          <w:sz w:val="28"/>
          <w:szCs w:val="28"/>
        </w:rPr>
        <w:t xml:space="preserve"> года</w:t>
      </w:r>
      <w:r w:rsidRPr="00246362">
        <w:rPr>
          <w:rFonts w:ascii="Times New Roman" w:hAnsi="Times New Roman"/>
          <w:color w:val="000000"/>
          <w:sz w:val="28"/>
          <w:szCs w:val="28"/>
        </w:rPr>
        <w:t xml:space="preserve"> </w:t>
      </w:r>
      <w:r w:rsidR="00E720B2">
        <w:rPr>
          <w:rFonts w:ascii="Times New Roman" w:hAnsi="Times New Roman"/>
          <w:color w:val="000000"/>
          <w:sz w:val="28"/>
          <w:szCs w:val="28"/>
        </w:rPr>
        <w:t>№ </w:t>
      </w:r>
      <w:r w:rsidRPr="00246362">
        <w:rPr>
          <w:rFonts w:ascii="Times New Roman" w:hAnsi="Times New Roman"/>
          <w:color w:val="000000"/>
          <w:sz w:val="28"/>
          <w:szCs w:val="28"/>
        </w:rPr>
        <w:t xml:space="preserve">643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Концепции формирования электронного правительства в Республике Таджикистан</w:t>
      </w:r>
      <w:r w:rsidR="004D2C9E">
        <w:rPr>
          <w:rFonts w:ascii="Times New Roman" w:hAnsi="Times New Roman"/>
          <w:color w:val="000000"/>
          <w:sz w:val="28"/>
          <w:szCs w:val="28"/>
        </w:rPr>
        <w:t>»</w:t>
      </w:r>
      <w:r w:rsidR="0068434D" w:rsidRPr="00D036FA">
        <w:rPr>
          <w:rFonts w:ascii="Times New Roman" w:hAnsi="Times New Roman"/>
          <w:color w:val="000000"/>
          <w:sz w:val="28"/>
          <w:szCs w:val="28"/>
        </w:rPr>
        <w:t>;</w:t>
      </w:r>
    </w:p>
    <w:p w:rsidR="0068434D" w:rsidRPr="00D036FA" w:rsidRDefault="00525BCC" w:rsidP="00B963DF">
      <w:pPr>
        <w:autoSpaceDE w:val="0"/>
        <w:autoSpaceDN w:val="0"/>
        <w:adjustRightInd w:val="0"/>
        <w:spacing w:after="0" w:line="315"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от 30 апреля </w:t>
      </w:r>
      <w:r w:rsidRPr="00525BCC">
        <w:rPr>
          <w:rFonts w:ascii="Times New Roman" w:hAnsi="Times New Roman"/>
          <w:color w:val="000000"/>
          <w:sz w:val="28"/>
          <w:szCs w:val="28"/>
        </w:rPr>
        <w:t>2016 г</w:t>
      </w:r>
      <w:r>
        <w:rPr>
          <w:rFonts w:ascii="Times New Roman" w:hAnsi="Times New Roman"/>
          <w:color w:val="000000"/>
          <w:sz w:val="28"/>
          <w:szCs w:val="28"/>
        </w:rPr>
        <w:t>ода</w:t>
      </w:r>
      <w:r w:rsidRPr="00525BCC">
        <w:rPr>
          <w:rFonts w:ascii="Times New Roman" w:hAnsi="Times New Roman"/>
          <w:color w:val="000000"/>
          <w:sz w:val="28"/>
          <w:szCs w:val="28"/>
        </w:rPr>
        <w:t xml:space="preserve"> </w:t>
      </w:r>
      <w:r w:rsidR="00E720B2">
        <w:rPr>
          <w:rFonts w:ascii="Times New Roman" w:hAnsi="Times New Roman"/>
          <w:color w:val="000000"/>
          <w:sz w:val="28"/>
          <w:szCs w:val="28"/>
        </w:rPr>
        <w:t>№ </w:t>
      </w:r>
      <w:r w:rsidRPr="00525BCC">
        <w:rPr>
          <w:rFonts w:ascii="Times New Roman" w:hAnsi="Times New Roman"/>
          <w:color w:val="000000"/>
          <w:sz w:val="28"/>
          <w:szCs w:val="28"/>
        </w:rPr>
        <w:t xml:space="preserve">207 </w:t>
      </w:r>
      <w:r w:rsidR="004D2C9E">
        <w:rPr>
          <w:rFonts w:ascii="Times New Roman" w:hAnsi="Times New Roman"/>
          <w:color w:val="000000"/>
          <w:sz w:val="28"/>
          <w:szCs w:val="28"/>
        </w:rPr>
        <w:t>«</w:t>
      </w:r>
      <w:r w:rsidR="0068434D" w:rsidRPr="00D036FA">
        <w:rPr>
          <w:rFonts w:ascii="Times New Roman" w:hAnsi="Times New Roman"/>
          <w:color w:val="000000"/>
          <w:sz w:val="28"/>
          <w:szCs w:val="28"/>
        </w:rPr>
        <w:t>О Порядке и требованиях подключения к сетям электрической связи и оказания услуг, связанных с ними</w:t>
      </w:r>
      <w:r w:rsidR="004D2C9E">
        <w:rPr>
          <w:rFonts w:ascii="Times New Roman" w:hAnsi="Times New Roman"/>
          <w:color w:val="000000"/>
          <w:sz w:val="28"/>
          <w:szCs w:val="28"/>
        </w:rPr>
        <w:t>»</w:t>
      </w:r>
      <w:r w:rsidR="0068434D" w:rsidRPr="00D036FA">
        <w:rPr>
          <w:rFonts w:ascii="Times New Roman" w:hAnsi="Times New Roman"/>
          <w:color w:val="000000"/>
          <w:sz w:val="28"/>
          <w:szCs w:val="28"/>
        </w:rPr>
        <w:t>.</w:t>
      </w:r>
    </w:p>
    <w:p w:rsidR="0068434D" w:rsidRPr="004C6124" w:rsidRDefault="0068434D" w:rsidP="00B963DF">
      <w:pPr>
        <w:pStyle w:val="5"/>
        <w:spacing w:after="0" w:line="315" w:lineRule="exact"/>
      </w:pPr>
      <w:r w:rsidRPr="004C6124">
        <w:t>Электронное правительство</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 xml:space="preserve">Широкое распространение ИКТ в социально-экономической сфере, государственных органах создало условия </w:t>
      </w:r>
      <w:r w:rsidR="00D03EB9">
        <w:rPr>
          <w:rFonts w:ascii="Times New Roman" w:hAnsi="Times New Roman"/>
          <w:color w:val="000000"/>
          <w:sz w:val="28"/>
          <w:szCs w:val="28"/>
        </w:rPr>
        <w:t>формирования</w:t>
      </w:r>
      <w:r w:rsidRPr="00D036FA">
        <w:rPr>
          <w:rFonts w:ascii="Times New Roman" w:hAnsi="Times New Roman"/>
          <w:color w:val="000000"/>
          <w:sz w:val="28"/>
          <w:szCs w:val="28"/>
        </w:rPr>
        <w:t xml:space="preserve"> </w:t>
      </w:r>
      <w:r w:rsidR="001D7026">
        <w:rPr>
          <w:rFonts w:ascii="Times New Roman" w:hAnsi="Times New Roman"/>
          <w:color w:val="000000"/>
          <w:sz w:val="28"/>
          <w:szCs w:val="28"/>
        </w:rPr>
        <w:t>«</w:t>
      </w:r>
      <w:r w:rsidRPr="00D036FA">
        <w:rPr>
          <w:rFonts w:ascii="Times New Roman" w:hAnsi="Times New Roman"/>
          <w:color w:val="000000"/>
          <w:sz w:val="28"/>
          <w:szCs w:val="28"/>
        </w:rPr>
        <w:t>электронного правительства</w:t>
      </w:r>
      <w:r w:rsidR="001D7026">
        <w:rPr>
          <w:rFonts w:ascii="Times New Roman" w:hAnsi="Times New Roman"/>
          <w:color w:val="000000"/>
          <w:sz w:val="28"/>
          <w:szCs w:val="28"/>
        </w:rPr>
        <w:t>»</w:t>
      </w:r>
      <w:r w:rsidRPr="00D036FA">
        <w:rPr>
          <w:rFonts w:ascii="Times New Roman" w:hAnsi="Times New Roman"/>
          <w:color w:val="000000"/>
          <w:sz w:val="28"/>
          <w:szCs w:val="28"/>
        </w:rPr>
        <w:t xml:space="preserve">. В конце 2011 года Правительство Республики Таджикистан утвердило Концепцию формирования </w:t>
      </w:r>
      <w:r w:rsidR="002250B6">
        <w:rPr>
          <w:rFonts w:ascii="Times New Roman" w:hAnsi="Times New Roman"/>
          <w:color w:val="000000"/>
          <w:sz w:val="28"/>
          <w:szCs w:val="28"/>
        </w:rPr>
        <w:t>«</w:t>
      </w:r>
      <w:r w:rsidRPr="00D036FA">
        <w:rPr>
          <w:rFonts w:ascii="Times New Roman" w:hAnsi="Times New Roman"/>
          <w:color w:val="000000"/>
          <w:sz w:val="28"/>
          <w:szCs w:val="28"/>
        </w:rPr>
        <w:t>электронного правительства</w:t>
      </w:r>
      <w:r w:rsidR="002250B6">
        <w:rPr>
          <w:rFonts w:ascii="Times New Roman" w:hAnsi="Times New Roman"/>
          <w:color w:val="000000"/>
          <w:sz w:val="28"/>
          <w:szCs w:val="28"/>
        </w:rPr>
        <w:t>»</w:t>
      </w:r>
      <w:r w:rsidRPr="00D036FA">
        <w:rPr>
          <w:rFonts w:ascii="Times New Roman" w:hAnsi="Times New Roman"/>
          <w:color w:val="000000"/>
          <w:sz w:val="28"/>
          <w:szCs w:val="28"/>
        </w:rPr>
        <w:t xml:space="preserve"> в Республике Таджикистан. </w:t>
      </w:r>
    </w:p>
    <w:p w:rsidR="00D03EB9"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Из года в год возрастает уровень распространения персональных компьютеров среди населения, доступ</w:t>
      </w:r>
      <w:r w:rsidR="00D03EB9">
        <w:rPr>
          <w:rFonts w:ascii="Times New Roman" w:hAnsi="Times New Roman"/>
          <w:color w:val="000000"/>
          <w:sz w:val="28"/>
          <w:szCs w:val="28"/>
        </w:rPr>
        <w:t>а</w:t>
      </w:r>
      <w:r w:rsidR="001D7026">
        <w:rPr>
          <w:rFonts w:ascii="Times New Roman" w:hAnsi="Times New Roman"/>
          <w:color w:val="000000"/>
          <w:sz w:val="28"/>
          <w:szCs w:val="28"/>
        </w:rPr>
        <w:t xml:space="preserve"> к </w:t>
      </w:r>
      <w:r w:rsidRPr="00D036FA">
        <w:rPr>
          <w:rFonts w:ascii="Times New Roman" w:hAnsi="Times New Roman"/>
          <w:color w:val="000000"/>
          <w:sz w:val="28"/>
          <w:szCs w:val="28"/>
        </w:rPr>
        <w:t>Интернет</w:t>
      </w:r>
      <w:r w:rsidR="001D7026">
        <w:rPr>
          <w:rFonts w:ascii="Times New Roman" w:hAnsi="Times New Roman"/>
          <w:color w:val="000000"/>
          <w:sz w:val="28"/>
          <w:szCs w:val="28"/>
        </w:rPr>
        <w:t>у</w:t>
      </w:r>
      <w:r w:rsidRPr="00D036FA">
        <w:rPr>
          <w:rFonts w:ascii="Times New Roman" w:hAnsi="Times New Roman"/>
          <w:color w:val="000000"/>
          <w:sz w:val="28"/>
          <w:szCs w:val="28"/>
        </w:rPr>
        <w:t xml:space="preserve"> и мобильным сетям</w:t>
      </w:r>
      <w:r w:rsidR="00D03EB9">
        <w:rPr>
          <w:rFonts w:ascii="Times New Roman" w:hAnsi="Times New Roman"/>
          <w:color w:val="000000"/>
          <w:sz w:val="28"/>
          <w:szCs w:val="28"/>
        </w:rPr>
        <w:t>.</w:t>
      </w:r>
      <w:r w:rsidRPr="00D036FA">
        <w:rPr>
          <w:rFonts w:ascii="Times New Roman" w:hAnsi="Times New Roman"/>
          <w:color w:val="000000"/>
          <w:sz w:val="28"/>
          <w:szCs w:val="28"/>
        </w:rPr>
        <w:t xml:space="preserve"> </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В настоящее время:</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 xml:space="preserve">в доменной зоне </w:t>
      </w:r>
      <w:r w:rsidR="004D2C9E">
        <w:rPr>
          <w:rFonts w:ascii="Times New Roman" w:hAnsi="Times New Roman"/>
          <w:color w:val="000000"/>
          <w:sz w:val="28"/>
          <w:szCs w:val="28"/>
        </w:rPr>
        <w:t>«</w:t>
      </w:r>
      <w:r w:rsidRPr="00D036FA">
        <w:rPr>
          <w:rFonts w:ascii="Times New Roman" w:hAnsi="Times New Roman"/>
          <w:color w:val="000000"/>
          <w:sz w:val="28"/>
          <w:szCs w:val="28"/>
        </w:rPr>
        <w:t>.tj</w:t>
      </w:r>
      <w:r w:rsidR="004D2C9E">
        <w:rPr>
          <w:rFonts w:ascii="Times New Roman" w:hAnsi="Times New Roman"/>
          <w:color w:val="000000"/>
          <w:sz w:val="28"/>
          <w:szCs w:val="28"/>
        </w:rPr>
        <w:t>»</w:t>
      </w:r>
      <w:r w:rsidRPr="00D036FA">
        <w:rPr>
          <w:rFonts w:ascii="Times New Roman" w:hAnsi="Times New Roman"/>
          <w:color w:val="000000"/>
          <w:sz w:val="28"/>
          <w:szCs w:val="28"/>
        </w:rPr>
        <w:t xml:space="preserve"> зарегистрировано более </w:t>
      </w:r>
      <w:r w:rsidR="001D7026">
        <w:rPr>
          <w:rFonts w:ascii="Times New Roman" w:hAnsi="Times New Roman"/>
          <w:color w:val="000000"/>
          <w:sz w:val="28"/>
          <w:szCs w:val="28"/>
        </w:rPr>
        <w:t>7</w:t>
      </w:r>
      <w:r w:rsidR="00F35453">
        <w:rPr>
          <w:rFonts w:ascii="Times New Roman" w:hAnsi="Times New Roman"/>
          <w:color w:val="000000"/>
          <w:sz w:val="28"/>
          <w:szCs w:val="28"/>
        </w:rPr>
        <w:t> </w:t>
      </w:r>
      <w:r w:rsidR="001D7026">
        <w:rPr>
          <w:rFonts w:ascii="Times New Roman" w:hAnsi="Times New Roman"/>
          <w:color w:val="000000"/>
          <w:sz w:val="28"/>
          <w:szCs w:val="28"/>
        </w:rPr>
        <w:t>000</w:t>
      </w:r>
      <w:r w:rsidRPr="00D036FA">
        <w:rPr>
          <w:rFonts w:ascii="Times New Roman" w:hAnsi="Times New Roman"/>
          <w:color w:val="000000"/>
          <w:sz w:val="28"/>
          <w:szCs w:val="28"/>
        </w:rPr>
        <w:t xml:space="preserve"> доменных им</w:t>
      </w:r>
      <w:r w:rsidR="00F35453">
        <w:rPr>
          <w:rFonts w:ascii="Times New Roman" w:hAnsi="Times New Roman"/>
          <w:color w:val="000000"/>
          <w:sz w:val="28"/>
          <w:szCs w:val="28"/>
        </w:rPr>
        <w:t>е</w:t>
      </w:r>
      <w:r w:rsidRPr="00D036FA">
        <w:rPr>
          <w:rFonts w:ascii="Times New Roman" w:hAnsi="Times New Roman"/>
          <w:color w:val="000000"/>
          <w:sz w:val="28"/>
          <w:szCs w:val="28"/>
        </w:rPr>
        <w:t>н второго уровня;</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16 интернет</w:t>
      </w:r>
      <w:r w:rsidR="00D03EB9">
        <w:rPr>
          <w:rFonts w:ascii="Times New Roman" w:hAnsi="Times New Roman"/>
          <w:color w:val="000000"/>
          <w:sz w:val="28"/>
          <w:szCs w:val="28"/>
        </w:rPr>
        <w:t>-</w:t>
      </w:r>
      <w:r w:rsidRPr="00D036FA">
        <w:rPr>
          <w:rFonts w:ascii="Times New Roman" w:hAnsi="Times New Roman"/>
          <w:color w:val="000000"/>
          <w:sz w:val="28"/>
          <w:szCs w:val="28"/>
        </w:rPr>
        <w:t>провайдеров обслуживают около 50</w:t>
      </w:r>
      <w:r w:rsidR="008774AF">
        <w:rPr>
          <w:rFonts w:ascii="Times New Roman" w:hAnsi="Times New Roman"/>
          <w:color w:val="000000"/>
          <w:sz w:val="28"/>
          <w:szCs w:val="28"/>
        </w:rPr>
        <w:t> %</w:t>
      </w:r>
      <w:r w:rsidRPr="00D036FA">
        <w:rPr>
          <w:rFonts w:ascii="Times New Roman" w:hAnsi="Times New Roman"/>
          <w:color w:val="000000"/>
          <w:sz w:val="28"/>
          <w:szCs w:val="28"/>
        </w:rPr>
        <w:t xml:space="preserve"> населения, являющихся активными пользователями Интернет</w:t>
      </w:r>
      <w:r w:rsidR="008774AF">
        <w:rPr>
          <w:rFonts w:ascii="Times New Roman" w:hAnsi="Times New Roman"/>
          <w:color w:val="000000"/>
          <w:sz w:val="28"/>
          <w:szCs w:val="28"/>
        </w:rPr>
        <w:t>а</w:t>
      </w:r>
      <w:r w:rsidRPr="00D036FA">
        <w:rPr>
          <w:rFonts w:ascii="Times New Roman" w:hAnsi="Times New Roman"/>
          <w:color w:val="000000"/>
          <w:sz w:val="28"/>
          <w:szCs w:val="28"/>
        </w:rPr>
        <w:t>;</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5 операторами мобильной связи</w:t>
      </w:r>
      <w:r w:rsidR="00F35453">
        <w:rPr>
          <w:rFonts w:ascii="Times New Roman" w:hAnsi="Times New Roman"/>
          <w:color w:val="000000"/>
          <w:sz w:val="28"/>
          <w:szCs w:val="28"/>
        </w:rPr>
        <w:t xml:space="preserve"> реализовано</w:t>
      </w:r>
      <w:r w:rsidRPr="00D036FA">
        <w:rPr>
          <w:rFonts w:ascii="Times New Roman" w:hAnsi="Times New Roman"/>
          <w:color w:val="000000"/>
          <w:sz w:val="28"/>
          <w:szCs w:val="28"/>
        </w:rPr>
        <w:t xml:space="preserve"> более 9,6 м</w:t>
      </w:r>
      <w:r w:rsidR="001D7026">
        <w:rPr>
          <w:rFonts w:ascii="Times New Roman" w:hAnsi="Times New Roman"/>
          <w:color w:val="000000"/>
          <w:sz w:val="28"/>
          <w:szCs w:val="28"/>
        </w:rPr>
        <w:t>лн</w:t>
      </w:r>
      <w:r w:rsidR="00F35453" w:rsidRPr="00F35453">
        <w:t xml:space="preserve"> </w:t>
      </w:r>
      <w:r w:rsidR="00F35453" w:rsidRPr="00F35453">
        <w:rPr>
          <w:rFonts w:ascii="Times New Roman" w:hAnsi="Times New Roman"/>
          <w:color w:val="000000"/>
          <w:sz w:val="28"/>
          <w:szCs w:val="28"/>
        </w:rPr>
        <w:t xml:space="preserve">активных </w:t>
      </w:r>
      <w:r w:rsidR="00F35453">
        <w:rPr>
          <w:rFonts w:ascii="Times New Roman" w:hAnsi="Times New Roman"/>
          <w:color w:val="000000"/>
          <w:sz w:val="28"/>
          <w:szCs w:val="28"/>
        </w:rPr>
        <w:br/>
      </w:r>
      <w:r w:rsidR="00F35453" w:rsidRPr="00F35453">
        <w:rPr>
          <w:rFonts w:ascii="Times New Roman" w:hAnsi="Times New Roman"/>
          <w:color w:val="000000"/>
          <w:sz w:val="28"/>
          <w:szCs w:val="28"/>
        </w:rPr>
        <w:t>сим-карт</w:t>
      </w:r>
      <w:r w:rsidRPr="00D036FA">
        <w:rPr>
          <w:rFonts w:ascii="Times New Roman" w:hAnsi="Times New Roman"/>
          <w:color w:val="000000"/>
          <w:sz w:val="28"/>
          <w:szCs w:val="28"/>
        </w:rPr>
        <w:t>;</w:t>
      </w:r>
    </w:p>
    <w:p w:rsidR="0068434D" w:rsidRPr="00D036FA" w:rsidRDefault="001D7026" w:rsidP="00B963DF">
      <w:pPr>
        <w:autoSpaceDE w:val="0"/>
        <w:autoSpaceDN w:val="0"/>
        <w:adjustRightInd w:val="0"/>
        <w:spacing w:after="0" w:line="315" w:lineRule="exact"/>
        <w:ind w:firstLine="709"/>
        <w:jc w:val="both"/>
        <w:rPr>
          <w:rFonts w:ascii="Times New Roman" w:hAnsi="Times New Roman"/>
          <w:color w:val="000000"/>
          <w:sz w:val="28"/>
          <w:szCs w:val="28"/>
        </w:rPr>
      </w:pPr>
      <w:r>
        <w:rPr>
          <w:rFonts w:ascii="Times New Roman" w:hAnsi="Times New Roman"/>
          <w:color w:val="000000"/>
          <w:sz w:val="28"/>
          <w:szCs w:val="28"/>
        </w:rPr>
        <w:t>практически все</w:t>
      </w:r>
      <w:r w:rsidR="0068434D" w:rsidRPr="00D036FA">
        <w:rPr>
          <w:rFonts w:ascii="Times New Roman" w:hAnsi="Times New Roman"/>
          <w:color w:val="000000"/>
          <w:sz w:val="28"/>
          <w:szCs w:val="28"/>
        </w:rPr>
        <w:t xml:space="preserve"> населени</w:t>
      </w:r>
      <w:r>
        <w:rPr>
          <w:rFonts w:ascii="Times New Roman" w:hAnsi="Times New Roman"/>
          <w:color w:val="000000"/>
          <w:sz w:val="28"/>
          <w:szCs w:val="28"/>
        </w:rPr>
        <w:t>е</w:t>
      </w:r>
      <w:r w:rsidR="0068434D" w:rsidRPr="00D036FA">
        <w:rPr>
          <w:rFonts w:ascii="Times New Roman" w:hAnsi="Times New Roman"/>
          <w:color w:val="000000"/>
          <w:sz w:val="28"/>
          <w:szCs w:val="28"/>
        </w:rPr>
        <w:t xml:space="preserve"> страны охвачено мобильной связью;</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более 60</w:t>
      </w:r>
      <w:r w:rsidR="004D2C9E">
        <w:rPr>
          <w:rFonts w:ascii="Times New Roman" w:hAnsi="Times New Roman"/>
          <w:color w:val="000000"/>
          <w:sz w:val="28"/>
          <w:szCs w:val="28"/>
        </w:rPr>
        <w:t> %</w:t>
      </w:r>
      <w:r w:rsidRPr="00D036FA">
        <w:rPr>
          <w:rFonts w:ascii="Times New Roman" w:hAnsi="Times New Roman"/>
          <w:color w:val="000000"/>
          <w:sz w:val="28"/>
          <w:szCs w:val="28"/>
        </w:rPr>
        <w:t xml:space="preserve"> населения охвачено цифровым телевидением;</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повышается уровень компьютерной грамотности;</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с октября 2012 года в стране реализуются услуги 4G</w:t>
      </w:r>
      <w:r w:rsidR="00D03EB9">
        <w:rPr>
          <w:rFonts w:ascii="Times New Roman" w:hAnsi="Times New Roman"/>
          <w:color w:val="000000"/>
          <w:sz w:val="28"/>
          <w:szCs w:val="28"/>
        </w:rPr>
        <w:t>-</w:t>
      </w:r>
      <w:r w:rsidRPr="00D036FA">
        <w:rPr>
          <w:rFonts w:ascii="Times New Roman" w:hAnsi="Times New Roman"/>
          <w:color w:val="000000"/>
          <w:sz w:val="28"/>
          <w:szCs w:val="28"/>
        </w:rPr>
        <w:t xml:space="preserve">технологий. </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 xml:space="preserve">Несмотря на негативное воздействие мирового экономического и финансового кризиса, в республике развиваются основные элементы </w:t>
      </w:r>
      <w:r w:rsidR="001D7026">
        <w:rPr>
          <w:rFonts w:ascii="Times New Roman" w:hAnsi="Times New Roman"/>
          <w:color w:val="000000"/>
          <w:sz w:val="28"/>
          <w:szCs w:val="28"/>
        </w:rPr>
        <w:t>«</w:t>
      </w:r>
      <w:r w:rsidRPr="00D036FA">
        <w:rPr>
          <w:rFonts w:ascii="Times New Roman" w:hAnsi="Times New Roman"/>
          <w:color w:val="000000"/>
          <w:sz w:val="28"/>
          <w:szCs w:val="28"/>
        </w:rPr>
        <w:t>электронного правительства</w:t>
      </w:r>
      <w:r w:rsidR="001D7026">
        <w:rPr>
          <w:rFonts w:ascii="Times New Roman" w:hAnsi="Times New Roman"/>
          <w:color w:val="000000"/>
          <w:sz w:val="28"/>
          <w:szCs w:val="28"/>
        </w:rPr>
        <w:t>»</w:t>
      </w:r>
      <w:r w:rsidRPr="00D036FA">
        <w:rPr>
          <w:rFonts w:ascii="Times New Roman" w:hAnsi="Times New Roman"/>
          <w:color w:val="000000"/>
          <w:sz w:val="28"/>
          <w:szCs w:val="28"/>
        </w:rPr>
        <w:t xml:space="preserve"> – электронный документооборот, электронный бизнес</w:t>
      </w:r>
      <w:r w:rsidR="001D7026">
        <w:rPr>
          <w:rFonts w:ascii="Times New Roman" w:hAnsi="Times New Roman"/>
          <w:color w:val="000000"/>
          <w:sz w:val="28"/>
          <w:szCs w:val="28"/>
        </w:rPr>
        <w:t>,</w:t>
      </w:r>
      <w:r w:rsidRPr="00D036FA">
        <w:rPr>
          <w:rFonts w:ascii="Times New Roman" w:hAnsi="Times New Roman"/>
          <w:color w:val="000000"/>
          <w:sz w:val="28"/>
          <w:szCs w:val="28"/>
        </w:rPr>
        <w:t xml:space="preserve"> электронная коммерция, электронные государственные услуги. </w:t>
      </w:r>
    </w:p>
    <w:p w:rsidR="0068434D" w:rsidRPr="00D036FA"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D036FA">
        <w:rPr>
          <w:rFonts w:ascii="Times New Roman" w:hAnsi="Times New Roman"/>
          <w:color w:val="000000"/>
          <w:sz w:val="28"/>
          <w:szCs w:val="28"/>
        </w:rPr>
        <w:t xml:space="preserve">При содействии и сотрудничестве с Программой развития ООН, Всемирным банком, Европейским </w:t>
      </w:r>
      <w:r w:rsidR="00D03EB9">
        <w:rPr>
          <w:rFonts w:ascii="Times New Roman" w:hAnsi="Times New Roman"/>
          <w:color w:val="000000"/>
          <w:sz w:val="28"/>
          <w:szCs w:val="28"/>
        </w:rPr>
        <w:t>с</w:t>
      </w:r>
      <w:r w:rsidRPr="00D036FA">
        <w:rPr>
          <w:rFonts w:ascii="Times New Roman" w:hAnsi="Times New Roman"/>
          <w:color w:val="000000"/>
          <w:sz w:val="28"/>
          <w:szCs w:val="28"/>
        </w:rPr>
        <w:t xml:space="preserve">оюзом и другими международными организациями, ЮСАИД, компаниями </w:t>
      </w:r>
      <w:r w:rsidR="00D03EB9">
        <w:rPr>
          <w:rFonts w:ascii="Times New Roman" w:hAnsi="Times New Roman"/>
          <w:color w:val="000000"/>
          <w:sz w:val="28"/>
          <w:szCs w:val="28"/>
        </w:rPr>
        <w:t>«</w:t>
      </w:r>
      <w:r w:rsidRPr="00D036FA">
        <w:rPr>
          <w:rFonts w:ascii="Times New Roman" w:hAnsi="Times New Roman"/>
          <w:color w:val="000000"/>
          <w:sz w:val="28"/>
          <w:szCs w:val="28"/>
        </w:rPr>
        <w:t>Хуайвей</w:t>
      </w:r>
      <w:r w:rsidR="00D03EB9">
        <w:rPr>
          <w:rFonts w:ascii="Times New Roman" w:hAnsi="Times New Roman"/>
          <w:color w:val="000000"/>
          <w:sz w:val="28"/>
          <w:szCs w:val="28"/>
        </w:rPr>
        <w:t>»</w:t>
      </w:r>
      <w:r w:rsidRPr="00D036FA">
        <w:rPr>
          <w:rFonts w:ascii="Times New Roman" w:hAnsi="Times New Roman"/>
          <w:color w:val="000000"/>
          <w:sz w:val="28"/>
          <w:szCs w:val="28"/>
        </w:rPr>
        <w:t xml:space="preserve"> (КНР), EPOS Health Management, ICON-Institut Public Sector (Германия), Университет</w:t>
      </w:r>
      <w:r w:rsidR="00D03EB9">
        <w:rPr>
          <w:rFonts w:ascii="Times New Roman" w:hAnsi="Times New Roman"/>
          <w:color w:val="000000"/>
          <w:sz w:val="28"/>
          <w:szCs w:val="28"/>
        </w:rPr>
        <w:t>ом</w:t>
      </w:r>
      <w:r w:rsidRPr="00D036FA">
        <w:rPr>
          <w:rFonts w:ascii="Times New Roman" w:hAnsi="Times New Roman"/>
          <w:color w:val="000000"/>
          <w:sz w:val="28"/>
          <w:szCs w:val="28"/>
        </w:rPr>
        <w:t xml:space="preserve"> Осло (Норвегия) и другими ИКТ все шире используются в повседневной жизни:</w:t>
      </w:r>
      <w:r w:rsidR="00D03EB9">
        <w:rPr>
          <w:rFonts w:ascii="Times New Roman" w:hAnsi="Times New Roman"/>
          <w:color w:val="000000"/>
          <w:sz w:val="28"/>
          <w:szCs w:val="28"/>
        </w:rPr>
        <w:t xml:space="preserve"> </w:t>
      </w:r>
      <w:r w:rsidR="00F35453">
        <w:rPr>
          <w:rFonts w:ascii="Times New Roman" w:hAnsi="Times New Roman"/>
          <w:color w:val="000000"/>
          <w:sz w:val="28"/>
          <w:szCs w:val="28"/>
        </w:rPr>
        <w:t>здравоохранении,</w:t>
      </w:r>
      <w:r w:rsidRPr="00D036FA">
        <w:rPr>
          <w:rFonts w:ascii="Times New Roman" w:hAnsi="Times New Roman"/>
          <w:color w:val="000000"/>
          <w:sz w:val="28"/>
          <w:szCs w:val="28"/>
        </w:rPr>
        <w:t xml:space="preserve"> юстиции (в частности по ведени</w:t>
      </w:r>
      <w:r w:rsidR="00710E9D">
        <w:rPr>
          <w:rFonts w:ascii="Times New Roman" w:hAnsi="Times New Roman"/>
          <w:color w:val="000000"/>
          <w:sz w:val="28"/>
          <w:szCs w:val="28"/>
        </w:rPr>
        <w:t>ю</w:t>
      </w:r>
      <w:r w:rsidRPr="00D036FA">
        <w:rPr>
          <w:rFonts w:ascii="Times New Roman" w:hAnsi="Times New Roman"/>
          <w:color w:val="000000"/>
          <w:sz w:val="28"/>
          <w:szCs w:val="28"/>
        </w:rPr>
        <w:t xml:space="preserve"> актов гражданского состояния </w:t>
      </w:r>
      <w:r w:rsidR="00CE1E3F">
        <w:rPr>
          <w:rFonts w:ascii="Times New Roman" w:hAnsi="Times New Roman"/>
          <w:color w:val="000000"/>
          <w:sz w:val="28"/>
          <w:szCs w:val="28"/>
        </w:rPr>
        <w:t xml:space="preserve">в </w:t>
      </w:r>
      <w:r w:rsidRPr="00D036FA">
        <w:rPr>
          <w:rFonts w:ascii="Times New Roman" w:hAnsi="Times New Roman"/>
          <w:color w:val="000000"/>
          <w:sz w:val="28"/>
          <w:szCs w:val="28"/>
        </w:rPr>
        <w:t>электронном формате</w:t>
      </w:r>
      <w:r w:rsidR="00AC0D4C">
        <w:rPr>
          <w:rFonts w:ascii="Times New Roman" w:hAnsi="Times New Roman"/>
          <w:color w:val="000000"/>
          <w:sz w:val="28"/>
          <w:szCs w:val="28"/>
        </w:rPr>
        <w:t>)</w:t>
      </w:r>
      <w:r w:rsidR="00F35453">
        <w:rPr>
          <w:rFonts w:ascii="Times New Roman" w:hAnsi="Times New Roman"/>
          <w:color w:val="000000"/>
          <w:sz w:val="28"/>
          <w:szCs w:val="28"/>
        </w:rPr>
        <w:t>,</w:t>
      </w:r>
      <w:r w:rsidRPr="00D036FA">
        <w:rPr>
          <w:rFonts w:ascii="Times New Roman" w:hAnsi="Times New Roman"/>
          <w:color w:val="000000"/>
          <w:sz w:val="28"/>
          <w:szCs w:val="28"/>
        </w:rPr>
        <w:t xml:space="preserve"> науке и образовании,</w:t>
      </w:r>
      <w:r w:rsidR="00CE1E3F">
        <w:rPr>
          <w:rFonts w:ascii="Times New Roman" w:hAnsi="Times New Roman"/>
          <w:color w:val="000000"/>
          <w:sz w:val="28"/>
          <w:szCs w:val="28"/>
        </w:rPr>
        <w:t xml:space="preserve"> на</w:t>
      </w:r>
      <w:r w:rsidRPr="00D036FA">
        <w:rPr>
          <w:rFonts w:ascii="Times New Roman" w:hAnsi="Times New Roman"/>
          <w:color w:val="000000"/>
          <w:sz w:val="28"/>
          <w:szCs w:val="28"/>
        </w:rPr>
        <w:t xml:space="preserve"> транспорте, </w:t>
      </w:r>
      <w:r w:rsidR="00CE1E3F">
        <w:rPr>
          <w:rFonts w:ascii="Times New Roman" w:hAnsi="Times New Roman"/>
          <w:color w:val="000000"/>
          <w:sz w:val="28"/>
          <w:szCs w:val="28"/>
        </w:rPr>
        <w:t xml:space="preserve">в </w:t>
      </w:r>
      <w:r w:rsidRPr="00D036FA">
        <w:rPr>
          <w:rFonts w:ascii="Times New Roman" w:hAnsi="Times New Roman"/>
          <w:color w:val="000000"/>
          <w:sz w:val="28"/>
          <w:szCs w:val="28"/>
        </w:rPr>
        <w:t xml:space="preserve">банковской деятельности, </w:t>
      </w:r>
      <w:r w:rsidR="00CE1E3F">
        <w:rPr>
          <w:rFonts w:ascii="Times New Roman" w:hAnsi="Times New Roman"/>
          <w:color w:val="000000"/>
          <w:sz w:val="28"/>
          <w:szCs w:val="28"/>
        </w:rPr>
        <w:t xml:space="preserve">при </w:t>
      </w:r>
      <w:r w:rsidRPr="00D036FA">
        <w:rPr>
          <w:rFonts w:ascii="Times New Roman" w:hAnsi="Times New Roman"/>
          <w:color w:val="000000"/>
          <w:sz w:val="28"/>
          <w:szCs w:val="28"/>
        </w:rPr>
        <w:t>в</w:t>
      </w:r>
      <w:r w:rsidR="00F35453">
        <w:rPr>
          <w:rFonts w:ascii="Times New Roman" w:hAnsi="Times New Roman"/>
          <w:color w:val="000000"/>
          <w:sz w:val="28"/>
          <w:szCs w:val="28"/>
        </w:rPr>
        <w:t>ыдаче разрешительных документов,</w:t>
      </w:r>
      <w:r w:rsidRPr="00D036FA">
        <w:rPr>
          <w:rFonts w:ascii="Times New Roman" w:hAnsi="Times New Roman"/>
          <w:color w:val="000000"/>
          <w:sz w:val="28"/>
          <w:szCs w:val="28"/>
        </w:rPr>
        <w:t xml:space="preserve"> </w:t>
      </w:r>
      <w:r w:rsidR="00CE1E3F">
        <w:rPr>
          <w:rFonts w:ascii="Times New Roman" w:hAnsi="Times New Roman"/>
          <w:color w:val="000000"/>
          <w:sz w:val="28"/>
          <w:szCs w:val="28"/>
        </w:rPr>
        <w:t>(</w:t>
      </w:r>
      <w:r w:rsidRPr="00D036FA">
        <w:rPr>
          <w:rFonts w:ascii="Times New Roman" w:hAnsi="Times New Roman"/>
          <w:color w:val="000000"/>
          <w:sz w:val="28"/>
          <w:szCs w:val="28"/>
        </w:rPr>
        <w:t>электронное управление и контроль</w:t>
      </w:r>
      <w:r w:rsidR="00CE1E3F">
        <w:rPr>
          <w:rFonts w:ascii="Times New Roman" w:hAnsi="Times New Roman"/>
          <w:color w:val="000000"/>
          <w:sz w:val="28"/>
          <w:szCs w:val="28"/>
        </w:rPr>
        <w:t>)</w:t>
      </w:r>
      <w:r w:rsidR="00F35453">
        <w:rPr>
          <w:rFonts w:ascii="Times New Roman" w:hAnsi="Times New Roman"/>
          <w:color w:val="000000"/>
          <w:sz w:val="28"/>
          <w:szCs w:val="28"/>
        </w:rPr>
        <w:t>,</w:t>
      </w:r>
      <w:r w:rsidR="00CE1E3F">
        <w:rPr>
          <w:rFonts w:ascii="Times New Roman" w:hAnsi="Times New Roman"/>
          <w:color w:val="000000"/>
          <w:sz w:val="28"/>
          <w:szCs w:val="28"/>
        </w:rPr>
        <w:t xml:space="preserve"> в области</w:t>
      </w:r>
      <w:r w:rsidR="00F35453">
        <w:rPr>
          <w:rFonts w:ascii="Times New Roman" w:hAnsi="Times New Roman"/>
          <w:color w:val="000000"/>
          <w:sz w:val="28"/>
          <w:szCs w:val="28"/>
        </w:rPr>
        <w:t xml:space="preserve"> дорожного движения,</w:t>
      </w:r>
      <w:r w:rsidR="00636F0D">
        <w:rPr>
          <w:rFonts w:ascii="Times New Roman" w:hAnsi="Times New Roman"/>
          <w:color w:val="000000"/>
          <w:sz w:val="28"/>
          <w:szCs w:val="28"/>
        </w:rPr>
        <w:t xml:space="preserve"> </w:t>
      </w:r>
      <w:r w:rsidRPr="00D036FA">
        <w:rPr>
          <w:rFonts w:ascii="Times New Roman" w:hAnsi="Times New Roman"/>
          <w:color w:val="000000"/>
          <w:sz w:val="28"/>
          <w:szCs w:val="28"/>
        </w:rPr>
        <w:t>финансов</w:t>
      </w:r>
      <w:r w:rsidR="00CE1E3F">
        <w:rPr>
          <w:rFonts w:ascii="Times New Roman" w:hAnsi="Times New Roman"/>
          <w:color w:val="000000"/>
          <w:sz w:val="28"/>
          <w:szCs w:val="28"/>
        </w:rPr>
        <w:t>ых</w:t>
      </w:r>
      <w:r w:rsidRPr="00D036FA">
        <w:rPr>
          <w:rFonts w:ascii="Times New Roman" w:hAnsi="Times New Roman"/>
          <w:color w:val="000000"/>
          <w:sz w:val="28"/>
          <w:szCs w:val="28"/>
        </w:rPr>
        <w:t xml:space="preserve"> </w:t>
      </w:r>
      <w:r w:rsidR="00CE1E3F">
        <w:rPr>
          <w:rFonts w:ascii="Times New Roman" w:hAnsi="Times New Roman"/>
          <w:color w:val="000000"/>
          <w:sz w:val="28"/>
          <w:szCs w:val="28"/>
        </w:rPr>
        <w:t xml:space="preserve">и дипломатических </w:t>
      </w:r>
      <w:r w:rsidRPr="00D036FA">
        <w:rPr>
          <w:rFonts w:ascii="Times New Roman" w:hAnsi="Times New Roman"/>
          <w:color w:val="000000"/>
          <w:sz w:val="28"/>
          <w:szCs w:val="28"/>
        </w:rPr>
        <w:t>сфер</w:t>
      </w:r>
      <w:r w:rsidR="00CE1E3F">
        <w:rPr>
          <w:rFonts w:ascii="Times New Roman" w:hAnsi="Times New Roman"/>
          <w:color w:val="000000"/>
          <w:sz w:val="28"/>
          <w:szCs w:val="28"/>
        </w:rPr>
        <w:t>ах и т.д.</w:t>
      </w:r>
    </w:p>
    <w:p w:rsidR="0068434D" w:rsidRPr="00D036FA" w:rsidRDefault="001D7026"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Завершаются</w:t>
      </w:r>
      <w:r w:rsidR="0068434D" w:rsidRPr="00D036FA">
        <w:rPr>
          <w:rFonts w:ascii="Times New Roman" w:hAnsi="Times New Roman"/>
          <w:color w:val="000000"/>
          <w:sz w:val="28"/>
          <w:szCs w:val="28"/>
        </w:rPr>
        <w:t xml:space="preserve"> оснащение органов государственной власти современной информационной и коммуникационной техникой, организация соответствующей информационно-технологической и коммуникационной инфраструктуры и обеспечение их деятельности. Большинство центральных органов и ряд местных исполнительных органов государственной власти создали и поддерживают свои ведомственные сайты в Интернет</w:t>
      </w:r>
      <w:r>
        <w:rPr>
          <w:rFonts w:ascii="Times New Roman" w:hAnsi="Times New Roman"/>
          <w:color w:val="000000"/>
          <w:sz w:val="28"/>
          <w:szCs w:val="28"/>
        </w:rPr>
        <w:t>е</w:t>
      </w:r>
      <w:r w:rsidR="0068434D" w:rsidRPr="00D036FA">
        <w:rPr>
          <w:rFonts w:ascii="Times New Roman" w:hAnsi="Times New Roman"/>
          <w:color w:val="000000"/>
          <w:sz w:val="28"/>
          <w:szCs w:val="28"/>
        </w:rPr>
        <w:t xml:space="preserve">, где размещают общие сведения о </w:t>
      </w:r>
      <w:r w:rsidR="00CE1E3F">
        <w:rPr>
          <w:rFonts w:ascii="Times New Roman" w:hAnsi="Times New Roman"/>
          <w:color w:val="000000"/>
          <w:sz w:val="28"/>
          <w:szCs w:val="28"/>
        </w:rPr>
        <w:t>работе</w:t>
      </w:r>
      <w:r w:rsidR="0068434D" w:rsidRPr="00D036FA">
        <w:rPr>
          <w:rFonts w:ascii="Times New Roman" w:hAnsi="Times New Roman"/>
          <w:color w:val="000000"/>
          <w:sz w:val="28"/>
          <w:szCs w:val="28"/>
        </w:rPr>
        <w:t>. В рамках реализац</w:t>
      </w:r>
      <w:r w:rsidR="00EB6EE9">
        <w:rPr>
          <w:rFonts w:ascii="Times New Roman" w:hAnsi="Times New Roman"/>
          <w:color w:val="000000"/>
          <w:sz w:val="28"/>
          <w:szCs w:val="28"/>
        </w:rPr>
        <w:t>ии административной реформы веде</w:t>
      </w:r>
      <w:r w:rsidR="0068434D" w:rsidRPr="00D036FA">
        <w:rPr>
          <w:rFonts w:ascii="Times New Roman" w:hAnsi="Times New Roman"/>
          <w:color w:val="000000"/>
          <w:sz w:val="28"/>
          <w:szCs w:val="28"/>
        </w:rPr>
        <w:t>тся описание функций и процессов государственного управления, реализуются отдельные проекты по реорганизации и оптимизации административных процессов в отдельных ведомствах.</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Ведутся работы по совершенствованию межведомственного взаимодействия, в том числе межведомственный документооборот. В этих целях создана локальная межведомственная оптико-волоконная сеть, связывающая 46 органов государственной власти и управления.</w:t>
      </w:r>
      <w:r w:rsidR="004D2C9E">
        <w:rPr>
          <w:rFonts w:ascii="Times New Roman" w:hAnsi="Times New Roman"/>
          <w:color w:val="000000"/>
          <w:sz w:val="28"/>
          <w:szCs w:val="28"/>
        </w:rPr>
        <w:t xml:space="preserve"> </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Динамично формируется инфраструктура, обеспечивающая взаимодействие органов государственной власти, а также организаци</w:t>
      </w:r>
      <w:r w:rsidR="00303BBF">
        <w:rPr>
          <w:rFonts w:ascii="Times New Roman" w:hAnsi="Times New Roman"/>
          <w:color w:val="000000"/>
          <w:sz w:val="28"/>
          <w:szCs w:val="28"/>
        </w:rPr>
        <w:t>й</w:t>
      </w:r>
      <w:r w:rsidRPr="00D036FA">
        <w:rPr>
          <w:rFonts w:ascii="Times New Roman" w:hAnsi="Times New Roman"/>
          <w:color w:val="000000"/>
          <w:sz w:val="28"/>
          <w:szCs w:val="28"/>
        </w:rPr>
        <w:t xml:space="preserve"> и граждан в рамках предоставления государственных услуг. Наглядным примером служит деятельность Налогового комитета при Правительстве Республики Таджикистан.</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Разработаны и реализуются меры по повышению общего уровня профессиональной подготовки работников органов государственной власти по владению современными ИКТ, основными навыками информационной безопасности.</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 xml:space="preserve">Учитывая, что сфера </w:t>
      </w:r>
      <w:r w:rsidR="00303BBF" w:rsidRPr="00303BBF">
        <w:rPr>
          <w:rFonts w:ascii="Times New Roman" w:hAnsi="Times New Roman"/>
          <w:color w:val="000000"/>
          <w:sz w:val="28"/>
          <w:szCs w:val="28"/>
        </w:rPr>
        <w:t xml:space="preserve">ИКТ </w:t>
      </w:r>
      <w:r w:rsidR="00303BBF">
        <w:rPr>
          <w:rFonts w:ascii="Times New Roman" w:hAnsi="Times New Roman"/>
          <w:color w:val="000000"/>
          <w:sz w:val="28"/>
          <w:szCs w:val="28"/>
        </w:rPr>
        <w:t>является одной</w:t>
      </w:r>
      <w:r w:rsidRPr="00D036FA">
        <w:rPr>
          <w:rFonts w:ascii="Times New Roman" w:hAnsi="Times New Roman"/>
          <w:color w:val="000000"/>
          <w:sz w:val="28"/>
          <w:szCs w:val="28"/>
        </w:rPr>
        <w:t xml:space="preserve"> из наиболее динамично развивающихся отраслей современной мировой экономики, вед</w:t>
      </w:r>
      <w:r w:rsidR="00303BBF">
        <w:rPr>
          <w:rFonts w:ascii="Times New Roman" w:hAnsi="Times New Roman"/>
          <w:color w:val="000000"/>
          <w:sz w:val="28"/>
          <w:szCs w:val="28"/>
        </w:rPr>
        <w:t>е</w:t>
      </w:r>
      <w:r w:rsidRPr="00D036FA">
        <w:rPr>
          <w:rFonts w:ascii="Times New Roman" w:hAnsi="Times New Roman"/>
          <w:color w:val="000000"/>
          <w:sz w:val="28"/>
          <w:szCs w:val="28"/>
        </w:rPr>
        <w:t>тся постоянная работа по совершенствованию и гармонизации существующей нормативно-правовой базы.</w:t>
      </w:r>
      <w:r w:rsidR="004D2C9E">
        <w:rPr>
          <w:rFonts w:ascii="Times New Roman" w:hAnsi="Times New Roman"/>
          <w:color w:val="000000"/>
          <w:sz w:val="28"/>
          <w:szCs w:val="28"/>
        </w:rPr>
        <w:t xml:space="preserve"> </w:t>
      </w:r>
      <w:r w:rsidR="007A28E7">
        <w:rPr>
          <w:rFonts w:ascii="Times New Roman" w:hAnsi="Times New Roman"/>
          <w:color w:val="000000"/>
          <w:sz w:val="28"/>
          <w:szCs w:val="28"/>
        </w:rPr>
        <w:t>Так, в настоящее время</w:t>
      </w:r>
      <w:r w:rsidRPr="00D036FA">
        <w:rPr>
          <w:rFonts w:ascii="Times New Roman" w:hAnsi="Times New Roman"/>
          <w:color w:val="000000"/>
          <w:sz w:val="28"/>
          <w:szCs w:val="28"/>
        </w:rPr>
        <w:t xml:space="preserve"> на основе изучения опыта различных </w:t>
      </w:r>
      <w:r w:rsidR="00766286">
        <w:rPr>
          <w:rFonts w:ascii="Times New Roman" w:hAnsi="Times New Roman"/>
          <w:color w:val="000000"/>
          <w:sz w:val="28"/>
          <w:szCs w:val="28"/>
        </w:rPr>
        <w:t>государств</w:t>
      </w:r>
      <w:r w:rsidRPr="00D036FA">
        <w:rPr>
          <w:rFonts w:ascii="Times New Roman" w:hAnsi="Times New Roman"/>
          <w:color w:val="000000"/>
          <w:sz w:val="28"/>
          <w:szCs w:val="28"/>
        </w:rPr>
        <w:t xml:space="preserve"> разрабатываются законопроекты, регулирующие вопросы государственных электронных услуг, защиты персональных данных, единой информационно-технологической и телекоммуникационной инфраструктуры </w:t>
      </w:r>
      <w:r w:rsidR="00303BBF">
        <w:rPr>
          <w:rFonts w:ascii="Times New Roman" w:hAnsi="Times New Roman"/>
          <w:color w:val="000000"/>
          <w:sz w:val="28"/>
          <w:szCs w:val="28"/>
        </w:rPr>
        <w:t>и т.д.</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 xml:space="preserve">Формирование </w:t>
      </w:r>
      <w:r w:rsidR="00766286">
        <w:rPr>
          <w:rFonts w:ascii="Times New Roman" w:hAnsi="Times New Roman"/>
          <w:color w:val="000000"/>
          <w:sz w:val="28"/>
          <w:szCs w:val="28"/>
        </w:rPr>
        <w:t>«</w:t>
      </w:r>
      <w:r w:rsidRPr="00D036FA">
        <w:rPr>
          <w:rFonts w:ascii="Times New Roman" w:hAnsi="Times New Roman"/>
          <w:color w:val="000000"/>
          <w:sz w:val="28"/>
          <w:szCs w:val="28"/>
        </w:rPr>
        <w:t>электронного правительства</w:t>
      </w:r>
      <w:r w:rsidR="00766286">
        <w:rPr>
          <w:rFonts w:ascii="Times New Roman" w:hAnsi="Times New Roman"/>
          <w:color w:val="000000"/>
          <w:sz w:val="28"/>
          <w:szCs w:val="28"/>
        </w:rPr>
        <w:t>»</w:t>
      </w:r>
      <w:r w:rsidRPr="00D036FA">
        <w:rPr>
          <w:rFonts w:ascii="Times New Roman" w:hAnsi="Times New Roman"/>
          <w:color w:val="000000"/>
          <w:sz w:val="28"/>
          <w:szCs w:val="28"/>
        </w:rPr>
        <w:t xml:space="preserve"> требует проведения скоординированных организационно-технологических мероприятий и согласованных действий органов государственной власти в рамках единой государственной и международной политики. </w:t>
      </w:r>
    </w:p>
    <w:p w:rsidR="0068434D" w:rsidRPr="004C6124" w:rsidRDefault="0068434D" w:rsidP="0037459F">
      <w:pPr>
        <w:pStyle w:val="5"/>
        <w:spacing w:after="0"/>
      </w:pPr>
      <w:r w:rsidRPr="004C6124">
        <w:t>Информационные системы здравоохранения Республики Таджикистан</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При поддержке Прави</w:t>
      </w:r>
      <w:r w:rsidR="0071575D">
        <w:rPr>
          <w:rFonts w:ascii="Times New Roman" w:hAnsi="Times New Roman"/>
          <w:color w:val="000000"/>
          <w:sz w:val="28"/>
          <w:szCs w:val="28"/>
        </w:rPr>
        <w:t>тельства Республики Таджикистан</w:t>
      </w:r>
      <w:r w:rsidRPr="00D036FA">
        <w:rPr>
          <w:rFonts w:ascii="Times New Roman" w:hAnsi="Times New Roman"/>
          <w:color w:val="000000"/>
          <w:sz w:val="28"/>
          <w:szCs w:val="28"/>
        </w:rPr>
        <w:t xml:space="preserve"> в рамках сотрудничества с Европейским </w:t>
      </w:r>
      <w:r w:rsidR="0071575D">
        <w:rPr>
          <w:rFonts w:ascii="Times New Roman" w:hAnsi="Times New Roman"/>
          <w:color w:val="000000"/>
          <w:sz w:val="28"/>
          <w:szCs w:val="28"/>
        </w:rPr>
        <w:t>с</w:t>
      </w:r>
      <w:r w:rsidRPr="00D036FA">
        <w:rPr>
          <w:rFonts w:ascii="Times New Roman" w:hAnsi="Times New Roman"/>
          <w:color w:val="000000"/>
          <w:sz w:val="28"/>
          <w:szCs w:val="28"/>
        </w:rPr>
        <w:t>оюзом создана единая информационная система здравоохранения Республики Таджикистан.</w:t>
      </w:r>
      <w:r w:rsidR="0071575D">
        <w:rPr>
          <w:rFonts w:ascii="Times New Roman" w:hAnsi="Times New Roman"/>
          <w:color w:val="000000"/>
          <w:sz w:val="28"/>
          <w:szCs w:val="28"/>
        </w:rPr>
        <w:t xml:space="preserve"> В</w:t>
      </w:r>
      <w:r w:rsidRPr="00D036FA">
        <w:rPr>
          <w:rFonts w:ascii="Times New Roman" w:hAnsi="Times New Roman"/>
          <w:color w:val="000000"/>
          <w:sz w:val="28"/>
          <w:szCs w:val="28"/>
        </w:rPr>
        <w:t xml:space="preserve"> проектах EUFIN-EAST и СARINFONET разработаны и введены в действие ряд программ ввода, обработки и представления медицинской статистической информации.</w:t>
      </w:r>
      <w:r w:rsidR="00F7443F">
        <w:rPr>
          <w:rFonts w:ascii="Times New Roman" w:hAnsi="Times New Roman"/>
          <w:color w:val="000000"/>
          <w:sz w:val="28"/>
          <w:szCs w:val="28"/>
        </w:rPr>
        <w:t xml:space="preserve"> Осуществляется п</w:t>
      </w:r>
      <w:r w:rsidRPr="00D036FA">
        <w:rPr>
          <w:rFonts w:ascii="Times New Roman" w:hAnsi="Times New Roman"/>
          <w:color w:val="000000"/>
          <w:sz w:val="28"/>
          <w:szCs w:val="28"/>
        </w:rPr>
        <w:t xml:space="preserve">ереход от интуитивного управления к системному управлению на основе современных </w:t>
      </w:r>
      <w:r w:rsidR="00F7443F" w:rsidRPr="00F7443F">
        <w:rPr>
          <w:rFonts w:ascii="Times New Roman" w:hAnsi="Times New Roman"/>
          <w:color w:val="000000"/>
          <w:sz w:val="28"/>
          <w:szCs w:val="28"/>
        </w:rPr>
        <w:t>ИКТ</w:t>
      </w:r>
      <w:r w:rsidRPr="00D036FA">
        <w:rPr>
          <w:rFonts w:ascii="Times New Roman" w:hAnsi="Times New Roman"/>
          <w:color w:val="000000"/>
          <w:sz w:val="28"/>
          <w:szCs w:val="28"/>
        </w:rPr>
        <w:t>.</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Функционирующая в настоящее время</w:t>
      </w:r>
      <w:r w:rsidR="007A28E7" w:rsidRPr="007A28E7">
        <w:t xml:space="preserve"> </w:t>
      </w:r>
      <w:r w:rsidR="007A28E7" w:rsidRPr="007A28E7">
        <w:rPr>
          <w:rFonts w:ascii="Times New Roman" w:hAnsi="Times New Roman"/>
          <w:color w:val="000000"/>
          <w:sz w:val="28"/>
          <w:szCs w:val="28"/>
        </w:rPr>
        <w:t xml:space="preserve">Информационная система управления актов гражданского состояния </w:t>
      </w:r>
      <w:r w:rsidR="007A28E7">
        <w:rPr>
          <w:rFonts w:ascii="Times New Roman" w:hAnsi="Times New Roman"/>
          <w:color w:val="000000"/>
          <w:sz w:val="28"/>
          <w:szCs w:val="28"/>
        </w:rPr>
        <w:t>(</w:t>
      </w:r>
      <w:r w:rsidRPr="00D036FA">
        <w:rPr>
          <w:rFonts w:ascii="Times New Roman" w:hAnsi="Times New Roman"/>
          <w:color w:val="000000"/>
          <w:sz w:val="28"/>
          <w:szCs w:val="28"/>
        </w:rPr>
        <w:t>ИС УАГС</w:t>
      </w:r>
      <w:r w:rsidR="007A28E7">
        <w:rPr>
          <w:rFonts w:ascii="Times New Roman" w:hAnsi="Times New Roman"/>
          <w:color w:val="000000"/>
          <w:sz w:val="28"/>
          <w:szCs w:val="28"/>
        </w:rPr>
        <w:t>)</w:t>
      </w:r>
      <w:r w:rsidRPr="00D036FA">
        <w:rPr>
          <w:rFonts w:ascii="Times New Roman" w:hAnsi="Times New Roman"/>
          <w:color w:val="000000"/>
          <w:sz w:val="28"/>
          <w:szCs w:val="28"/>
        </w:rPr>
        <w:t xml:space="preserve"> с начала 2015 г</w:t>
      </w:r>
      <w:r w:rsidR="00AC0D4C">
        <w:rPr>
          <w:rFonts w:ascii="Times New Roman" w:hAnsi="Times New Roman"/>
          <w:color w:val="000000"/>
          <w:sz w:val="28"/>
          <w:szCs w:val="28"/>
        </w:rPr>
        <w:t>ода</w:t>
      </w:r>
      <w:r w:rsidRPr="00D036FA">
        <w:rPr>
          <w:rFonts w:ascii="Times New Roman" w:hAnsi="Times New Roman"/>
          <w:color w:val="000000"/>
          <w:sz w:val="28"/>
          <w:szCs w:val="28"/>
        </w:rPr>
        <w:t xml:space="preserve"> разработана Управлением актов гражданского состояния в сотрудничестве с проектом Европейского </w:t>
      </w:r>
      <w:r w:rsidR="00F7443F">
        <w:rPr>
          <w:rFonts w:ascii="Times New Roman" w:hAnsi="Times New Roman"/>
          <w:color w:val="000000"/>
          <w:sz w:val="28"/>
          <w:szCs w:val="28"/>
        </w:rPr>
        <w:t>с</w:t>
      </w:r>
      <w:r w:rsidRPr="00D036FA">
        <w:rPr>
          <w:rFonts w:ascii="Times New Roman" w:hAnsi="Times New Roman"/>
          <w:color w:val="000000"/>
          <w:sz w:val="28"/>
          <w:szCs w:val="28"/>
        </w:rPr>
        <w:t>оюза</w:t>
      </w:r>
      <w:r w:rsidR="00AC0D4C">
        <w:rPr>
          <w:rFonts w:ascii="Times New Roman" w:hAnsi="Times New Roman"/>
          <w:color w:val="000000"/>
          <w:sz w:val="28"/>
          <w:szCs w:val="28"/>
        </w:rPr>
        <w:t>.</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Автоматизировано хранение всех тип</w:t>
      </w:r>
      <w:r w:rsidR="00766286">
        <w:rPr>
          <w:rFonts w:ascii="Times New Roman" w:hAnsi="Times New Roman"/>
          <w:color w:val="000000"/>
          <w:sz w:val="28"/>
          <w:szCs w:val="28"/>
        </w:rPr>
        <w:t>ов актов гражданского состояния</w:t>
      </w:r>
      <w:r w:rsidR="00F7443F">
        <w:rPr>
          <w:rFonts w:ascii="Times New Roman" w:hAnsi="Times New Roman"/>
          <w:color w:val="000000"/>
          <w:sz w:val="28"/>
          <w:szCs w:val="28"/>
        </w:rPr>
        <w:t xml:space="preserve"> </w:t>
      </w:r>
      <w:r w:rsidR="00636F0D">
        <w:rPr>
          <w:rFonts w:ascii="Times New Roman" w:hAnsi="Times New Roman"/>
          <w:color w:val="000000"/>
          <w:sz w:val="28"/>
          <w:szCs w:val="28"/>
        </w:rPr>
        <w:br/>
      </w:r>
      <w:r w:rsidR="00F7443F">
        <w:rPr>
          <w:rFonts w:ascii="Times New Roman" w:hAnsi="Times New Roman"/>
          <w:color w:val="000000"/>
          <w:sz w:val="28"/>
          <w:szCs w:val="28"/>
        </w:rPr>
        <w:t>(</w:t>
      </w:r>
      <w:r w:rsidR="00AC0D4C">
        <w:rPr>
          <w:rFonts w:ascii="Times New Roman" w:hAnsi="Times New Roman"/>
          <w:color w:val="000000"/>
          <w:sz w:val="28"/>
          <w:szCs w:val="28"/>
        </w:rPr>
        <w:t>о</w:t>
      </w:r>
      <w:r w:rsidRPr="00D036FA">
        <w:rPr>
          <w:rFonts w:ascii="Times New Roman" w:hAnsi="Times New Roman"/>
          <w:color w:val="000000"/>
          <w:sz w:val="28"/>
          <w:szCs w:val="28"/>
        </w:rPr>
        <w:t xml:space="preserve"> реги</w:t>
      </w:r>
      <w:r w:rsidR="00F7443F">
        <w:rPr>
          <w:rFonts w:ascii="Times New Roman" w:hAnsi="Times New Roman"/>
          <w:color w:val="000000"/>
          <w:sz w:val="28"/>
          <w:szCs w:val="28"/>
        </w:rPr>
        <w:t>страции рождения, смерти, брака</w:t>
      </w:r>
      <w:r w:rsidRPr="00D036FA">
        <w:rPr>
          <w:rFonts w:ascii="Times New Roman" w:hAnsi="Times New Roman"/>
          <w:color w:val="000000"/>
          <w:sz w:val="28"/>
          <w:szCs w:val="28"/>
        </w:rPr>
        <w:t xml:space="preserve"> и др. (8 типов)</w:t>
      </w:r>
      <w:r w:rsidR="007A28E7">
        <w:rPr>
          <w:rFonts w:ascii="Times New Roman" w:hAnsi="Times New Roman"/>
          <w:color w:val="000000"/>
          <w:sz w:val="28"/>
          <w:szCs w:val="28"/>
        </w:rPr>
        <w:t>)</w:t>
      </w:r>
      <w:r w:rsidR="00766286">
        <w:rPr>
          <w:rFonts w:ascii="Times New Roman" w:hAnsi="Times New Roman"/>
          <w:color w:val="000000"/>
          <w:sz w:val="28"/>
          <w:szCs w:val="28"/>
        </w:rPr>
        <w:t>. О</w:t>
      </w:r>
      <w:r w:rsidRPr="00D036FA">
        <w:rPr>
          <w:rFonts w:ascii="Times New Roman" w:hAnsi="Times New Roman"/>
          <w:color w:val="000000"/>
          <w:sz w:val="28"/>
          <w:szCs w:val="28"/>
        </w:rPr>
        <w:t>бщая база данных хранится на сервере в Центре обработки данных (Т</w:t>
      </w:r>
      <w:r w:rsidR="00AC0D4C">
        <w:rPr>
          <w:rFonts w:ascii="Times New Roman" w:hAnsi="Times New Roman"/>
          <w:color w:val="000000"/>
          <w:sz w:val="28"/>
          <w:szCs w:val="28"/>
        </w:rPr>
        <w:t>а</w:t>
      </w:r>
      <w:r w:rsidRPr="00D036FA">
        <w:rPr>
          <w:rFonts w:ascii="Times New Roman" w:hAnsi="Times New Roman"/>
          <w:color w:val="000000"/>
          <w:sz w:val="28"/>
          <w:szCs w:val="28"/>
        </w:rPr>
        <w:t>джиктелеком)</w:t>
      </w:r>
      <w:r w:rsidR="00766286">
        <w:rPr>
          <w:rFonts w:ascii="Times New Roman" w:hAnsi="Times New Roman"/>
          <w:color w:val="000000"/>
          <w:sz w:val="28"/>
          <w:szCs w:val="28"/>
        </w:rPr>
        <w:t>. Д</w:t>
      </w:r>
      <w:r w:rsidRPr="00D036FA">
        <w:rPr>
          <w:rFonts w:ascii="Times New Roman" w:hAnsi="Times New Roman"/>
          <w:color w:val="000000"/>
          <w:sz w:val="28"/>
          <w:szCs w:val="28"/>
        </w:rPr>
        <w:t>анные вводятся из всех районных филиалов Управлением актов гражданского состояния и передаются по шифрованным каналам</w:t>
      </w:r>
      <w:r w:rsidR="007A28E7">
        <w:rPr>
          <w:rFonts w:ascii="Times New Roman" w:hAnsi="Times New Roman"/>
          <w:color w:val="000000"/>
          <w:sz w:val="28"/>
          <w:szCs w:val="28"/>
        </w:rPr>
        <w:t xml:space="preserve"> </w:t>
      </w:r>
      <w:r w:rsidRPr="00D036FA">
        <w:rPr>
          <w:rFonts w:ascii="Times New Roman" w:hAnsi="Times New Roman"/>
          <w:color w:val="000000"/>
          <w:sz w:val="28"/>
          <w:szCs w:val="28"/>
        </w:rPr>
        <w:t>– по телефонным линиям и 4G модемам</w:t>
      </w:r>
      <w:r w:rsidR="007A28E7">
        <w:rPr>
          <w:rFonts w:ascii="Times New Roman" w:hAnsi="Times New Roman"/>
          <w:color w:val="000000"/>
          <w:sz w:val="28"/>
          <w:szCs w:val="28"/>
        </w:rPr>
        <w:t>.</w:t>
      </w:r>
    </w:p>
    <w:p w:rsidR="0068434D" w:rsidRPr="00D036FA" w:rsidRDefault="00F7443F" w:rsidP="004D2C9E">
      <w:pPr>
        <w:autoSpaceDE w:val="0"/>
        <w:autoSpaceDN w:val="0"/>
        <w:adjustRightInd w:val="0"/>
        <w:spacing w:after="0" w:line="240" w:lineRule="auto"/>
        <w:ind w:firstLine="709"/>
        <w:jc w:val="both"/>
        <w:rPr>
          <w:rFonts w:ascii="Times New Roman" w:hAnsi="Times New Roman"/>
          <w:color w:val="000000"/>
          <w:sz w:val="28"/>
          <w:szCs w:val="28"/>
        </w:rPr>
      </w:pPr>
      <w:r w:rsidRPr="00F7443F">
        <w:rPr>
          <w:rFonts w:ascii="Times New Roman" w:hAnsi="Times New Roman"/>
          <w:color w:val="000000"/>
          <w:sz w:val="28"/>
          <w:szCs w:val="28"/>
        </w:rPr>
        <w:t>ИС УАГС</w:t>
      </w:r>
      <w:r w:rsidR="007A28E7" w:rsidRPr="007A28E7">
        <w:t xml:space="preserve"> </w:t>
      </w:r>
      <w:r w:rsidR="007A28E7">
        <w:rPr>
          <w:rFonts w:ascii="Times New Roman" w:hAnsi="Times New Roman"/>
          <w:sz w:val="28"/>
          <w:szCs w:val="28"/>
        </w:rPr>
        <w:t>в</w:t>
      </w:r>
      <w:r w:rsidR="007A28E7" w:rsidRPr="007A28E7">
        <w:rPr>
          <w:rFonts w:ascii="Times New Roman" w:hAnsi="Times New Roman"/>
          <w:color w:val="000000"/>
          <w:sz w:val="28"/>
          <w:szCs w:val="28"/>
        </w:rPr>
        <w:t>ерсия 2</w:t>
      </w:r>
      <w:r w:rsidR="0068434D" w:rsidRPr="00F7443F">
        <w:rPr>
          <w:rFonts w:ascii="Times New Roman" w:hAnsi="Times New Roman"/>
          <w:color w:val="000000"/>
          <w:sz w:val="28"/>
          <w:szCs w:val="28"/>
        </w:rPr>
        <w:t xml:space="preserve"> </w:t>
      </w:r>
      <w:r w:rsidR="0068434D" w:rsidRPr="00D036FA">
        <w:rPr>
          <w:rFonts w:ascii="Times New Roman" w:hAnsi="Times New Roman"/>
          <w:color w:val="000000"/>
          <w:sz w:val="28"/>
          <w:szCs w:val="28"/>
        </w:rPr>
        <w:t>разрабатывае</w:t>
      </w:r>
      <w:r>
        <w:rPr>
          <w:rFonts w:ascii="Times New Roman" w:hAnsi="Times New Roman"/>
          <w:color w:val="000000"/>
          <w:sz w:val="28"/>
          <w:szCs w:val="28"/>
        </w:rPr>
        <w:t xml:space="preserve">тся в сотрудничестве с </w:t>
      </w:r>
      <w:r w:rsidR="0042504F" w:rsidRPr="0042504F">
        <w:rPr>
          <w:rFonts w:ascii="Times New Roman" w:hAnsi="Times New Roman"/>
          <w:color w:val="000000"/>
          <w:sz w:val="28"/>
          <w:szCs w:val="28"/>
        </w:rPr>
        <w:t>Программ</w:t>
      </w:r>
      <w:r w:rsidR="0042504F">
        <w:rPr>
          <w:rFonts w:ascii="Times New Roman" w:hAnsi="Times New Roman"/>
          <w:color w:val="000000"/>
          <w:sz w:val="28"/>
          <w:szCs w:val="28"/>
        </w:rPr>
        <w:t>ой</w:t>
      </w:r>
      <w:r w:rsidR="0042504F" w:rsidRPr="0042504F">
        <w:rPr>
          <w:rFonts w:ascii="Times New Roman" w:hAnsi="Times New Roman"/>
          <w:color w:val="000000"/>
          <w:sz w:val="28"/>
          <w:szCs w:val="28"/>
        </w:rPr>
        <w:t xml:space="preserve"> развития ООН</w:t>
      </w:r>
      <w:r>
        <w:rPr>
          <w:rFonts w:ascii="Times New Roman" w:hAnsi="Times New Roman"/>
          <w:color w:val="000000"/>
          <w:sz w:val="28"/>
          <w:szCs w:val="28"/>
        </w:rPr>
        <w:t xml:space="preserve"> и </w:t>
      </w:r>
      <w:r w:rsidR="0068434D" w:rsidRPr="00D036FA">
        <w:rPr>
          <w:rFonts w:ascii="Times New Roman" w:hAnsi="Times New Roman"/>
          <w:color w:val="000000"/>
          <w:sz w:val="28"/>
          <w:szCs w:val="28"/>
        </w:rPr>
        <w:t xml:space="preserve">Швейцарским </w:t>
      </w:r>
      <w:r>
        <w:rPr>
          <w:rFonts w:ascii="Times New Roman" w:hAnsi="Times New Roman"/>
          <w:color w:val="000000"/>
          <w:sz w:val="28"/>
          <w:szCs w:val="28"/>
        </w:rPr>
        <w:t>а</w:t>
      </w:r>
      <w:r w:rsidR="0068434D" w:rsidRPr="00D036FA">
        <w:rPr>
          <w:rFonts w:ascii="Times New Roman" w:hAnsi="Times New Roman"/>
          <w:color w:val="000000"/>
          <w:sz w:val="28"/>
          <w:szCs w:val="28"/>
        </w:rPr>
        <w:t xml:space="preserve">гентством </w:t>
      </w:r>
      <w:r>
        <w:rPr>
          <w:rFonts w:ascii="Times New Roman" w:hAnsi="Times New Roman"/>
          <w:color w:val="000000"/>
          <w:sz w:val="28"/>
          <w:szCs w:val="28"/>
        </w:rPr>
        <w:t>м</w:t>
      </w:r>
      <w:r w:rsidR="0068434D" w:rsidRPr="00D036FA">
        <w:rPr>
          <w:rFonts w:ascii="Times New Roman" w:hAnsi="Times New Roman"/>
          <w:color w:val="000000"/>
          <w:sz w:val="28"/>
          <w:szCs w:val="28"/>
        </w:rPr>
        <w:t xml:space="preserve">еждународного </w:t>
      </w:r>
      <w:r>
        <w:rPr>
          <w:rFonts w:ascii="Times New Roman" w:hAnsi="Times New Roman"/>
          <w:color w:val="000000"/>
          <w:sz w:val="28"/>
          <w:szCs w:val="28"/>
        </w:rPr>
        <w:t>с</w:t>
      </w:r>
      <w:r w:rsidR="0068434D" w:rsidRPr="00D036FA">
        <w:rPr>
          <w:rFonts w:ascii="Times New Roman" w:hAnsi="Times New Roman"/>
          <w:color w:val="000000"/>
          <w:sz w:val="28"/>
          <w:szCs w:val="28"/>
        </w:rPr>
        <w:t>отрудничества</w:t>
      </w:r>
      <w:r w:rsidR="002F5B9B">
        <w:rPr>
          <w:rFonts w:ascii="Times New Roman" w:hAnsi="Times New Roman"/>
          <w:color w:val="000000"/>
          <w:sz w:val="28"/>
          <w:szCs w:val="28"/>
        </w:rPr>
        <w:t>.</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Предполагается обязательный ввод в систему 100</w:t>
      </w:r>
      <w:r w:rsidR="004D2C9E">
        <w:rPr>
          <w:rFonts w:ascii="Times New Roman" w:hAnsi="Times New Roman"/>
          <w:color w:val="000000"/>
          <w:sz w:val="28"/>
          <w:szCs w:val="28"/>
        </w:rPr>
        <w:t> %</w:t>
      </w:r>
      <w:r w:rsidRPr="00D036FA">
        <w:rPr>
          <w:rFonts w:ascii="Times New Roman" w:hAnsi="Times New Roman"/>
          <w:color w:val="000000"/>
          <w:sz w:val="28"/>
          <w:szCs w:val="28"/>
        </w:rPr>
        <w:t xml:space="preserve"> документов</w:t>
      </w:r>
      <w:r w:rsidR="002F5B9B">
        <w:rPr>
          <w:rFonts w:ascii="Times New Roman" w:hAnsi="Times New Roman"/>
          <w:color w:val="000000"/>
          <w:sz w:val="28"/>
          <w:szCs w:val="28"/>
        </w:rPr>
        <w:t>.</w:t>
      </w:r>
    </w:p>
    <w:p w:rsidR="0068434D" w:rsidRPr="00D036FA" w:rsidRDefault="00F7443F"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Рассматривается</w:t>
      </w:r>
      <w:r w:rsidR="0068434D" w:rsidRPr="00D036FA">
        <w:rPr>
          <w:rFonts w:ascii="Times New Roman" w:hAnsi="Times New Roman"/>
          <w:color w:val="000000"/>
          <w:sz w:val="28"/>
          <w:szCs w:val="28"/>
        </w:rPr>
        <w:t xml:space="preserve"> возможность расширения сети компьютеров (с помощью доноров), для начала</w:t>
      </w:r>
      <w:r w:rsidR="00F9318B">
        <w:rPr>
          <w:rFonts w:ascii="Times New Roman" w:hAnsi="Times New Roman"/>
          <w:color w:val="000000"/>
          <w:sz w:val="28"/>
          <w:szCs w:val="28"/>
        </w:rPr>
        <w:t xml:space="preserve"> – </w:t>
      </w:r>
      <w:r w:rsidR="0068434D" w:rsidRPr="00D036FA">
        <w:rPr>
          <w:rFonts w:ascii="Times New Roman" w:hAnsi="Times New Roman"/>
          <w:color w:val="000000"/>
          <w:sz w:val="28"/>
          <w:szCs w:val="28"/>
        </w:rPr>
        <w:t>в крупных джамоатах</w:t>
      </w:r>
      <w:r w:rsidR="002F5B9B">
        <w:rPr>
          <w:rFonts w:ascii="Times New Roman" w:hAnsi="Times New Roman"/>
          <w:color w:val="000000"/>
          <w:sz w:val="28"/>
          <w:szCs w:val="28"/>
        </w:rPr>
        <w:t>.</w:t>
      </w:r>
    </w:p>
    <w:p w:rsidR="0068434D" w:rsidRPr="00D036FA"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D036FA">
        <w:rPr>
          <w:rFonts w:ascii="Times New Roman" w:hAnsi="Times New Roman"/>
          <w:color w:val="000000"/>
          <w:sz w:val="28"/>
          <w:szCs w:val="28"/>
        </w:rPr>
        <w:t xml:space="preserve">Институт повышения квалификации Министерства юстиции осваивает программу обучения </w:t>
      </w:r>
      <w:r w:rsidR="00F7443F" w:rsidRPr="00F7443F">
        <w:rPr>
          <w:rFonts w:ascii="Times New Roman" w:hAnsi="Times New Roman"/>
          <w:color w:val="000000"/>
          <w:sz w:val="28"/>
          <w:szCs w:val="28"/>
        </w:rPr>
        <w:t>ИС УАГС</w:t>
      </w:r>
      <w:r w:rsidR="00710E9D" w:rsidRPr="00F7443F">
        <w:rPr>
          <w:rFonts w:ascii="Times New Roman" w:hAnsi="Times New Roman"/>
          <w:color w:val="000000"/>
          <w:sz w:val="28"/>
          <w:szCs w:val="28"/>
        </w:rPr>
        <w:t>.</w:t>
      </w:r>
    </w:p>
    <w:p w:rsidR="0068434D" w:rsidRDefault="0068434D" w:rsidP="005A580A">
      <w:pPr>
        <w:pStyle w:val="22"/>
        <w:spacing w:before="120"/>
      </w:pPr>
      <w:r w:rsidRPr="00D036FA">
        <w:t xml:space="preserve">ИС УАГС </w:t>
      </w:r>
      <w:r w:rsidR="00F7443F">
        <w:t xml:space="preserve">версия </w:t>
      </w:r>
      <w:r w:rsidRPr="00D036FA">
        <w:t>2 – полная автоматизация генерации статистической отчетности</w:t>
      </w:r>
      <w:r w:rsidR="002F5B9B">
        <w:t>.</w:t>
      </w:r>
      <w:r w:rsidR="00F7443F">
        <w:t xml:space="preserve"> </w:t>
      </w:r>
      <w:r w:rsidRPr="00D036FA">
        <w:t>Учтены все потребности в статистической отчетности Управления актов гражданского состояния и Министерства</w:t>
      </w:r>
      <w:r w:rsidR="00F7443F">
        <w:t xml:space="preserve"> юстиции. </w:t>
      </w:r>
      <w:r w:rsidRPr="00D036FA">
        <w:t>Разработаны формы национальной статистической отчетности, предложенные Агентством по статистике при Президенте Республики Таджикистан</w:t>
      </w:r>
      <w:r w:rsidR="002F5B9B">
        <w:t>.</w:t>
      </w:r>
      <w:r w:rsidR="005A580A">
        <w:t xml:space="preserve"> </w:t>
      </w:r>
      <w:r w:rsidRPr="00D036FA">
        <w:t>Учтена возможность создания отчетности для других партнеров (</w:t>
      </w:r>
      <w:r w:rsidR="00450AB0">
        <w:t>м</w:t>
      </w:r>
      <w:r w:rsidRPr="00D036FA">
        <w:t xml:space="preserve">инистерства здравоохранения и </w:t>
      </w:r>
      <w:r w:rsidR="005A580A">
        <w:t>социальной защиты населения</w:t>
      </w:r>
      <w:r w:rsidR="002F5B9B">
        <w:t>).</w:t>
      </w:r>
    </w:p>
    <w:p w:rsidR="0068434D" w:rsidRDefault="0068434D" w:rsidP="004D2C9E">
      <w:pPr>
        <w:pStyle w:val="4"/>
      </w:pPr>
      <w:r w:rsidRPr="004A35AD">
        <w:t>Российская Федерация</w:t>
      </w:r>
    </w:p>
    <w:p w:rsidR="0068434D" w:rsidRDefault="00406ED2" w:rsidP="004D2C9E">
      <w:pPr>
        <w:autoSpaceDE w:val="0"/>
        <w:autoSpaceDN w:val="0"/>
        <w:adjustRightInd w:val="0"/>
        <w:spacing w:after="0" w:line="240" w:lineRule="auto"/>
        <w:ind w:firstLine="709"/>
        <w:jc w:val="both"/>
        <w:rPr>
          <w:rFonts w:ascii="Times New Roman" w:hAnsi="Times New Roman"/>
          <w:color w:val="000000"/>
          <w:sz w:val="28"/>
          <w:szCs w:val="28"/>
        </w:rPr>
      </w:pPr>
      <w:r w:rsidRPr="00406ED2">
        <w:rPr>
          <w:rFonts w:ascii="Times New Roman" w:hAnsi="Times New Roman"/>
          <w:color w:val="000000"/>
          <w:sz w:val="28"/>
          <w:szCs w:val="28"/>
        </w:rPr>
        <w:t xml:space="preserve">Президент Российской Федерации В.В.Путин </w:t>
      </w:r>
      <w:r>
        <w:rPr>
          <w:rFonts w:ascii="Times New Roman" w:hAnsi="Times New Roman"/>
          <w:color w:val="000000"/>
          <w:sz w:val="28"/>
          <w:szCs w:val="28"/>
        </w:rPr>
        <w:t>в</w:t>
      </w:r>
      <w:r w:rsidR="0068434D" w:rsidRPr="007578DD">
        <w:rPr>
          <w:rFonts w:ascii="Times New Roman" w:hAnsi="Times New Roman"/>
          <w:color w:val="000000"/>
          <w:sz w:val="28"/>
          <w:szCs w:val="28"/>
        </w:rPr>
        <w:t xml:space="preserve"> своем </w:t>
      </w:r>
      <w:hyperlink r:id="rId8" w:history="1">
        <w:r w:rsidR="0068434D" w:rsidRPr="007578DD">
          <w:rPr>
            <w:rFonts w:ascii="Times New Roman" w:hAnsi="Times New Roman"/>
            <w:color w:val="000000"/>
            <w:sz w:val="28"/>
            <w:szCs w:val="28"/>
          </w:rPr>
          <w:t xml:space="preserve">послании Федеральному </w:t>
        </w:r>
        <w:r w:rsidR="005766E4">
          <w:rPr>
            <w:rFonts w:ascii="Times New Roman" w:hAnsi="Times New Roman"/>
            <w:color w:val="000000"/>
            <w:sz w:val="28"/>
            <w:szCs w:val="28"/>
          </w:rPr>
          <w:t>С</w:t>
        </w:r>
        <w:r w:rsidR="0068434D" w:rsidRPr="007578DD">
          <w:rPr>
            <w:rFonts w:ascii="Times New Roman" w:hAnsi="Times New Roman"/>
            <w:color w:val="000000"/>
            <w:sz w:val="28"/>
            <w:szCs w:val="28"/>
          </w:rPr>
          <w:t>обранию</w:t>
        </w:r>
        <w:r>
          <w:rPr>
            <w:rFonts w:ascii="Times New Roman" w:hAnsi="Times New Roman"/>
            <w:color w:val="000000"/>
            <w:sz w:val="28"/>
            <w:szCs w:val="28"/>
          </w:rPr>
          <w:t xml:space="preserve"> Российской Федерации</w:t>
        </w:r>
        <w:r w:rsidR="0068434D" w:rsidRPr="007578DD">
          <w:rPr>
            <w:rFonts w:ascii="Times New Roman" w:hAnsi="Times New Roman"/>
            <w:color w:val="000000"/>
            <w:sz w:val="28"/>
            <w:szCs w:val="28"/>
          </w:rPr>
          <w:t xml:space="preserve"> 1 декабря 2016 года</w:t>
        </w:r>
      </w:hyperlink>
      <w:r w:rsidR="0068434D" w:rsidRPr="007578DD">
        <w:rPr>
          <w:rFonts w:ascii="Times New Roman" w:hAnsi="Times New Roman"/>
          <w:color w:val="000000"/>
          <w:sz w:val="28"/>
          <w:szCs w:val="28"/>
        </w:rPr>
        <w:t xml:space="preserve"> отметил высокий потенциал развития отрасли информационных технологий в Российской Федерации и указал на необходимость формирования в стране цифровой экономики.</w:t>
      </w:r>
    </w:p>
    <w:p w:rsidR="00706F86" w:rsidRDefault="00706F86"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 последнее время в Российской Федерации принят</w:t>
      </w:r>
      <w:r w:rsidR="00406ED2">
        <w:rPr>
          <w:rFonts w:ascii="Times New Roman" w:hAnsi="Times New Roman"/>
          <w:color w:val="000000"/>
          <w:sz w:val="28"/>
          <w:szCs w:val="28"/>
        </w:rPr>
        <w:t>ы</w:t>
      </w:r>
      <w:r>
        <w:rPr>
          <w:rFonts w:ascii="Times New Roman" w:hAnsi="Times New Roman"/>
          <w:color w:val="000000"/>
          <w:sz w:val="28"/>
          <w:szCs w:val="28"/>
        </w:rPr>
        <w:t xml:space="preserve"> ряд программных документов, определяющих основные ц</w:t>
      </w:r>
      <w:r w:rsidR="00406ED2">
        <w:rPr>
          <w:rFonts w:ascii="Times New Roman" w:hAnsi="Times New Roman"/>
          <w:color w:val="000000"/>
          <w:sz w:val="28"/>
          <w:szCs w:val="28"/>
        </w:rPr>
        <w:t>ели и задачи развития экономики.</w:t>
      </w:r>
    </w:p>
    <w:p w:rsidR="00944043" w:rsidRPr="00B963DF" w:rsidRDefault="0037459F" w:rsidP="0037459F">
      <w:pPr>
        <w:pStyle w:val="a7"/>
        <w:autoSpaceDE w:val="0"/>
        <w:autoSpaceDN w:val="0"/>
        <w:adjustRightInd w:val="0"/>
        <w:spacing w:after="0" w:line="240" w:lineRule="auto"/>
        <w:ind w:left="0" w:firstLine="540"/>
        <w:jc w:val="both"/>
        <w:rPr>
          <w:rFonts w:ascii="Times New Roman" w:hAnsi="Times New Roman"/>
          <w:color w:val="000000"/>
          <w:sz w:val="28"/>
          <w:szCs w:val="28"/>
        </w:rPr>
      </w:pPr>
      <w:r w:rsidRPr="00B963DF">
        <w:rPr>
          <w:rFonts w:ascii="Times New Roman" w:hAnsi="Times New Roman"/>
          <w:color w:val="000000"/>
          <w:spacing w:val="-4"/>
          <w:sz w:val="28"/>
          <w:szCs w:val="28"/>
        </w:rPr>
        <w:t>1. </w:t>
      </w:r>
      <w:r w:rsidR="00706F86" w:rsidRPr="00B963DF">
        <w:rPr>
          <w:rFonts w:ascii="Times New Roman" w:hAnsi="Times New Roman"/>
          <w:color w:val="000000"/>
          <w:spacing w:val="-4"/>
          <w:sz w:val="28"/>
          <w:szCs w:val="28"/>
        </w:rPr>
        <w:t>Указом Президента Российской Федерации от 2</w:t>
      </w:r>
      <w:r w:rsidR="00944043" w:rsidRPr="00B963DF">
        <w:rPr>
          <w:rFonts w:ascii="Times New Roman" w:hAnsi="Times New Roman"/>
          <w:color w:val="000000"/>
          <w:spacing w:val="-4"/>
          <w:sz w:val="28"/>
          <w:szCs w:val="28"/>
        </w:rPr>
        <w:t>1</w:t>
      </w:r>
      <w:r w:rsidR="00431C08" w:rsidRPr="00B963DF">
        <w:rPr>
          <w:rFonts w:ascii="Times New Roman" w:hAnsi="Times New Roman"/>
          <w:color w:val="000000"/>
          <w:spacing w:val="-4"/>
          <w:sz w:val="28"/>
          <w:szCs w:val="28"/>
        </w:rPr>
        <w:t xml:space="preserve"> декабря </w:t>
      </w:r>
      <w:r w:rsidR="00706F86" w:rsidRPr="00B963DF">
        <w:rPr>
          <w:rFonts w:ascii="Times New Roman" w:hAnsi="Times New Roman"/>
          <w:color w:val="000000"/>
          <w:spacing w:val="-4"/>
          <w:sz w:val="28"/>
          <w:szCs w:val="28"/>
        </w:rPr>
        <w:t>2017</w:t>
      </w:r>
      <w:r w:rsidR="00431C08" w:rsidRPr="00B963DF">
        <w:rPr>
          <w:rFonts w:ascii="Times New Roman" w:hAnsi="Times New Roman"/>
          <w:color w:val="000000"/>
          <w:spacing w:val="-4"/>
          <w:sz w:val="28"/>
          <w:szCs w:val="28"/>
        </w:rPr>
        <w:t xml:space="preserve"> года</w:t>
      </w:r>
      <w:r w:rsidR="00706F86" w:rsidRPr="00B963DF">
        <w:rPr>
          <w:rFonts w:ascii="Times New Roman" w:hAnsi="Times New Roman"/>
          <w:color w:val="000000"/>
          <w:spacing w:val="-4"/>
          <w:sz w:val="28"/>
          <w:szCs w:val="28"/>
        </w:rPr>
        <w:t xml:space="preserve"> </w:t>
      </w:r>
      <w:r w:rsidR="00E720B2">
        <w:rPr>
          <w:rFonts w:ascii="Times New Roman" w:hAnsi="Times New Roman"/>
          <w:color w:val="000000"/>
          <w:spacing w:val="-4"/>
          <w:sz w:val="28"/>
          <w:szCs w:val="28"/>
        </w:rPr>
        <w:t>№ </w:t>
      </w:r>
      <w:r w:rsidR="00706F86" w:rsidRPr="00B963DF">
        <w:rPr>
          <w:rFonts w:ascii="Times New Roman" w:hAnsi="Times New Roman"/>
          <w:color w:val="000000"/>
          <w:spacing w:val="-4"/>
          <w:sz w:val="28"/>
          <w:szCs w:val="28"/>
        </w:rPr>
        <w:t xml:space="preserve">618 </w:t>
      </w:r>
      <w:r w:rsidR="00944043" w:rsidRPr="00B963DF">
        <w:rPr>
          <w:rFonts w:ascii="Times New Roman" w:hAnsi="Times New Roman"/>
          <w:color w:val="000000"/>
          <w:sz w:val="28"/>
          <w:szCs w:val="28"/>
        </w:rPr>
        <w:t xml:space="preserve">определены Основные направления государственной политики по развитию конкуренции и утвержден Национальный план развития конкуренции </w:t>
      </w:r>
      <w:r w:rsidR="00B963DF" w:rsidRPr="00B963DF">
        <w:rPr>
          <w:rFonts w:ascii="Times New Roman" w:hAnsi="Times New Roman"/>
          <w:color w:val="000000"/>
          <w:sz w:val="28"/>
          <w:szCs w:val="28"/>
        </w:rPr>
        <w:br/>
      </w:r>
      <w:r w:rsidR="00944043" w:rsidRPr="00B963DF">
        <w:rPr>
          <w:rFonts w:ascii="Times New Roman" w:hAnsi="Times New Roman"/>
          <w:color w:val="000000"/>
          <w:sz w:val="28"/>
          <w:szCs w:val="28"/>
        </w:rPr>
        <w:t>на 2018</w:t>
      </w:r>
      <w:r w:rsidR="00F9318B" w:rsidRPr="00B963DF">
        <w:rPr>
          <w:rFonts w:ascii="Times New Roman" w:hAnsi="Times New Roman"/>
          <w:color w:val="000000"/>
          <w:sz w:val="28"/>
          <w:szCs w:val="28"/>
        </w:rPr>
        <w:t>–</w:t>
      </w:r>
      <w:r w:rsidR="00944043" w:rsidRPr="00B963DF">
        <w:rPr>
          <w:rFonts w:ascii="Times New Roman" w:hAnsi="Times New Roman"/>
          <w:color w:val="000000"/>
          <w:sz w:val="28"/>
          <w:szCs w:val="28"/>
        </w:rPr>
        <w:t xml:space="preserve">2020 годы, в соответствии с которыми активное содействие развитию конкуренции в Российской Федерации </w:t>
      </w:r>
      <w:r w:rsidR="00406ED2" w:rsidRPr="00B963DF">
        <w:rPr>
          <w:rFonts w:ascii="Times New Roman" w:hAnsi="Times New Roman"/>
          <w:color w:val="000000"/>
          <w:sz w:val="28"/>
          <w:szCs w:val="28"/>
        </w:rPr>
        <w:t>являе</w:t>
      </w:r>
      <w:r w:rsidR="00944043" w:rsidRPr="00B963DF">
        <w:rPr>
          <w:rFonts w:ascii="Times New Roman" w:hAnsi="Times New Roman"/>
          <w:color w:val="000000"/>
          <w:sz w:val="28"/>
          <w:szCs w:val="28"/>
        </w:rPr>
        <w:t>тся приоритетным направлением деятельности всех органов законодательной и испо</w:t>
      </w:r>
      <w:r w:rsidR="00406ED2" w:rsidRPr="00B963DF">
        <w:rPr>
          <w:rFonts w:ascii="Times New Roman" w:hAnsi="Times New Roman"/>
          <w:color w:val="000000"/>
          <w:sz w:val="28"/>
          <w:szCs w:val="28"/>
        </w:rPr>
        <w:t>лнительной власти</w:t>
      </w:r>
      <w:r w:rsidR="005766E4" w:rsidRPr="00B963DF">
        <w:rPr>
          <w:rFonts w:ascii="Times New Roman" w:hAnsi="Times New Roman"/>
          <w:color w:val="000000"/>
          <w:sz w:val="28"/>
          <w:szCs w:val="28"/>
        </w:rPr>
        <w:t>.</w:t>
      </w:r>
    </w:p>
    <w:p w:rsidR="00944043" w:rsidRPr="00944043" w:rsidRDefault="00944043" w:rsidP="00B963DF">
      <w:pPr>
        <w:pStyle w:val="22"/>
      </w:pPr>
      <w:r>
        <w:t>Указом Президента Российской Федерации определены</w:t>
      </w:r>
      <w:r w:rsidRPr="00944043">
        <w:t xml:space="preserve"> цел</w:t>
      </w:r>
      <w:r>
        <w:t xml:space="preserve">и </w:t>
      </w:r>
      <w:r w:rsidRPr="00944043">
        <w:t>совершенствования государственной</w:t>
      </w:r>
      <w:r>
        <w:t xml:space="preserve"> </w:t>
      </w:r>
      <w:r w:rsidRPr="00944043">
        <w:t>политики по развитию конкуренции</w:t>
      </w:r>
      <w:r>
        <w:t>:</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повышение удовлетворенности потребителей;</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повышение экономической эффективности и</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конкурентоспособности хозяйствующих субъектов, в том числе за счет</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обеспечения</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равного</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доступа</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к</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товарам и услугам субъектов</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естественных монополий и государственным услугам;</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стабильный</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рост</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развитие</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многоукладной</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экономики,</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развитие технологий,</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снижение</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издержек</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в</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масштабе</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национальной</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экономики,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снижение</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социальной</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напряженности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в</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обществе,</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обеспечение национальной безопасности.</w:t>
      </w:r>
    </w:p>
    <w:p w:rsidR="00944043" w:rsidRPr="00944043" w:rsidRDefault="00B06080"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00944043" w:rsidRPr="00944043">
        <w:rPr>
          <w:rFonts w:ascii="Times New Roman" w:hAnsi="Times New Roman"/>
          <w:color w:val="000000"/>
          <w:sz w:val="28"/>
          <w:szCs w:val="28"/>
        </w:rPr>
        <w:t xml:space="preserve"> качестве основополагающих принципо</w:t>
      </w:r>
      <w:r>
        <w:rPr>
          <w:rFonts w:ascii="Times New Roman" w:hAnsi="Times New Roman"/>
          <w:color w:val="000000"/>
          <w:sz w:val="28"/>
          <w:szCs w:val="28"/>
        </w:rPr>
        <w:t xml:space="preserve">в </w:t>
      </w:r>
      <w:r w:rsidR="00944043" w:rsidRPr="00944043">
        <w:rPr>
          <w:rFonts w:ascii="Times New Roman" w:hAnsi="Times New Roman"/>
          <w:color w:val="000000"/>
          <w:sz w:val="28"/>
          <w:szCs w:val="28"/>
        </w:rPr>
        <w:t>государственной политики по развитию конкуренции</w:t>
      </w:r>
      <w:r>
        <w:rPr>
          <w:rFonts w:ascii="Times New Roman" w:hAnsi="Times New Roman"/>
          <w:color w:val="000000"/>
          <w:sz w:val="28"/>
          <w:szCs w:val="28"/>
        </w:rPr>
        <w:t xml:space="preserve"> определены:</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сокращение доли хозяйствующих</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субъектов,</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учреждаемых</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или</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контролируемых государством</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или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муниципальными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образованиями</w:t>
      </w:r>
      <w:r w:rsidR="00B06080">
        <w:rPr>
          <w:rFonts w:ascii="Times New Roman" w:hAnsi="Times New Roman"/>
          <w:color w:val="000000"/>
          <w:sz w:val="28"/>
          <w:szCs w:val="28"/>
        </w:rPr>
        <w:t>;</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обеспечение равных условий и свободы экономической</w:t>
      </w:r>
      <w:r w:rsidR="005766E4">
        <w:rPr>
          <w:rFonts w:ascii="Times New Roman" w:hAnsi="Times New Roman"/>
          <w:color w:val="000000"/>
          <w:sz w:val="28"/>
          <w:szCs w:val="28"/>
        </w:rPr>
        <w:t xml:space="preserve"> </w:t>
      </w:r>
      <w:r w:rsidRPr="00944043">
        <w:rPr>
          <w:rFonts w:ascii="Times New Roman" w:hAnsi="Times New Roman"/>
          <w:color w:val="000000"/>
          <w:sz w:val="28"/>
          <w:szCs w:val="28"/>
        </w:rPr>
        <w:t>деятельности на территории Российской Федерации;</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обеспечение развития малого и среднего предпринимательства;</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направленность государственных инвестиций на развитие</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конкуренции;</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обеспечение условий для привлечения инвестиций</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хозяйствующих субъектов в развитие товарных рынков;</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недопустимость</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сдерживания</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экономически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оправданного</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перехода сфер естественных монополий</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из</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состояния</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естественной</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монополии в состояние конкурентного рынка;</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государственное регулирование цен (тарифов), основанное на</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окупаемости организаций, при снижении издержек и повышении их эффективности,</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обеспечивающее интересы потребителей в долгосрочной перспективе;</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недопустимость государственного регулирования цен</w:t>
      </w:r>
      <w:r w:rsidR="00406ED2">
        <w:rPr>
          <w:rFonts w:ascii="Times New Roman" w:hAnsi="Times New Roman"/>
          <w:color w:val="000000"/>
          <w:sz w:val="28"/>
          <w:szCs w:val="28"/>
        </w:rPr>
        <w:t xml:space="preserve"> </w:t>
      </w:r>
      <w:r w:rsidRPr="00944043">
        <w:rPr>
          <w:rFonts w:ascii="Times New Roman" w:hAnsi="Times New Roman"/>
          <w:color w:val="000000"/>
          <w:sz w:val="28"/>
          <w:szCs w:val="28"/>
        </w:rPr>
        <w:t>(тарифов)</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на</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конкурентных</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товарных</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рынках, за исключением случаев,</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предусмотренных</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законодательством</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Российской Федерации;</w:t>
      </w:r>
      <w:r w:rsidR="00B06080">
        <w:rPr>
          <w:rFonts w:ascii="Times New Roman" w:hAnsi="Times New Roman"/>
          <w:color w:val="000000"/>
          <w:sz w:val="28"/>
          <w:szCs w:val="28"/>
        </w:rPr>
        <w:t xml:space="preserve"> </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развитие конкуренции в сферах экономической деятельности</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государственных</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предприятий, предприятий с государственным</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участием;</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сочетание превентивного и последующего контроля для целей</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защиты конкуренции;</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стимулирование хозяйствующих субъектов, внедряющих</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систему внутреннего обеспечения соответствия требованиям</w:t>
      </w:r>
      <w:r w:rsidR="00B06080">
        <w:rPr>
          <w:rFonts w:ascii="Times New Roman" w:hAnsi="Times New Roman"/>
          <w:color w:val="000000"/>
          <w:sz w:val="28"/>
          <w:szCs w:val="28"/>
        </w:rPr>
        <w:t xml:space="preserve"> </w:t>
      </w:r>
      <w:r w:rsidRPr="00944043">
        <w:rPr>
          <w:rFonts w:ascii="Times New Roman" w:hAnsi="Times New Roman"/>
          <w:color w:val="000000"/>
          <w:sz w:val="28"/>
          <w:szCs w:val="28"/>
        </w:rPr>
        <w:t>антимонопольного законодательства;</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открытость антимонопольной политики;</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ответственность органов государственной власти и органов</w:t>
      </w:r>
      <w:r w:rsidR="00D73353">
        <w:rPr>
          <w:rFonts w:ascii="Times New Roman" w:hAnsi="Times New Roman"/>
          <w:color w:val="000000"/>
          <w:sz w:val="28"/>
          <w:szCs w:val="28"/>
        </w:rPr>
        <w:t xml:space="preserve"> </w:t>
      </w:r>
      <w:r w:rsidRPr="00944043">
        <w:rPr>
          <w:rFonts w:ascii="Times New Roman" w:hAnsi="Times New Roman"/>
          <w:color w:val="000000"/>
          <w:sz w:val="28"/>
          <w:szCs w:val="28"/>
        </w:rPr>
        <w:t>местного самоуправления за реализацию государственной политики по</w:t>
      </w:r>
      <w:r w:rsidR="00D73353">
        <w:rPr>
          <w:rFonts w:ascii="Times New Roman" w:hAnsi="Times New Roman"/>
          <w:color w:val="000000"/>
          <w:sz w:val="28"/>
          <w:szCs w:val="28"/>
        </w:rPr>
        <w:t xml:space="preserve"> </w:t>
      </w:r>
      <w:r w:rsidRPr="00944043">
        <w:rPr>
          <w:rFonts w:ascii="Times New Roman" w:hAnsi="Times New Roman"/>
          <w:color w:val="000000"/>
          <w:sz w:val="28"/>
          <w:szCs w:val="28"/>
        </w:rPr>
        <w:t>развитию конкуренции;</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измеримость результатов государственной политики по</w:t>
      </w:r>
      <w:r w:rsidR="00D73353">
        <w:rPr>
          <w:rFonts w:ascii="Times New Roman" w:hAnsi="Times New Roman"/>
          <w:color w:val="000000"/>
          <w:sz w:val="28"/>
          <w:szCs w:val="28"/>
        </w:rPr>
        <w:t xml:space="preserve"> </w:t>
      </w:r>
      <w:r w:rsidRPr="00944043">
        <w:rPr>
          <w:rFonts w:ascii="Times New Roman" w:hAnsi="Times New Roman"/>
          <w:color w:val="000000"/>
          <w:sz w:val="28"/>
          <w:szCs w:val="28"/>
        </w:rPr>
        <w:t>развитию конкуренции;</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стимулирование со стороны государства добросовестн</w:t>
      </w:r>
      <w:r w:rsidR="005766E4">
        <w:rPr>
          <w:rFonts w:ascii="Times New Roman" w:hAnsi="Times New Roman"/>
          <w:color w:val="000000"/>
          <w:sz w:val="28"/>
          <w:szCs w:val="28"/>
        </w:rPr>
        <w:t>ой</w:t>
      </w:r>
      <w:r w:rsidR="00D73353">
        <w:rPr>
          <w:rFonts w:ascii="Times New Roman" w:hAnsi="Times New Roman"/>
          <w:color w:val="000000"/>
          <w:sz w:val="28"/>
          <w:szCs w:val="28"/>
        </w:rPr>
        <w:t xml:space="preserve"> </w:t>
      </w:r>
      <w:r w:rsidRPr="00944043">
        <w:rPr>
          <w:rFonts w:ascii="Times New Roman" w:hAnsi="Times New Roman"/>
          <w:color w:val="000000"/>
          <w:sz w:val="28"/>
          <w:szCs w:val="28"/>
        </w:rPr>
        <w:t>практик</w:t>
      </w:r>
      <w:r w:rsidR="005766E4">
        <w:rPr>
          <w:rFonts w:ascii="Times New Roman" w:hAnsi="Times New Roman"/>
          <w:color w:val="000000"/>
          <w:sz w:val="28"/>
          <w:szCs w:val="28"/>
        </w:rPr>
        <w:t>и</w:t>
      </w:r>
      <w:r w:rsidRPr="00944043">
        <w:rPr>
          <w:rFonts w:ascii="Times New Roman" w:hAnsi="Times New Roman"/>
          <w:color w:val="000000"/>
          <w:sz w:val="28"/>
          <w:szCs w:val="28"/>
        </w:rPr>
        <w:t xml:space="preserve"> осуществления хозяйственной деятельности;</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развитие организованной (биржевой) торговли в</w:t>
      </w:r>
      <w:r w:rsidR="00553266">
        <w:rPr>
          <w:rFonts w:ascii="Times New Roman" w:hAnsi="Times New Roman"/>
          <w:color w:val="000000"/>
          <w:sz w:val="28"/>
          <w:szCs w:val="28"/>
        </w:rPr>
        <w:t xml:space="preserve"> </w:t>
      </w:r>
      <w:r w:rsidRPr="00944043">
        <w:rPr>
          <w:rFonts w:ascii="Times New Roman" w:hAnsi="Times New Roman"/>
          <w:color w:val="000000"/>
          <w:sz w:val="28"/>
          <w:szCs w:val="28"/>
        </w:rPr>
        <w:t>Российской</w:t>
      </w:r>
      <w:r w:rsidR="00F61C13">
        <w:rPr>
          <w:rFonts w:ascii="Times New Roman" w:hAnsi="Times New Roman"/>
          <w:color w:val="000000"/>
          <w:sz w:val="28"/>
          <w:szCs w:val="28"/>
        </w:rPr>
        <w:t xml:space="preserve"> </w:t>
      </w:r>
      <w:r w:rsidRPr="00944043">
        <w:rPr>
          <w:rFonts w:ascii="Times New Roman" w:hAnsi="Times New Roman"/>
          <w:color w:val="000000"/>
          <w:sz w:val="28"/>
          <w:szCs w:val="28"/>
        </w:rPr>
        <w:t>Федерации;</w:t>
      </w:r>
    </w:p>
    <w:p w:rsidR="00944043" w:rsidRPr="00B963DF" w:rsidRDefault="00944043" w:rsidP="004D2C9E">
      <w:pPr>
        <w:autoSpaceDE w:val="0"/>
        <w:autoSpaceDN w:val="0"/>
        <w:adjustRightInd w:val="0"/>
        <w:spacing w:after="0" w:line="240" w:lineRule="auto"/>
        <w:ind w:firstLine="709"/>
        <w:jc w:val="both"/>
        <w:rPr>
          <w:rFonts w:ascii="Times New Roman" w:hAnsi="Times New Roman"/>
          <w:color w:val="000000"/>
          <w:spacing w:val="-4"/>
          <w:sz w:val="28"/>
          <w:szCs w:val="28"/>
        </w:rPr>
      </w:pPr>
      <w:r w:rsidRPr="00B963DF">
        <w:rPr>
          <w:rFonts w:ascii="Times New Roman" w:hAnsi="Times New Roman"/>
          <w:color w:val="000000"/>
          <w:spacing w:val="-4"/>
          <w:sz w:val="28"/>
          <w:szCs w:val="28"/>
        </w:rPr>
        <w:t>информационная открытость деятельности инфраструктурных</w:t>
      </w:r>
      <w:r w:rsidR="00F61C13" w:rsidRPr="00B963DF">
        <w:rPr>
          <w:rFonts w:ascii="Times New Roman" w:hAnsi="Times New Roman"/>
          <w:color w:val="000000"/>
          <w:spacing w:val="-4"/>
          <w:sz w:val="28"/>
          <w:szCs w:val="28"/>
        </w:rPr>
        <w:t xml:space="preserve"> </w:t>
      </w:r>
      <w:r w:rsidRPr="00B963DF">
        <w:rPr>
          <w:rFonts w:ascii="Times New Roman" w:hAnsi="Times New Roman"/>
          <w:color w:val="000000"/>
          <w:spacing w:val="-4"/>
          <w:sz w:val="28"/>
          <w:szCs w:val="28"/>
        </w:rPr>
        <w:t>монополий;</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обеспечение прозрачности закупок товаров, работ, услуг для</w:t>
      </w:r>
      <w:r w:rsidR="00F61C13">
        <w:rPr>
          <w:rFonts w:ascii="Times New Roman" w:hAnsi="Times New Roman"/>
          <w:color w:val="000000"/>
          <w:sz w:val="28"/>
          <w:szCs w:val="28"/>
        </w:rPr>
        <w:t xml:space="preserve"> </w:t>
      </w:r>
      <w:r w:rsidRPr="00944043">
        <w:rPr>
          <w:rFonts w:ascii="Times New Roman" w:hAnsi="Times New Roman"/>
          <w:color w:val="000000"/>
          <w:sz w:val="28"/>
          <w:szCs w:val="28"/>
        </w:rPr>
        <w:t>государственных и муниципальных нужд, а также закупок товаров,</w:t>
      </w:r>
      <w:r w:rsidR="00F61C13">
        <w:rPr>
          <w:rFonts w:ascii="Times New Roman" w:hAnsi="Times New Roman"/>
          <w:color w:val="000000"/>
          <w:sz w:val="28"/>
          <w:szCs w:val="28"/>
        </w:rPr>
        <w:t xml:space="preserve"> </w:t>
      </w:r>
      <w:r w:rsidRPr="00944043">
        <w:rPr>
          <w:rFonts w:ascii="Times New Roman" w:hAnsi="Times New Roman"/>
          <w:color w:val="000000"/>
          <w:sz w:val="28"/>
          <w:szCs w:val="28"/>
        </w:rPr>
        <w:t>работ 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услуг</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инфраструктурными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монополиями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компаниями</w:t>
      </w:r>
      <w:r w:rsidR="004D2C9E">
        <w:rPr>
          <w:rFonts w:ascii="Times New Roman" w:hAnsi="Times New Roman"/>
          <w:color w:val="000000"/>
          <w:sz w:val="28"/>
          <w:szCs w:val="28"/>
        </w:rPr>
        <w:t xml:space="preserve"> </w:t>
      </w:r>
      <w:r w:rsidRPr="00944043">
        <w:rPr>
          <w:rFonts w:ascii="Times New Roman" w:hAnsi="Times New Roman"/>
          <w:color w:val="000000"/>
          <w:sz w:val="28"/>
          <w:szCs w:val="28"/>
        </w:rPr>
        <w:t>с</w:t>
      </w:r>
      <w:r w:rsidR="00F61C13">
        <w:rPr>
          <w:rFonts w:ascii="Times New Roman" w:hAnsi="Times New Roman"/>
          <w:color w:val="000000"/>
          <w:sz w:val="28"/>
          <w:szCs w:val="28"/>
        </w:rPr>
        <w:t xml:space="preserve"> </w:t>
      </w:r>
      <w:r w:rsidRPr="00944043">
        <w:rPr>
          <w:rFonts w:ascii="Times New Roman" w:hAnsi="Times New Roman"/>
          <w:color w:val="000000"/>
          <w:sz w:val="28"/>
          <w:szCs w:val="28"/>
        </w:rPr>
        <w:t>государственным участием;</w:t>
      </w:r>
    </w:p>
    <w:p w:rsidR="00944043" w:rsidRP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внедрение риск-ориентированного подхода в деятельности</w:t>
      </w:r>
      <w:r w:rsidR="00F61C13">
        <w:rPr>
          <w:rFonts w:ascii="Times New Roman" w:hAnsi="Times New Roman"/>
          <w:color w:val="000000"/>
          <w:sz w:val="28"/>
          <w:szCs w:val="28"/>
        </w:rPr>
        <w:t xml:space="preserve"> </w:t>
      </w:r>
      <w:r w:rsidRPr="00944043">
        <w:rPr>
          <w:rFonts w:ascii="Times New Roman" w:hAnsi="Times New Roman"/>
          <w:color w:val="000000"/>
          <w:sz w:val="28"/>
          <w:szCs w:val="28"/>
        </w:rPr>
        <w:t>органов государственного контроля (надзора);</w:t>
      </w:r>
    </w:p>
    <w:p w:rsidR="00944043" w:rsidRDefault="00944043" w:rsidP="004D2C9E">
      <w:pPr>
        <w:autoSpaceDE w:val="0"/>
        <w:autoSpaceDN w:val="0"/>
        <w:adjustRightInd w:val="0"/>
        <w:spacing w:after="0" w:line="240" w:lineRule="auto"/>
        <w:ind w:firstLine="709"/>
        <w:jc w:val="both"/>
        <w:rPr>
          <w:rFonts w:ascii="Times New Roman" w:hAnsi="Times New Roman"/>
          <w:color w:val="000000"/>
          <w:sz w:val="28"/>
          <w:szCs w:val="28"/>
        </w:rPr>
      </w:pPr>
      <w:r w:rsidRPr="00944043">
        <w:rPr>
          <w:rFonts w:ascii="Times New Roman" w:hAnsi="Times New Roman"/>
          <w:color w:val="000000"/>
          <w:sz w:val="28"/>
          <w:szCs w:val="28"/>
        </w:rPr>
        <w:t>совершенствование антимонопольного регулирования в условиях</w:t>
      </w:r>
      <w:r w:rsidR="00F61C13">
        <w:rPr>
          <w:rFonts w:ascii="Times New Roman" w:hAnsi="Times New Roman"/>
          <w:color w:val="000000"/>
          <w:sz w:val="28"/>
          <w:szCs w:val="28"/>
        </w:rPr>
        <w:t xml:space="preserve"> </w:t>
      </w:r>
      <w:r w:rsidRPr="00944043">
        <w:rPr>
          <w:rFonts w:ascii="Times New Roman" w:hAnsi="Times New Roman"/>
          <w:color w:val="000000"/>
          <w:sz w:val="28"/>
          <w:szCs w:val="28"/>
        </w:rPr>
        <w:t>развития цифровой экономики и ее глобализации в целях эффективного</w:t>
      </w:r>
      <w:r w:rsidR="00F61C13">
        <w:rPr>
          <w:rFonts w:ascii="Times New Roman" w:hAnsi="Times New Roman"/>
          <w:color w:val="000000"/>
          <w:sz w:val="28"/>
          <w:szCs w:val="28"/>
        </w:rPr>
        <w:t xml:space="preserve"> </w:t>
      </w:r>
      <w:r w:rsidRPr="00944043">
        <w:rPr>
          <w:rFonts w:ascii="Times New Roman" w:hAnsi="Times New Roman"/>
          <w:color w:val="000000"/>
          <w:sz w:val="28"/>
          <w:szCs w:val="28"/>
        </w:rPr>
        <w:t>пресечения нарушений антимонопольного законодательства, носящих</w:t>
      </w:r>
      <w:r w:rsidR="00F61C13">
        <w:rPr>
          <w:rFonts w:ascii="Times New Roman" w:hAnsi="Times New Roman"/>
          <w:color w:val="000000"/>
          <w:sz w:val="28"/>
          <w:szCs w:val="28"/>
        </w:rPr>
        <w:t xml:space="preserve"> </w:t>
      </w:r>
      <w:r w:rsidRPr="00944043">
        <w:rPr>
          <w:rFonts w:ascii="Times New Roman" w:hAnsi="Times New Roman"/>
          <w:color w:val="000000"/>
          <w:sz w:val="28"/>
          <w:szCs w:val="28"/>
        </w:rPr>
        <w:t>трансграничный характер, и повышения конкурентоспособности</w:t>
      </w:r>
      <w:r w:rsidR="00F61C13">
        <w:rPr>
          <w:rFonts w:ascii="Times New Roman" w:hAnsi="Times New Roman"/>
          <w:color w:val="000000"/>
          <w:sz w:val="28"/>
          <w:szCs w:val="28"/>
        </w:rPr>
        <w:t xml:space="preserve"> </w:t>
      </w:r>
      <w:r w:rsidRPr="00944043">
        <w:rPr>
          <w:rFonts w:ascii="Times New Roman" w:hAnsi="Times New Roman"/>
          <w:color w:val="000000"/>
          <w:sz w:val="28"/>
          <w:szCs w:val="28"/>
        </w:rPr>
        <w:t>российских компаний на мировых рынках.</w:t>
      </w:r>
    </w:p>
    <w:p w:rsidR="00C4722A" w:rsidRPr="00944043" w:rsidRDefault="00C4722A"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Важно отметить, что одной из задач Национального плана по развитию конкуренции является сокращение практики заключения договоров с </w:t>
      </w:r>
      <w:r w:rsidR="004D2C9E">
        <w:rPr>
          <w:rFonts w:ascii="Times New Roman" w:hAnsi="Times New Roman"/>
          <w:color w:val="000000"/>
          <w:sz w:val="28"/>
          <w:szCs w:val="28"/>
        </w:rPr>
        <w:t>«</w:t>
      </w:r>
      <w:r>
        <w:rPr>
          <w:rFonts w:ascii="Times New Roman" w:hAnsi="Times New Roman"/>
          <w:color w:val="000000"/>
          <w:sz w:val="28"/>
          <w:szCs w:val="28"/>
        </w:rPr>
        <w:t>единственным поставщиком</w:t>
      </w:r>
      <w:r w:rsidR="004D2C9E">
        <w:rPr>
          <w:rFonts w:ascii="Times New Roman" w:hAnsi="Times New Roman"/>
          <w:color w:val="000000"/>
          <w:sz w:val="28"/>
          <w:szCs w:val="28"/>
        </w:rPr>
        <w:t>»</w:t>
      </w:r>
      <w:r>
        <w:rPr>
          <w:rFonts w:ascii="Times New Roman" w:hAnsi="Times New Roman"/>
          <w:color w:val="000000"/>
          <w:sz w:val="28"/>
          <w:szCs w:val="28"/>
        </w:rPr>
        <w:t xml:space="preserve"> в закупочной деятельности.</w:t>
      </w:r>
    </w:p>
    <w:p w:rsidR="00706F86" w:rsidRPr="00771A3D" w:rsidRDefault="0037459F" w:rsidP="0037459F">
      <w:pPr>
        <w:pStyle w:val="a7"/>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2. </w:t>
      </w:r>
      <w:r w:rsidR="002A3F60" w:rsidRPr="00771A3D">
        <w:rPr>
          <w:rFonts w:ascii="Times New Roman" w:hAnsi="Times New Roman"/>
          <w:color w:val="000000"/>
          <w:sz w:val="28"/>
          <w:szCs w:val="28"/>
        </w:rPr>
        <w:t>Указом Президента Российской Федерации от 7</w:t>
      </w:r>
      <w:r w:rsidR="00431C08">
        <w:rPr>
          <w:rFonts w:ascii="Times New Roman" w:hAnsi="Times New Roman"/>
          <w:color w:val="000000"/>
          <w:sz w:val="28"/>
          <w:szCs w:val="28"/>
        </w:rPr>
        <w:t xml:space="preserve"> мая </w:t>
      </w:r>
      <w:r w:rsidR="002A3F60" w:rsidRPr="00771A3D">
        <w:rPr>
          <w:rFonts w:ascii="Times New Roman" w:hAnsi="Times New Roman"/>
          <w:color w:val="000000"/>
          <w:sz w:val="28"/>
          <w:szCs w:val="28"/>
        </w:rPr>
        <w:t>2018</w:t>
      </w:r>
      <w:r w:rsidR="00431C08">
        <w:rPr>
          <w:rFonts w:ascii="Times New Roman" w:hAnsi="Times New Roman"/>
          <w:color w:val="000000"/>
          <w:sz w:val="28"/>
          <w:szCs w:val="28"/>
        </w:rPr>
        <w:t xml:space="preserve"> года</w:t>
      </w:r>
      <w:r w:rsidR="002A3F60" w:rsidRPr="00771A3D">
        <w:rPr>
          <w:rFonts w:ascii="Times New Roman" w:hAnsi="Times New Roman"/>
          <w:color w:val="000000"/>
          <w:sz w:val="28"/>
          <w:szCs w:val="28"/>
        </w:rPr>
        <w:t xml:space="preserve"> </w:t>
      </w:r>
      <w:r w:rsidR="00E720B2">
        <w:rPr>
          <w:rFonts w:ascii="Times New Roman" w:hAnsi="Times New Roman"/>
          <w:color w:val="000000"/>
          <w:sz w:val="28"/>
          <w:szCs w:val="28"/>
        </w:rPr>
        <w:t>№ </w:t>
      </w:r>
      <w:r w:rsidR="002A3F60" w:rsidRPr="00771A3D">
        <w:rPr>
          <w:rFonts w:ascii="Times New Roman" w:hAnsi="Times New Roman"/>
          <w:color w:val="000000"/>
          <w:sz w:val="28"/>
          <w:szCs w:val="28"/>
        </w:rPr>
        <w:t xml:space="preserve">204 утверждены </w:t>
      </w:r>
      <w:r w:rsidR="002A3F60" w:rsidRPr="00431C08">
        <w:rPr>
          <w:rFonts w:ascii="Times New Roman" w:hAnsi="Times New Roman"/>
          <w:color w:val="000000"/>
          <w:sz w:val="28"/>
          <w:szCs w:val="28"/>
        </w:rPr>
        <w:t>Национальные цели и стратегические задачи развития Российской Федерации на период до 2024 года</w:t>
      </w:r>
      <w:r w:rsidR="00771A3D" w:rsidRPr="00431C08">
        <w:rPr>
          <w:rFonts w:ascii="Times New Roman" w:hAnsi="Times New Roman"/>
          <w:color w:val="000000"/>
          <w:sz w:val="28"/>
          <w:szCs w:val="28"/>
        </w:rPr>
        <w:t>,</w:t>
      </w:r>
      <w:r w:rsidR="00771A3D" w:rsidRPr="00771A3D">
        <w:rPr>
          <w:rFonts w:ascii="Times New Roman" w:hAnsi="Times New Roman"/>
          <w:color w:val="000000"/>
          <w:sz w:val="28"/>
          <w:szCs w:val="28"/>
        </w:rPr>
        <w:t xml:space="preserve"> направленные на достижение прорывного научно-технологического и социально-экономического развития Российской Федерации, увеличени</w:t>
      </w:r>
      <w:r w:rsidR="005766E4">
        <w:rPr>
          <w:rFonts w:ascii="Times New Roman" w:hAnsi="Times New Roman"/>
          <w:color w:val="000000"/>
          <w:sz w:val="28"/>
          <w:szCs w:val="28"/>
        </w:rPr>
        <w:t>е</w:t>
      </w:r>
      <w:r w:rsidR="00771A3D" w:rsidRPr="00771A3D">
        <w:rPr>
          <w:rFonts w:ascii="Times New Roman" w:hAnsi="Times New Roman"/>
          <w:color w:val="000000"/>
          <w:sz w:val="28"/>
          <w:szCs w:val="28"/>
        </w:rPr>
        <w:t xml:space="preserve"> численности</w:t>
      </w:r>
      <w:r w:rsidR="004D2C9E">
        <w:rPr>
          <w:rFonts w:ascii="Times New Roman" w:hAnsi="Times New Roman"/>
          <w:color w:val="000000"/>
          <w:sz w:val="28"/>
          <w:szCs w:val="28"/>
        </w:rPr>
        <w:t xml:space="preserve"> </w:t>
      </w:r>
      <w:r w:rsidR="00771A3D" w:rsidRPr="00771A3D">
        <w:rPr>
          <w:rFonts w:ascii="Times New Roman" w:hAnsi="Times New Roman"/>
          <w:color w:val="000000"/>
          <w:sz w:val="28"/>
          <w:szCs w:val="28"/>
        </w:rPr>
        <w:t>населения</w:t>
      </w:r>
      <w:r w:rsidR="004D2C9E">
        <w:rPr>
          <w:rFonts w:ascii="Times New Roman" w:hAnsi="Times New Roman"/>
          <w:color w:val="000000"/>
          <w:sz w:val="28"/>
          <w:szCs w:val="28"/>
        </w:rPr>
        <w:t xml:space="preserve"> </w:t>
      </w:r>
      <w:r w:rsidR="00771A3D" w:rsidRPr="00771A3D">
        <w:rPr>
          <w:rFonts w:ascii="Times New Roman" w:hAnsi="Times New Roman"/>
          <w:color w:val="000000"/>
          <w:sz w:val="28"/>
          <w:szCs w:val="28"/>
        </w:rPr>
        <w:t>страны, повышени</w:t>
      </w:r>
      <w:r w:rsidR="005766E4">
        <w:rPr>
          <w:rFonts w:ascii="Times New Roman" w:hAnsi="Times New Roman"/>
          <w:color w:val="000000"/>
          <w:sz w:val="28"/>
          <w:szCs w:val="28"/>
        </w:rPr>
        <w:t>е</w:t>
      </w:r>
      <w:r w:rsidR="00771A3D" w:rsidRPr="00771A3D">
        <w:rPr>
          <w:rFonts w:ascii="Times New Roman" w:hAnsi="Times New Roman"/>
          <w:color w:val="000000"/>
          <w:sz w:val="28"/>
          <w:szCs w:val="28"/>
        </w:rPr>
        <w:t xml:space="preserve"> уровня жизни граждан, создани</w:t>
      </w:r>
      <w:r w:rsidR="005766E4">
        <w:rPr>
          <w:rFonts w:ascii="Times New Roman" w:hAnsi="Times New Roman"/>
          <w:color w:val="000000"/>
          <w:sz w:val="28"/>
          <w:szCs w:val="28"/>
        </w:rPr>
        <w:t>е</w:t>
      </w:r>
      <w:r w:rsidR="00771A3D" w:rsidRPr="00771A3D">
        <w:rPr>
          <w:rFonts w:ascii="Times New Roman" w:hAnsi="Times New Roman"/>
          <w:color w:val="000000"/>
          <w:sz w:val="28"/>
          <w:szCs w:val="28"/>
        </w:rPr>
        <w:t xml:space="preserve"> комфортных условий для их проживания, а</w:t>
      </w:r>
      <w:r w:rsidR="004D2C9E">
        <w:rPr>
          <w:rFonts w:ascii="Times New Roman" w:hAnsi="Times New Roman"/>
          <w:color w:val="000000"/>
          <w:sz w:val="28"/>
          <w:szCs w:val="28"/>
        </w:rPr>
        <w:t xml:space="preserve"> </w:t>
      </w:r>
      <w:r w:rsidR="00771A3D" w:rsidRPr="00771A3D">
        <w:rPr>
          <w:rFonts w:ascii="Times New Roman" w:hAnsi="Times New Roman"/>
          <w:color w:val="000000"/>
          <w:sz w:val="28"/>
          <w:szCs w:val="28"/>
        </w:rPr>
        <w:t>также условий</w:t>
      </w:r>
      <w:r w:rsidR="004D2C9E">
        <w:rPr>
          <w:rFonts w:ascii="Times New Roman" w:hAnsi="Times New Roman"/>
          <w:color w:val="000000"/>
          <w:sz w:val="28"/>
          <w:szCs w:val="28"/>
        </w:rPr>
        <w:t xml:space="preserve"> </w:t>
      </w:r>
      <w:r w:rsidR="00771A3D" w:rsidRPr="00771A3D">
        <w:rPr>
          <w:rFonts w:ascii="Times New Roman" w:hAnsi="Times New Roman"/>
          <w:color w:val="000000"/>
          <w:sz w:val="28"/>
          <w:szCs w:val="28"/>
        </w:rPr>
        <w:t>и возможностей</w:t>
      </w:r>
      <w:r w:rsidR="004D2C9E">
        <w:rPr>
          <w:rFonts w:ascii="Times New Roman" w:hAnsi="Times New Roman"/>
          <w:color w:val="000000"/>
          <w:sz w:val="28"/>
          <w:szCs w:val="28"/>
        </w:rPr>
        <w:t xml:space="preserve"> </w:t>
      </w:r>
      <w:r w:rsidR="00771A3D" w:rsidRPr="00771A3D">
        <w:rPr>
          <w:rFonts w:ascii="Times New Roman" w:hAnsi="Times New Roman"/>
          <w:color w:val="000000"/>
          <w:sz w:val="28"/>
          <w:szCs w:val="28"/>
        </w:rPr>
        <w:t>для</w:t>
      </w:r>
      <w:r w:rsidR="004D2C9E">
        <w:rPr>
          <w:rFonts w:ascii="Times New Roman" w:hAnsi="Times New Roman"/>
          <w:color w:val="000000"/>
          <w:sz w:val="28"/>
          <w:szCs w:val="28"/>
        </w:rPr>
        <w:t xml:space="preserve"> </w:t>
      </w:r>
      <w:r w:rsidR="00771A3D" w:rsidRPr="00771A3D">
        <w:rPr>
          <w:rFonts w:ascii="Times New Roman" w:hAnsi="Times New Roman"/>
          <w:color w:val="000000"/>
          <w:sz w:val="28"/>
          <w:szCs w:val="28"/>
        </w:rPr>
        <w:t>самореализации и раскрытия таланта каждого</w:t>
      </w:r>
      <w:r w:rsidR="00771A3D">
        <w:rPr>
          <w:rFonts w:ascii="Times New Roman" w:hAnsi="Times New Roman"/>
          <w:color w:val="000000"/>
          <w:sz w:val="28"/>
          <w:szCs w:val="28"/>
        </w:rPr>
        <w:t xml:space="preserve"> </w:t>
      </w:r>
      <w:r w:rsidR="00771A3D" w:rsidRPr="00771A3D">
        <w:rPr>
          <w:rFonts w:ascii="Times New Roman" w:hAnsi="Times New Roman"/>
          <w:color w:val="000000"/>
          <w:sz w:val="28"/>
          <w:szCs w:val="28"/>
        </w:rPr>
        <w:t>человека</w:t>
      </w:r>
      <w:r w:rsidR="00771A3D">
        <w:rPr>
          <w:rFonts w:ascii="Times New Roman" w:hAnsi="Times New Roman"/>
          <w:color w:val="000000"/>
          <w:sz w:val="28"/>
          <w:szCs w:val="28"/>
        </w:rPr>
        <w:t>.</w:t>
      </w:r>
    </w:p>
    <w:p w:rsidR="00743890" w:rsidRDefault="00A51018"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части развития цифровой экономики Указом Президента Российской Федерации предусматрива</w:t>
      </w:r>
      <w:r w:rsidR="004B088C">
        <w:rPr>
          <w:rFonts w:ascii="Times New Roman" w:hAnsi="Times New Roman"/>
          <w:color w:val="000000"/>
          <w:sz w:val="28"/>
          <w:szCs w:val="28"/>
        </w:rPr>
        <w:t>ю</w:t>
      </w:r>
      <w:r>
        <w:rPr>
          <w:rFonts w:ascii="Times New Roman" w:hAnsi="Times New Roman"/>
          <w:color w:val="000000"/>
          <w:sz w:val="28"/>
          <w:szCs w:val="28"/>
        </w:rPr>
        <w:t>тся</w:t>
      </w:r>
      <w:r w:rsidR="00743890">
        <w:rPr>
          <w:rFonts w:ascii="Times New Roman" w:hAnsi="Times New Roman"/>
          <w:color w:val="000000"/>
          <w:sz w:val="28"/>
          <w:szCs w:val="28"/>
        </w:rPr>
        <w:t>:</w:t>
      </w:r>
    </w:p>
    <w:p w:rsidR="00743890" w:rsidRDefault="00A51018"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необходимость </w:t>
      </w:r>
      <w:r w:rsidRPr="00A51018">
        <w:rPr>
          <w:rFonts w:ascii="Times New Roman" w:hAnsi="Times New Roman"/>
          <w:color w:val="000000"/>
          <w:sz w:val="28"/>
          <w:szCs w:val="28"/>
        </w:rPr>
        <w:t>создани</w:t>
      </w:r>
      <w:r>
        <w:rPr>
          <w:rFonts w:ascii="Times New Roman" w:hAnsi="Times New Roman"/>
          <w:color w:val="000000"/>
          <w:sz w:val="28"/>
          <w:szCs w:val="28"/>
        </w:rPr>
        <w:t>я</w:t>
      </w:r>
      <w:r w:rsidRPr="00A51018">
        <w:rPr>
          <w:rFonts w:ascii="Times New Roman" w:hAnsi="Times New Roman"/>
          <w:color w:val="000000"/>
          <w:sz w:val="28"/>
          <w:szCs w:val="28"/>
        </w:rPr>
        <w:t xml:space="preserve"> устойчивой и безопасной</w:t>
      </w:r>
      <w:r>
        <w:rPr>
          <w:rFonts w:ascii="Times New Roman" w:hAnsi="Times New Roman"/>
          <w:color w:val="000000"/>
          <w:sz w:val="28"/>
          <w:szCs w:val="28"/>
        </w:rPr>
        <w:t xml:space="preserve"> </w:t>
      </w:r>
      <w:r w:rsidRPr="00A51018">
        <w:rPr>
          <w:rFonts w:ascii="Times New Roman" w:hAnsi="Times New Roman"/>
          <w:color w:val="000000"/>
          <w:sz w:val="28"/>
          <w:szCs w:val="28"/>
        </w:rPr>
        <w:t>информационно-телекоммуникационной инфраструктуры высокоскоростной</w:t>
      </w:r>
      <w:r>
        <w:rPr>
          <w:rFonts w:ascii="Times New Roman" w:hAnsi="Times New Roman"/>
          <w:color w:val="000000"/>
          <w:sz w:val="28"/>
          <w:szCs w:val="28"/>
        </w:rPr>
        <w:t xml:space="preserve"> </w:t>
      </w:r>
      <w:r w:rsidRPr="00A51018">
        <w:rPr>
          <w:rFonts w:ascii="Times New Roman" w:hAnsi="Times New Roman"/>
          <w:color w:val="000000"/>
          <w:sz w:val="28"/>
          <w:szCs w:val="28"/>
        </w:rPr>
        <w:t>передачи, обработки и хранения больших объемов данных,</w:t>
      </w:r>
      <w:r w:rsidR="004D2C9E">
        <w:rPr>
          <w:rFonts w:ascii="Times New Roman" w:hAnsi="Times New Roman"/>
          <w:color w:val="000000"/>
          <w:sz w:val="28"/>
          <w:szCs w:val="28"/>
        </w:rPr>
        <w:t xml:space="preserve"> </w:t>
      </w:r>
      <w:r w:rsidRPr="00A51018">
        <w:rPr>
          <w:rFonts w:ascii="Times New Roman" w:hAnsi="Times New Roman"/>
          <w:color w:val="000000"/>
          <w:sz w:val="28"/>
          <w:szCs w:val="28"/>
        </w:rPr>
        <w:t>доступной</w:t>
      </w:r>
      <w:r>
        <w:rPr>
          <w:rFonts w:ascii="Times New Roman" w:hAnsi="Times New Roman"/>
          <w:color w:val="000000"/>
          <w:sz w:val="28"/>
          <w:szCs w:val="28"/>
        </w:rPr>
        <w:t xml:space="preserve"> </w:t>
      </w:r>
      <w:r w:rsidRPr="00A51018">
        <w:rPr>
          <w:rFonts w:ascii="Times New Roman" w:hAnsi="Times New Roman"/>
          <w:color w:val="000000"/>
          <w:sz w:val="28"/>
          <w:szCs w:val="28"/>
        </w:rPr>
        <w:t>для всех организаций и домохозяйств;</w:t>
      </w:r>
      <w:r>
        <w:rPr>
          <w:rFonts w:ascii="Times New Roman" w:hAnsi="Times New Roman"/>
          <w:color w:val="000000"/>
          <w:sz w:val="28"/>
          <w:szCs w:val="28"/>
        </w:rPr>
        <w:t xml:space="preserve"> </w:t>
      </w:r>
    </w:p>
    <w:p w:rsidR="00743890" w:rsidRDefault="00A51018" w:rsidP="004D2C9E">
      <w:pPr>
        <w:autoSpaceDE w:val="0"/>
        <w:autoSpaceDN w:val="0"/>
        <w:adjustRightInd w:val="0"/>
        <w:spacing w:after="0" w:line="240" w:lineRule="auto"/>
        <w:ind w:firstLine="709"/>
        <w:jc w:val="both"/>
        <w:rPr>
          <w:rFonts w:ascii="Times New Roman" w:hAnsi="Times New Roman"/>
          <w:color w:val="000000"/>
          <w:sz w:val="28"/>
          <w:szCs w:val="28"/>
        </w:rPr>
      </w:pPr>
      <w:r w:rsidRPr="00A51018">
        <w:rPr>
          <w:rFonts w:ascii="Times New Roman" w:hAnsi="Times New Roman"/>
          <w:color w:val="000000"/>
          <w:sz w:val="28"/>
          <w:szCs w:val="28"/>
        </w:rPr>
        <w:t>использование преимущественно отечественного программного</w:t>
      </w:r>
      <w:r>
        <w:rPr>
          <w:rFonts w:ascii="Times New Roman" w:hAnsi="Times New Roman"/>
          <w:color w:val="000000"/>
          <w:sz w:val="28"/>
          <w:szCs w:val="28"/>
        </w:rPr>
        <w:t xml:space="preserve"> </w:t>
      </w:r>
      <w:r w:rsidRPr="00A51018">
        <w:rPr>
          <w:rFonts w:ascii="Times New Roman" w:hAnsi="Times New Roman"/>
          <w:color w:val="000000"/>
          <w:sz w:val="28"/>
          <w:szCs w:val="28"/>
        </w:rPr>
        <w:t>обеспечения государственными органами, органами местного</w:t>
      </w:r>
      <w:r>
        <w:rPr>
          <w:rFonts w:ascii="Times New Roman" w:hAnsi="Times New Roman"/>
          <w:color w:val="000000"/>
          <w:sz w:val="28"/>
          <w:szCs w:val="28"/>
        </w:rPr>
        <w:t xml:space="preserve"> </w:t>
      </w:r>
      <w:r w:rsidRPr="00A51018">
        <w:rPr>
          <w:rFonts w:ascii="Times New Roman" w:hAnsi="Times New Roman"/>
          <w:color w:val="000000"/>
          <w:sz w:val="28"/>
          <w:szCs w:val="28"/>
        </w:rPr>
        <w:t>самоуправления и организациями;</w:t>
      </w:r>
      <w:r>
        <w:rPr>
          <w:rFonts w:ascii="Times New Roman" w:hAnsi="Times New Roman"/>
          <w:color w:val="000000"/>
          <w:sz w:val="28"/>
          <w:szCs w:val="28"/>
        </w:rPr>
        <w:t xml:space="preserve"> </w:t>
      </w:r>
    </w:p>
    <w:p w:rsidR="00743890" w:rsidRDefault="00A51018" w:rsidP="004D2C9E">
      <w:pPr>
        <w:autoSpaceDE w:val="0"/>
        <w:autoSpaceDN w:val="0"/>
        <w:adjustRightInd w:val="0"/>
        <w:spacing w:after="0" w:line="240" w:lineRule="auto"/>
        <w:ind w:firstLine="709"/>
        <w:jc w:val="both"/>
        <w:rPr>
          <w:rFonts w:ascii="Times New Roman" w:hAnsi="Times New Roman"/>
          <w:color w:val="000000"/>
          <w:sz w:val="28"/>
          <w:szCs w:val="28"/>
        </w:rPr>
      </w:pPr>
      <w:r w:rsidRPr="00A51018">
        <w:rPr>
          <w:rFonts w:ascii="Times New Roman" w:hAnsi="Times New Roman"/>
          <w:color w:val="000000"/>
          <w:sz w:val="28"/>
          <w:szCs w:val="28"/>
        </w:rPr>
        <w:t>создание системы правового регулирования цифровой экономики,</w:t>
      </w:r>
      <w:r>
        <w:rPr>
          <w:rFonts w:ascii="Times New Roman" w:hAnsi="Times New Roman"/>
          <w:color w:val="000000"/>
          <w:sz w:val="28"/>
          <w:szCs w:val="28"/>
        </w:rPr>
        <w:t xml:space="preserve"> </w:t>
      </w:r>
      <w:r w:rsidRPr="00A51018">
        <w:rPr>
          <w:rFonts w:ascii="Times New Roman" w:hAnsi="Times New Roman"/>
          <w:color w:val="000000"/>
          <w:sz w:val="28"/>
          <w:szCs w:val="28"/>
        </w:rPr>
        <w:t>основанного на гибком подходе в каждой сфере, а также внедрение</w:t>
      </w:r>
      <w:r>
        <w:rPr>
          <w:rFonts w:ascii="Times New Roman" w:hAnsi="Times New Roman"/>
          <w:color w:val="000000"/>
          <w:sz w:val="28"/>
          <w:szCs w:val="28"/>
        </w:rPr>
        <w:t xml:space="preserve"> </w:t>
      </w:r>
      <w:r w:rsidRPr="00A51018">
        <w:rPr>
          <w:rFonts w:ascii="Times New Roman" w:hAnsi="Times New Roman"/>
          <w:color w:val="000000"/>
          <w:sz w:val="28"/>
          <w:szCs w:val="28"/>
        </w:rPr>
        <w:t>гражданского оборота на базе цифровых технологий;</w:t>
      </w:r>
      <w:r>
        <w:rPr>
          <w:rFonts w:ascii="Times New Roman" w:hAnsi="Times New Roman"/>
          <w:color w:val="000000"/>
          <w:sz w:val="28"/>
          <w:szCs w:val="28"/>
        </w:rPr>
        <w:t xml:space="preserve"> </w:t>
      </w:r>
    </w:p>
    <w:p w:rsidR="002A3F60" w:rsidRPr="002A3F60" w:rsidRDefault="00A51018" w:rsidP="004D2C9E">
      <w:pPr>
        <w:autoSpaceDE w:val="0"/>
        <w:autoSpaceDN w:val="0"/>
        <w:adjustRightInd w:val="0"/>
        <w:spacing w:after="0" w:line="240" w:lineRule="auto"/>
        <w:ind w:firstLine="709"/>
        <w:jc w:val="both"/>
        <w:rPr>
          <w:rFonts w:ascii="Times New Roman" w:hAnsi="Times New Roman"/>
          <w:color w:val="000000"/>
          <w:sz w:val="28"/>
          <w:szCs w:val="28"/>
        </w:rPr>
      </w:pPr>
      <w:r w:rsidRPr="00A51018">
        <w:rPr>
          <w:rFonts w:ascii="Times New Roman" w:hAnsi="Times New Roman"/>
          <w:color w:val="000000"/>
          <w:sz w:val="28"/>
          <w:szCs w:val="28"/>
        </w:rPr>
        <w:t>создание глобальной конкурентоспособной инфраструктуры</w:t>
      </w:r>
      <w:r>
        <w:rPr>
          <w:rFonts w:ascii="Times New Roman" w:hAnsi="Times New Roman"/>
          <w:color w:val="000000"/>
          <w:sz w:val="28"/>
          <w:szCs w:val="28"/>
        </w:rPr>
        <w:t xml:space="preserve"> </w:t>
      </w:r>
      <w:r w:rsidRPr="00A51018">
        <w:rPr>
          <w:rFonts w:ascii="Times New Roman" w:hAnsi="Times New Roman"/>
          <w:color w:val="000000"/>
          <w:sz w:val="28"/>
          <w:szCs w:val="28"/>
        </w:rPr>
        <w:t>передачи, обработки и хранения данных преимущественно на основе</w:t>
      </w:r>
      <w:r>
        <w:rPr>
          <w:rFonts w:ascii="Times New Roman" w:hAnsi="Times New Roman"/>
          <w:color w:val="000000"/>
          <w:sz w:val="28"/>
          <w:szCs w:val="28"/>
        </w:rPr>
        <w:t xml:space="preserve"> </w:t>
      </w:r>
      <w:r w:rsidRPr="00A51018">
        <w:rPr>
          <w:rFonts w:ascii="Times New Roman" w:hAnsi="Times New Roman"/>
          <w:color w:val="000000"/>
          <w:sz w:val="28"/>
          <w:szCs w:val="28"/>
        </w:rPr>
        <w:t>отечественных разработок</w:t>
      </w:r>
      <w:r>
        <w:rPr>
          <w:rFonts w:ascii="Times New Roman" w:hAnsi="Times New Roman"/>
          <w:color w:val="000000"/>
          <w:sz w:val="28"/>
          <w:szCs w:val="28"/>
        </w:rPr>
        <w:t>.</w:t>
      </w:r>
    </w:p>
    <w:p w:rsidR="0068434D" w:rsidRPr="00706F86" w:rsidRDefault="0037459F" w:rsidP="0037459F">
      <w:pPr>
        <w:pStyle w:val="a7"/>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3. </w:t>
      </w:r>
      <w:r w:rsidR="0068434D" w:rsidRPr="00706F86">
        <w:rPr>
          <w:rFonts w:ascii="Times New Roman" w:hAnsi="Times New Roman"/>
          <w:color w:val="000000"/>
          <w:sz w:val="28"/>
          <w:szCs w:val="28"/>
        </w:rPr>
        <w:t>Распоряжением Правительства Российской Федерации от 28 июля 2017</w:t>
      </w:r>
      <w:r>
        <w:rPr>
          <w:rFonts w:ascii="Times New Roman" w:hAnsi="Times New Roman"/>
          <w:color w:val="000000"/>
          <w:sz w:val="28"/>
          <w:szCs w:val="28"/>
        </w:rPr>
        <w:t> </w:t>
      </w:r>
      <w:r w:rsidR="0068434D" w:rsidRPr="00706F86">
        <w:rPr>
          <w:rFonts w:ascii="Times New Roman" w:hAnsi="Times New Roman"/>
          <w:color w:val="000000"/>
          <w:sz w:val="28"/>
          <w:szCs w:val="28"/>
        </w:rPr>
        <w:t>г</w:t>
      </w:r>
      <w:r w:rsidR="00431C08">
        <w:rPr>
          <w:rFonts w:ascii="Times New Roman" w:hAnsi="Times New Roman"/>
          <w:color w:val="000000"/>
          <w:sz w:val="28"/>
          <w:szCs w:val="28"/>
        </w:rPr>
        <w:t>ода</w:t>
      </w:r>
      <w:r w:rsidR="0068434D" w:rsidRPr="00706F86">
        <w:rPr>
          <w:rFonts w:ascii="Times New Roman" w:hAnsi="Times New Roman"/>
          <w:color w:val="000000"/>
          <w:sz w:val="28"/>
          <w:szCs w:val="28"/>
        </w:rPr>
        <w:t xml:space="preserve"> </w:t>
      </w:r>
      <w:r w:rsidR="00E720B2">
        <w:rPr>
          <w:rFonts w:ascii="Times New Roman" w:hAnsi="Times New Roman"/>
          <w:color w:val="000000"/>
          <w:sz w:val="28"/>
          <w:szCs w:val="28"/>
        </w:rPr>
        <w:t>№ </w:t>
      </w:r>
      <w:r w:rsidR="0068434D" w:rsidRPr="00706F86">
        <w:rPr>
          <w:rFonts w:ascii="Times New Roman" w:hAnsi="Times New Roman"/>
          <w:color w:val="000000"/>
          <w:sz w:val="28"/>
          <w:szCs w:val="28"/>
        </w:rPr>
        <w:t xml:space="preserve">1632-р утверждена </w:t>
      </w:r>
      <w:r w:rsidR="0068434D" w:rsidRPr="00431C08">
        <w:rPr>
          <w:rFonts w:ascii="Times New Roman" w:hAnsi="Times New Roman"/>
          <w:color w:val="000000"/>
          <w:sz w:val="28"/>
          <w:szCs w:val="28"/>
        </w:rPr>
        <w:t xml:space="preserve">программа </w:t>
      </w:r>
      <w:r w:rsidR="004D2C9E">
        <w:rPr>
          <w:rFonts w:ascii="Times New Roman" w:hAnsi="Times New Roman"/>
          <w:color w:val="000000"/>
          <w:sz w:val="28"/>
          <w:szCs w:val="28"/>
        </w:rPr>
        <w:t>«</w:t>
      </w:r>
      <w:r w:rsidR="0068434D" w:rsidRPr="00431C08">
        <w:rPr>
          <w:rFonts w:ascii="Times New Roman" w:hAnsi="Times New Roman"/>
          <w:color w:val="000000"/>
          <w:sz w:val="28"/>
          <w:szCs w:val="28"/>
        </w:rPr>
        <w:t>Цифровая экономика Российской Федерации</w:t>
      </w:r>
      <w:r w:rsidR="004D2C9E">
        <w:rPr>
          <w:rFonts w:ascii="Times New Roman" w:hAnsi="Times New Roman"/>
          <w:color w:val="000000"/>
          <w:sz w:val="28"/>
          <w:szCs w:val="28"/>
        </w:rPr>
        <w:t>»</w:t>
      </w:r>
      <w:r w:rsidR="0068434D" w:rsidRPr="00706F86">
        <w:rPr>
          <w:rFonts w:ascii="Times New Roman" w:hAnsi="Times New Roman"/>
          <w:color w:val="000000"/>
          <w:sz w:val="28"/>
          <w:szCs w:val="28"/>
        </w:rPr>
        <w:t xml:space="preserve"> (далее</w:t>
      </w:r>
      <w:r w:rsidR="00F9318B">
        <w:rPr>
          <w:rFonts w:ascii="Times New Roman" w:hAnsi="Times New Roman"/>
          <w:color w:val="000000"/>
          <w:sz w:val="28"/>
          <w:szCs w:val="28"/>
        </w:rPr>
        <w:t xml:space="preserve"> – </w:t>
      </w:r>
      <w:r w:rsidR="0068434D" w:rsidRPr="00706F86">
        <w:rPr>
          <w:rFonts w:ascii="Times New Roman" w:hAnsi="Times New Roman"/>
          <w:color w:val="000000"/>
          <w:sz w:val="28"/>
          <w:szCs w:val="28"/>
        </w:rPr>
        <w:t xml:space="preserve">Программа). Программа направлена на создание экосистемы цифровой экономики Российской Федерации, в которой данные в цифровой форме являются ключевым фактором производства во всех сферах социально-экономической деятельности; </w:t>
      </w:r>
      <w:r w:rsidR="005766E4">
        <w:rPr>
          <w:rFonts w:ascii="Times New Roman" w:hAnsi="Times New Roman"/>
          <w:color w:val="000000"/>
          <w:sz w:val="28"/>
          <w:szCs w:val="28"/>
        </w:rPr>
        <w:t>обеспечение</w:t>
      </w:r>
      <w:r w:rsidR="0068434D" w:rsidRPr="00706F86">
        <w:rPr>
          <w:rFonts w:ascii="Times New Roman" w:hAnsi="Times New Roman"/>
          <w:color w:val="000000"/>
          <w:sz w:val="28"/>
          <w:szCs w:val="28"/>
        </w:rPr>
        <w:t xml:space="preserve"> необходимых и достаточных условий институционального и инфраструктурного характера для создания и (или) развити</w:t>
      </w:r>
      <w:r w:rsidR="005766E4">
        <w:rPr>
          <w:rFonts w:ascii="Times New Roman" w:hAnsi="Times New Roman"/>
          <w:color w:val="000000"/>
          <w:sz w:val="28"/>
          <w:szCs w:val="28"/>
        </w:rPr>
        <w:t>я</w:t>
      </w:r>
      <w:r w:rsidR="0068434D" w:rsidRPr="00706F86">
        <w:rPr>
          <w:rFonts w:ascii="Times New Roman" w:hAnsi="Times New Roman"/>
          <w:color w:val="000000"/>
          <w:sz w:val="28"/>
          <w:szCs w:val="28"/>
        </w:rPr>
        <w:t xml:space="preserve"> высокотехнологичн</w:t>
      </w:r>
      <w:r w:rsidR="005766E4">
        <w:rPr>
          <w:rFonts w:ascii="Times New Roman" w:hAnsi="Times New Roman"/>
          <w:color w:val="000000"/>
          <w:sz w:val="28"/>
          <w:szCs w:val="28"/>
        </w:rPr>
        <w:t>ого</w:t>
      </w:r>
      <w:r w:rsidR="0068434D" w:rsidRPr="00706F86">
        <w:rPr>
          <w:rFonts w:ascii="Times New Roman" w:hAnsi="Times New Roman"/>
          <w:color w:val="000000"/>
          <w:sz w:val="28"/>
          <w:szCs w:val="28"/>
        </w:rPr>
        <w:t xml:space="preserve"> бизнес</w:t>
      </w:r>
      <w:r w:rsidR="005766E4">
        <w:rPr>
          <w:rFonts w:ascii="Times New Roman" w:hAnsi="Times New Roman"/>
          <w:color w:val="000000"/>
          <w:sz w:val="28"/>
          <w:szCs w:val="28"/>
        </w:rPr>
        <w:t>а</w:t>
      </w:r>
      <w:r w:rsidR="0068434D" w:rsidRPr="00706F86">
        <w:rPr>
          <w:rFonts w:ascii="Times New Roman" w:hAnsi="Times New Roman"/>
          <w:color w:val="000000"/>
          <w:sz w:val="28"/>
          <w:szCs w:val="28"/>
        </w:rPr>
        <w:t>; повышение конкурентоспособности на глобальном рынке как отдельных отраслей экономики Российской Федерации, так и экономики в целом.</w:t>
      </w:r>
    </w:p>
    <w:p w:rsidR="0068434D" w:rsidRPr="00875234"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Определено, что р</w:t>
      </w:r>
      <w:r w:rsidRPr="00060ABB">
        <w:rPr>
          <w:rFonts w:ascii="Times New Roman" w:hAnsi="Times New Roman"/>
          <w:color w:val="000000"/>
          <w:sz w:val="28"/>
          <w:szCs w:val="28"/>
        </w:rPr>
        <w:t xml:space="preserve">оль государства </w:t>
      </w:r>
      <w:r>
        <w:rPr>
          <w:rFonts w:ascii="Times New Roman" w:hAnsi="Times New Roman"/>
          <w:color w:val="000000"/>
          <w:sz w:val="28"/>
          <w:szCs w:val="28"/>
        </w:rPr>
        <w:t>заключается в</w:t>
      </w:r>
      <w:r w:rsidRPr="00060ABB">
        <w:rPr>
          <w:rFonts w:ascii="Times New Roman" w:hAnsi="Times New Roman"/>
          <w:color w:val="000000"/>
          <w:sz w:val="28"/>
          <w:szCs w:val="28"/>
        </w:rPr>
        <w:t xml:space="preserve"> создани</w:t>
      </w:r>
      <w:r>
        <w:rPr>
          <w:rFonts w:ascii="Times New Roman" w:hAnsi="Times New Roman"/>
          <w:color w:val="000000"/>
          <w:sz w:val="28"/>
          <w:szCs w:val="28"/>
        </w:rPr>
        <w:t>и</w:t>
      </w:r>
      <w:r w:rsidRPr="00060ABB">
        <w:rPr>
          <w:rFonts w:ascii="Times New Roman" w:hAnsi="Times New Roman"/>
          <w:color w:val="000000"/>
          <w:sz w:val="28"/>
          <w:szCs w:val="28"/>
        </w:rPr>
        <w:t xml:space="preserve"> фундамента цифровой экономики путем развития компонентов платформ и среды:</w:t>
      </w:r>
      <w:r w:rsidR="00F9318B">
        <w:rPr>
          <w:rFonts w:ascii="Times New Roman" w:hAnsi="Times New Roman"/>
          <w:color w:val="000000"/>
          <w:sz w:val="28"/>
          <w:szCs w:val="28"/>
        </w:rPr>
        <w:t xml:space="preserve"> </w:t>
      </w:r>
      <w:r>
        <w:rPr>
          <w:rFonts w:ascii="Times New Roman" w:hAnsi="Times New Roman"/>
          <w:color w:val="000000"/>
          <w:sz w:val="28"/>
          <w:szCs w:val="28"/>
        </w:rPr>
        <w:t>и</w:t>
      </w:r>
      <w:r w:rsidRPr="00060ABB">
        <w:rPr>
          <w:rFonts w:ascii="Times New Roman" w:hAnsi="Times New Roman"/>
          <w:color w:val="000000"/>
          <w:sz w:val="28"/>
          <w:szCs w:val="28"/>
        </w:rPr>
        <w:t xml:space="preserve">нститутов цифровой экономики (нормативное регулирование, кадры и образование, исследовательские компетенции и технологические заделы) </w:t>
      </w:r>
      <w:r>
        <w:rPr>
          <w:rFonts w:ascii="Times New Roman" w:hAnsi="Times New Roman"/>
          <w:color w:val="000000"/>
          <w:sz w:val="28"/>
          <w:szCs w:val="28"/>
        </w:rPr>
        <w:t>и и</w:t>
      </w:r>
      <w:r w:rsidRPr="00060ABB">
        <w:rPr>
          <w:rFonts w:ascii="Times New Roman" w:hAnsi="Times New Roman"/>
          <w:color w:val="000000"/>
          <w:sz w:val="28"/>
          <w:szCs w:val="28"/>
        </w:rPr>
        <w:t>нфраструктуры цифровой экономики (информационная инфраструктура, информационная безопасность)</w:t>
      </w:r>
      <w:r>
        <w:rPr>
          <w:rFonts w:ascii="Times New Roman" w:hAnsi="Times New Roman"/>
          <w:color w:val="000000"/>
          <w:sz w:val="28"/>
          <w:szCs w:val="28"/>
        </w:rPr>
        <w:t>.</w:t>
      </w:r>
      <w:r w:rsidRPr="00060ABB">
        <w:rPr>
          <w:rFonts w:ascii="Times New Roman" w:hAnsi="Times New Roman"/>
          <w:color w:val="000000"/>
          <w:sz w:val="28"/>
          <w:szCs w:val="28"/>
        </w:rPr>
        <w:t xml:space="preserve"> Рынки и отрасли экономики самоорганизуются в новой среде и вокруг создаваемых цифровых платформ.</w:t>
      </w:r>
    </w:p>
    <w:p w:rsidR="0068434D" w:rsidRDefault="0068434D" w:rsidP="004D2C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Программы осуществляется в условиях активного взаимодействия бизнеса и государства: на первом этапе для формирования </w:t>
      </w:r>
      <w:r w:rsidR="005766E4">
        <w:rPr>
          <w:rFonts w:ascii="Times New Roman" w:hAnsi="Times New Roman"/>
          <w:sz w:val="28"/>
          <w:szCs w:val="28"/>
        </w:rPr>
        <w:t>п</w:t>
      </w:r>
      <w:r>
        <w:rPr>
          <w:rFonts w:ascii="Times New Roman" w:hAnsi="Times New Roman"/>
          <w:sz w:val="28"/>
          <w:szCs w:val="28"/>
        </w:rPr>
        <w:t xml:space="preserve">ланов мероприятий по основным направлениям Программы созданы рабочие группы и центры компетенций, которые разработали перечень основных мероприятий, необходимых для достижения целей </w:t>
      </w:r>
      <w:r w:rsidR="005766E4">
        <w:rPr>
          <w:rFonts w:ascii="Times New Roman" w:hAnsi="Times New Roman"/>
          <w:sz w:val="28"/>
          <w:szCs w:val="28"/>
        </w:rPr>
        <w:t>П</w:t>
      </w:r>
      <w:r>
        <w:rPr>
          <w:rFonts w:ascii="Times New Roman" w:hAnsi="Times New Roman"/>
          <w:sz w:val="28"/>
          <w:szCs w:val="28"/>
        </w:rPr>
        <w:t>рограммы, а также предложения по способам реализации мероприятий. Планы активно обсуждались представителями бизнес-структур, го</w:t>
      </w:r>
      <w:r w:rsidR="005766E4">
        <w:rPr>
          <w:rFonts w:ascii="Times New Roman" w:hAnsi="Times New Roman"/>
          <w:sz w:val="28"/>
          <w:szCs w:val="28"/>
        </w:rPr>
        <w:t>сударства и научного сообщества</w:t>
      </w:r>
      <w:r>
        <w:rPr>
          <w:rFonts w:ascii="Times New Roman" w:hAnsi="Times New Roman"/>
          <w:sz w:val="28"/>
          <w:szCs w:val="28"/>
        </w:rPr>
        <w:t xml:space="preserve"> для выработки максимально эффективных и непредвзятых решений. Разработка и обсуждения на всех стадиях проходили открыто, любая организация могла принять участие в деятельности любой из рабочих групп, информационное сопровождение ведется на сайте </w:t>
      </w:r>
      <w:r w:rsidRPr="001514AC">
        <w:rPr>
          <w:rFonts w:ascii="Times New Roman" w:hAnsi="Times New Roman"/>
          <w:sz w:val="28"/>
          <w:szCs w:val="28"/>
        </w:rPr>
        <w:t>Правительства Р</w:t>
      </w:r>
      <w:r w:rsidR="00A307F4">
        <w:rPr>
          <w:rFonts w:ascii="Times New Roman" w:hAnsi="Times New Roman"/>
          <w:sz w:val="28"/>
          <w:szCs w:val="28"/>
        </w:rPr>
        <w:t>оссийской Федерации</w:t>
      </w:r>
      <w:r w:rsidRPr="001514AC">
        <w:rPr>
          <w:rFonts w:ascii="Times New Roman" w:hAnsi="Times New Roman"/>
          <w:sz w:val="28"/>
          <w:szCs w:val="28"/>
        </w:rPr>
        <w:t xml:space="preserve"> </w:t>
      </w:r>
      <w:r w:rsidR="00873B8D" w:rsidRPr="00431C08">
        <w:rPr>
          <w:rFonts w:ascii="Times New Roman" w:hAnsi="Times New Roman"/>
          <w:sz w:val="28"/>
          <w:szCs w:val="28"/>
        </w:rPr>
        <w:t>http://government.ru</w:t>
      </w:r>
      <w:r w:rsidRPr="001514AC">
        <w:rPr>
          <w:rFonts w:ascii="Times New Roman" w:hAnsi="Times New Roman"/>
          <w:sz w:val="28"/>
          <w:szCs w:val="28"/>
        </w:rPr>
        <w:t>.</w:t>
      </w:r>
    </w:p>
    <w:p w:rsidR="00873B8D" w:rsidRDefault="00873B8D" w:rsidP="004D2C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в Российской Федерации приняты стратегические программы развития, направленные на </w:t>
      </w:r>
      <w:r w:rsidR="00C1039A">
        <w:rPr>
          <w:rFonts w:ascii="Times New Roman" w:hAnsi="Times New Roman"/>
          <w:sz w:val="28"/>
          <w:szCs w:val="28"/>
        </w:rPr>
        <w:t>формирование цифровой экономики в условиях развития конкуренции</w:t>
      </w:r>
      <w:r w:rsidR="00A451C4">
        <w:rPr>
          <w:rFonts w:ascii="Times New Roman" w:hAnsi="Times New Roman"/>
          <w:sz w:val="28"/>
          <w:szCs w:val="28"/>
        </w:rPr>
        <w:t xml:space="preserve"> и совершенствования конкурентной политики в новых условиях</w:t>
      </w:r>
      <w:r w:rsidR="00C1039A">
        <w:rPr>
          <w:rFonts w:ascii="Times New Roman" w:hAnsi="Times New Roman"/>
          <w:sz w:val="28"/>
          <w:szCs w:val="28"/>
        </w:rPr>
        <w:t xml:space="preserve">, недискриминационности, гибкости регулирования, на базе </w:t>
      </w:r>
      <w:r w:rsidR="00C1039A" w:rsidRPr="00C1039A">
        <w:rPr>
          <w:rFonts w:ascii="Times New Roman" w:hAnsi="Times New Roman"/>
          <w:sz w:val="28"/>
          <w:szCs w:val="28"/>
        </w:rPr>
        <w:t>устойчивой</w:t>
      </w:r>
      <w:r w:rsidR="00C1039A">
        <w:rPr>
          <w:rFonts w:ascii="Times New Roman" w:hAnsi="Times New Roman"/>
          <w:sz w:val="28"/>
          <w:szCs w:val="28"/>
        </w:rPr>
        <w:t>,</w:t>
      </w:r>
      <w:r w:rsidR="00C1039A" w:rsidRPr="00C1039A">
        <w:rPr>
          <w:rFonts w:ascii="Times New Roman" w:hAnsi="Times New Roman"/>
          <w:sz w:val="28"/>
          <w:szCs w:val="28"/>
        </w:rPr>
        <w:t xml:space="preserve"> безопасной</w:t>
      </w:r>
      <w:r w:rsidR="00C1039A">
        <w:rPr>
          <w:rFonts w:ascii="Times New Roman" w:hAnsi="Times New Roman"/>
          <w:sz w:val="28"/>
          <w:szCs w:val="28"/>
        </w:rPr>
        <w:t xml:space="preserve"> и доступной</w:t>
      </w:r>
      <w:r w:rsidR="00C1039A" w:rsidRPr="00C1039A">
        <w:rPr>
          <w:rFonts w:ascii="Times New Roman" w:hAnsi="Times New Roman"/>
          <w:sz w:val="28"/>
          <w:szCs w:val="28"/>
        </w:rPr>
        <w:t xml:space="preserve"> информационно-телекоммуникационной инфраструктуры</w:t>
      </w:r>
      <w:r w:rsidR="00C1039A">
        <w:rPr>
          <w:rFonts w:ascii="Times New Roman" w:hAnsi="Times New Roman"/>
          <w:sz w:val="28"/>
          <w:szCs w:val="28"/>
        </w:rPr>
        <w:t>, для повышения качества жизни российских граждан, развития российской экономики и повышения ее конкурентоспособности в условиях глобализации.</w:t>
      </w:r>
    </w:p>
    <w:p w:rsidR="0068434D" w:rsidRDefault="00C823F5" w:rsidP="004D2C9E">
      <w:pPr>
        <w:pStyle w:val="2"/>
      </w:pPr>
      <w:bookmarkStart w:id="6" w:name="_Toc526253876"/>
      <w:r>
        <w:t>1.</w:t>
      </w:r>
      <w:r w:rsidR="0068434D">
        <w:t>2.</w:t>
      </w:r>
      <w:r w:rsidR="004C6124">
        <w:t> </w:t>
      </w:r>
      <w:r w:rsidR="0068434D" w:rsidRPr="00203FE9">
        <w:t>Основные направления институциональных изменений</w:t>
      </w:r>
      <w:bookmarkEnd w:id="6"/>
    </w:p>
    <w:p w:rsidR="00511904" w:rsidRPr="00042B26" w:rsidRDefault="00511904" w:rsidP="00636F0D">
      <w:pPr>
        <w:pStyle w:val="4"/>
      </w:pPr>
      <w:r w:rsidRPr="00042B26">
        <w:t>Азербайджанская Республика</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 xml:space="preserve">Принятые законодательные акты предусматривают ускорение </w:t>
      </w:r>
      <w:r w:rsidR="00443236" w:rsidRPr="00042B26">
        <w:rPr>
          <w:rFonts w:ascii="Times New Roman" w:hAnsi="Times New Roman"/>
          <w:sz w:val="28"/>
          <w:szCs w:val="28"/>
        </w:rPr>
        <w:t>развития</w:t>
      </w:r>
      <w:r w:rsidRPr="00042B26">
        <w:rPr>
          <w:rFonts w:ascii="Times New Roman" w:hAnsi="Times New Roman"/>
          <w:sz w:val="28"/>
          <w:szCs w:val="28"/>
        </w:rPr>
        <w:t xml:space="preserve"> ИКТ, внедрение новых технологий в экономику и управление, перестройку экономики и управления путём реконструкции коммуникационных, управленческих, производственных и сервисных секторов с использованием цифровых технологий, укрепление институциональной и правовой базы цифровых платежных услуг, улучшение их качества, ассортимента и расширение сферы их применения, а также популяризацию их использования в качестве ключевых стратегических приоритетов. Стратегические дорожные карты охватывают краткосрочные, среднесрочные и долгосрочные периоды, имеют стратегическое </w:t>
      </w:r>
      <w:r w:rsidR="00443236" w:rsidRPr="00042B26">
        <w:rPr>
          <w:rFonts w:ascii="Times New Roman" w:hAnsi="Times New Roman"/>
          <w:sz w:val="28"/>
          <w:szCs w:val="28"/>
        </w:rPr>
        <w:t>планирование</w:t>
      </w:r>
      <w:r w:rsidRPr="00042B26">
        <w:rPr>
          <w:rFonts w:ascii="Times New Roman" w:hAnsi="Times New Roman"/>
          <w:sz w:val="28"/>
          <w:szCs w:val="28"/>
        </w:rPr>
        <w:t xml:space="preserve"> и План действий до 2020 года, долгосрочное </w:t>
      </w:r>
      <w:r w:rsidR="00443236" w:rsidRPr="00042B26">
        <w:rPr>
          <w:rFonts w:ascii="Times New Roman" w:hAnsi="Times New Roman"/>
          <w:sz w:val="28"/>
          <w:szCs w:val="28"/>
        </w:rPr>
        <w:t>планирование</w:t>
      </w:r>
      <w:r w:rsidRPr="00042B26">
        <w:rPr>
          <w:rFonts w:ascii="Times New Roman" w:hAnsi="Times New Roman"/>
          <w:sz w:val="28"/>
          <w:szCs w:val="28"/>
        </w:rPr>
        <w:t xml:space="preserve"> на период до 2025</w:t>
      </w:r>
      <w:r w:rsidR="00636F0D" w:rsidRPr="00042B26">
        <w:rPr>
          <w:rFonts w:ascii="Times New Roman" w:hAnsi="Times New Roman"/>
          <w:sz w:val="28"/>
          <w:szCs w:val="28"/>
        </w:rPr>
        <w:t> </w:t>
      </w:r>
      <w:r w:rsidRPr="00042B26">
        <w:rPr>
          <w:rFonts w:ascii="Times New Roman" w:hAnsi="Times New Roman"/>
          <w:sz w:val="28"/>
          <w:szCs w:val="28"/>
        </w:rPr>
        <w:t>года и целевые показатели на период с 2025 года.</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Правовые нормативные акты, государственные программы и планы, принятые в Азербайджанской Республике в связи с созданием</w:t>
      </w:r>
      <w:r w:rsidR="00636F0D" w:rsidRPr="00042B26">
        <w:rPr>
          <w:rFonts w:ascii="Times New Roman" w:hAnsi="Times New Roman"/>
          <w:sz w:val="28"/>
          <w:szCs w:val="28"/>
        </w:rPr>
        <w:t xml:space="preserve"> </w:t>
      </w:r>
      <w:r w:rsidRPr="00042B26">
        <w:rPr>
          <w:rFonts w:ascii="Times New Roman" w:hAnsi="Times New Roman"/>
          <w:sz w:val="28"/>
          <w:szCs w:val="28"/>
        </w:rPr>
        <w:t>цифрового</w:t>
      </w:r>
      <w:r w:rsidR="00636F0D" w:rsidRPr="00042B26">
        <w:rPr>
          <w:rFonts w:ascii="Times New Roman" w:hAnsi="Times New Roman"/>
          <w:sz w:val="28"/>
          <w:szCs w:val="28"/>
        </w:rPr>
        <w:t xml:space="preserve"> </w:t>
      </w:r>
      <w:r w:rsidRPr="00042B26">
        <w:rPr>
          <w:rFonts w:ascii="Times New Roman" w:hAnsi="Times New Roman"/>
          <w:sz w:val="28"/>
          <w:szCs w:val="28"/>
        </w:rPr>
        <w:t xml:space="preserve">общества и экономики, предусматривают обеспечение перехода </w:t>
      </w:r>
      <w:r w:rsidR="00B56831" w:rsidRPr="00042B26">
        <w:rPr>
          <w:rFonts w:ascii="Times New Roman" w:hAnsi="Times New Roman"/>
          <w:sz w:val="28"/>
          <w:szCs w:val="28"/>
        </w:rPr>
        <w:t>государства</w:t>
      </w:r>
      <w:r w:rsidRPr="00042B26">
        <w:rPr>
          <w:rFonts w:ascii="Times New Roman" w:hAnsi="Times New Roman"/>
          <w:sz w:val="28"/>
          <w:szCs w:val="28"/>
        </w:rPr>
        <w:t xml:space="preserve"> в информационное общество, формирование основы для создания и развития конкурентной экономики, основанной на</w:t>
      </w:r>
      <w:r w:rsidR="00636F0D" w:rsidRPr="00042B26">
        <w:rPr>
          <w:rFonts w:ascii="Times New Roman" w:hAnsi="Times New Roman"/>
          <w:sz w:val="28"/>
          <w:szCs w:val="28"/>
        </w:rPr>
        <w:t xml:space="preserve"> </w:t>
      </w:r>
      <w:r w:rsidRPr="00042B26">
        <w:rPr>
          <w:rFonts w:ascii="Times New Roman" w:hAnsi="Times New Roman"/>
          <w:sz w:val="28"/>
          <w:szCs w:val="28"/>
        </w:rPr>
        <w:t>информации и знаниях</w:t>
      </w:r>
      <w:r w:rsidR="00636F0D" w:rsidRPr="00042B26">
        <w:rPr>
          <w:rFonts w:ascii="Times New Roman" w:hAnsi="Times New Roman"/>
          <w:sz w:val="28"/>
          <w:szCs w:val="28"/>
        </w:rPr>
        <w:t xml:space="preserve"> </w:t>
      </w:r>
      <w:r w:rsidRPr="00042B26">
        <w:rPr>
          <w:rFonts w:ascii="Times New Roman" w:hAnsi="Times New Roman"/>
          <w:sz w:val="28"/>
          <w:szCs w:val="28"/>
        </w:rPr>
        <w:t>пут</w:t>
      </w:r>
      <w:r w:rsidR="00423CB7" w:rsidRPr="00042B26">
        <w:rPr>
          <w:rFonts w:ascii="Times New Roman" w:hAnsi="Times New Roman"/>
          <w:sz w:val="28"/>
          <w:szCs w:val="28"/>
        </w:rPr>
        <w:t>е</w:t>
      </w:r>
      <w:r w:rsidRPr="00042B26">
        <w:rPr>
          <w:rFonts w:ascii="Times New Roman" w:hAnsi="Times New Roman"/>
          <w:sz w:val="28"/>
          <w:szCs w:val="28"/>
        </w:rPr>
        <w:t>м</w:t>
      </w:r>
      <w:r w:rsidR="00636F0D" w:rsidRPr="00042B26">
        <w:rPr>
          <w:rFonts w:ascii="Times New Roman" w:hAnsi="Times New Roman"/>
          <w:sz w:val="28"/>
          <w:szCs w:val="28"/>
        </w:rPr>
        <w:t xml:space="preserve"> </w:t>
      </w:r>
      <w:r w:rsidRPr="00042B26">
        <w:rPr>
          <w:rFonts w:ascii="Times New Roman" w:hAnsi="Times New Roman"/>
          <w:sz w:val="28"/>
          <w:szCs w:val="28"/>
        </w:rPr>
        <w:t>обеспечения развития и широкого применения ИКТ, повышение эффективности механизмов государственного управления и расширение участия граждан и социальных институтов в процессе принятия решений, обеспечение полного спектра</w:t>
      </w:r>
      <w:r w:rsidR="00636F0D" w:rsidRPr="00042B26">
        <w:rPr>
          <w:rFonts w:ascii="Times New Roman" w:hAnsi="Times New Roman"/>
          <w:sz w:val="28"/>
          <w:szCs w:val="28"/>
        </w:rPr>
        <w:t xml:space="preserve"> </w:t>
      </w:r>
      <w:r w:rsidRPr="00042B26">
        <w:rPr>
          <w:rFonts w:ascii="Times New Roman" w:hAnsi="Times New Roman"/>
          <w:sz w:val="28"/>
          <w:szCs w:val="28"/>
        </w:rPr>
        <w:t>потребностей</w:t>
      </w:r>
      <w:r w:rsidR="00636F0D" w:rsidRPr="00042B26">
        <w:rPr>
          <w:rFonts w:ascii="Times New Roman" w:hAnsi="Times New Roman"/>
          <w:sz w:val="28"/>
          <w:szCs w:val="28"/>
        </w:rPr>
        <w:t xml:space="preserve"> </w:t>
      </w:r>
      <w:r w:rsidRPr="00042B26">
        <w:rPr>
          <w:rFonts w:ascii="Times New Roman" w:hAnsi="Times New Roman"/>
          <w:sz w:val="28"/>
          <w:szCs w:val="28"/>
        </w:rPr>
        <w:t xml:space="preserve">общества в области информационных продуктов и услуг.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В целях обеспечения развития цифровой экономики в Азербайджанской Республике предусматриваются следующие меры:</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создание единой и всеобъемлющей базы данных на основе развития ИКТ и цифровых технологий;</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достижение динамичного развития, роста производства, высокой эффективности и производительности во всех секторах экономики в результате использования ИКТ;</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создание государственной информационной системы, которая полностью будет охватывать административные процедуры с юридическими лицами и индивидуальными предпринимателями, позволит осуществить эти процедуры в электронном виде и обеспечит прозрачность и доступность неконфиденциальной информации.</w:t>
      </w:r>
    </w:p>
    <w:p w:rsidR="00511904" w:rsidRPr="00042B26" w:rsidRDefault="00443236"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О</w:t>
      </w:r>
      <w:r w:rsidR="00511904" w:rsidRPr="00042B26">
        <w:rPr>
          <w:rFonts w:ascii="Times New Roman" w:hAnsi="Times New Roman"/>
          <w:sz w:val="28"/>
          <w:szCs w:val="28"/>
        </w:rPr>
        <w:t>пределены следующие направления переход</w:t>
      </w:r>
      <w:r w:rsidRPr="00042B26">
        <w:rPr>
          <w:rFonts w:ascii="Times New Roman" w:hAnsi="Times New Roman"/>
          <w:sz w:val="28"/>
          <w:szCs w:val="28"/>
        </w:rPr>
        <w:t>а</w:t>
      </w:r>
      <w:r w:rsidR="00511904" w:rsidRPr="00042B26">
        <w:rPr>
          <w:rFonts w:ascii="Times New Roman" w:hAnsi="Times New Roman"/>
          <w:sz w:val="28"/>
          <w:szCs w:val="28"/>
        </w:rPr>
        <w:t xml:space="preserve"> к цифровому обществу:</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 xml:space="preserve">модернизация и развитие ИКТ в государстве на основе новых технологий;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 xml:space="preserve">применение ИКТ и развитие электронных услуг в государственных органах и органах самоуправления;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создание и развитие соответствующей материальной базы, систем связи на основе новых технологий и опыта развитых стран по всем факторам, необходимым для перехода к информационному обществу;</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последовательные меры для достижения необходимых уровней в формировании кадрового потенциала;</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укрепление конкурентоспособности и экспортно-ориентированного потенциала ИКТ.</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Для достижения этих целей к 2020 году планируется достижение следующих стратегических целей:</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 xml:space="preserve">совершенствование управленческих структур и укрепление ИКТ;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рост производительности и операционной эффективности путем применения цифровых технологий в деятельности субъектов предпринимательства;</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цифровизация государственной и социальной среды.</w:t>
      </w:r>
    </w:p>
    <w:p w:rsidR="00511904" w:rsidRPr="00042B26" w:rsidRDefault="000E6D5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П</w:t>
      </w:r>
      <w:r w:rsidR="00511904" w:rsidRPr="00042B26">
        <w:rPr>
          <w:rFonts w:ascii="Times New Roman" w:hAnsi="Times New Roman"/>
          <w:sz w:val="28"/>
          <w:szCs w:val="28"/>
        </w:rPr>
        <w:t>редусматрива</w:t>
      </w:r>
      <w:r w:rsidR="00B97935" w:rsidRPr="00042B26">
        <w:rPr>
          <w:rFonts w:ascii="Times New Roman" w:hAnsi="Times New Roman"/>
          <w:sz w:val="28"/>
          <w:szCs w:val="28"/>
        </w:rPr>
        <w:t>ю</w:t>
      </w:r>
      <w:r w:rsidR="00511904" w:rsidRPr="00042B26">
        <w:rPr>
          <w:rFonts w:ascii="Times New Roman" w:hAnsi="Times New Roman"/>
          <w:sz w:val="28"/>
          <w:szCs w:val="28"/>
        </w:rPr>
        <w:t xml:space="preserve">тся развитие коммуникационных связей, формирование устойчивой телекоммуникационной инфраструктуры, расширение доступа к Интернету и совершенствование нормативно-правовой базы с целью стимулирования частного сектора, прозрачное и рациональное распределение национальных частот, эффективное управление спектром национальных частот, эффективная организация отношений между рыночными субъектами и дальнейшее развитие конкурентных отношений.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 xml:space="preserve">В качестве неотъемлемой части реформ в </w:t>
      </w:r>
      <w:r w:rsidR="00443236" w:rsidRPr="00042B26">
        <w:rPr>
          <w:rFonts w:ascii="Times New Roman" w:hAnsi="Times New Roman"/>
          <w:sz w:val="28"/>
          <w:szCs w:val="28"/>
        </w:rPr>
        <w:t>рамках</w:t>
      </w:r>
      <w:r w:rsidRPr="00042B26">
        <w:rPr>
          <w:rFonts w:ascii="Times New Roman" w:hAnsi="Times New Roman"/>
          <w:sz w:val="28"/>
          <w:szCs w:val="28"/>
        </w:rPr>
        <w:t xml:space="preserve"> экономических преобразований в Азербайджане планируется обеспечить полную поддержку мерам по обеспечению преемственности в развитии человеческого капитала, повышению производительности труда и роли знаний в экономическом развитии. Это будет достигнуто </w:t>
      </w:r>
      <w:r w:rsidR="00280AD2" w:rsidRPr="00042B26">
        <w:rPr>
          <w:rFonts w:ascii="Times New Roman" w:hAnsi="Times New Roman"/>
          <w:sz w:val="28"/>
          <w:szCs w:val="28"/>
        </w:rPr>
        <w:t>путем</w:t>
      </w:r>
      <w:r w:rsidRPr="00042B26">
        <w:rPr>
          <w:rFonts w:ascii="Times New Roman" w:hAnsi="Times New Roman"/>
          <w:sz w:val="28"/>
          <w:szCs w:val="28"/>
        </w:rPr>
        <w:t>:</w:t>
      </w:r>
    </w:p>
    <w:p w:rsidR="00511904" w:rsidRPr="00042B26" w:rsidRDefault="000E6D5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п</w:t>
      </w:r>
      <w:r w:rsidR="00511904" w:rsidRPr="00042B26">
        <w:rPr>
          <w:rFonts w:ascii="Times New Roman" w:hAnsi="Times New Roman"/>
          <w:sz w:val="28"/>
          <w:szCs w:val="28"/>
        </w:rPr>
        <w:t>овышени</w:t>
      </w:r>
      <w:r w:rsidR="00280AD2" w:rsidRPr="00042B26">
        <w:rPr>
          <w:rFonts w:ascii="Times New Roman" w:hAnsi="Times New Roman"/>
          <w:sz w:val="28"/>
          <w:szCs w:val="28"/>
        </w:rPr>
        <w:t>я</w:t>
      </w:r>
      <w:r w:rsidR="00511904" w:rsidRPr="00042B26">
        <w:rPr>
          <w:rFonts w:ascii="Times New Roman" w:hAnsi="Times New Roman"/>
          <w:sz w:val="28"/>
          <w:szCs w:val="28"/>
        </w:rPr>
        <w:t xml:space="preserve"> качества на всех уровнях образования для формирования и развития человеческого капитала;</w:t>
      </w:r>
    </w:p>
    <w:p w:rsidR="00511904" w:rsidRPr="00042B26" w:rsidRDefault="000E6D5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о</w:t>
      </w:r>
      <w:r w:rsidR="00511904" w:rsidRPr="00042B26">
        <w:rPr>
          <w:rFonts w:ascii="Times New Roman" w:hAnsi="Times New Roman"/>
          <w:sz w:val="28"/>
          <w:szCs w:val="28"/>
        </w:rPr>
        <w:t>существлени</w:t>
      </w:r>
      <w:r w:rsidR="00280AD2" w:rsidRPr="00042B26">
        <w:rPr>
          <w:rFonts w:ascii="Times New Roman" w:hAnsi="Times New Roman"/>
          <w:sz w:val="28"/>
          <w:szCs w:val="28"/>
        </w:rPr>
        <w:t>я</w:t>
      </w:r>
      <w:r w:rsidR="00511904" w:rsidRPr="00042B26">
        <w:rPr>
          <w:rFonts w:ascii="Times New Roman" w:hAnsi="Times New Roman"/>
          <w:sz w:val="28"/>
          <w:szCs w:val="28"/>
        </w:rPr>
        <w:t xml:space="preserve"> последовательных мер и достижени</w:t>
      </w:r>
      <w:r w:rsidR="00280AD2" w:rsidRPr="00042B26">
        <w:rPr>
          <w:rFonts w:ascii="Times New Roman" w:hAnsi="Times New Roman"/>
          <w:sz w:val="28"/>
          <w:szCs w:val="28"/>
        </w:rPr>
        <w:t>я</w:t>
      </w:r>
      <w:r w:rsidR="00511904" w:rsidRPr="00042B26">
        <w:rPr>
          <w:rFonts w:ascii="Times New Roman" w:hAnsi="Times New Roman"/>
          <w:sz w:val="28"/>
          <w:szCs w:val="28"/>
        </w:rPr>
        <w:t xml:space="preserve"> необходимых уровней, создани</w:t>
      </w:r>
      <w:r w:rsidR="00280AD2" w:rsidRPr="00042B26">
        <w:rPr>
          <w:rFonts w:ascii="Times New Roman" w:hAnsi="Times New Roman"/>
          <w:sz w:val="28"/>
          <w:szCs w:val="28"/>
        </w:rPr>
        <w:t>я</w:t>
      </w:r>
      <w:r w:rsidR="00511904" w:rsidRPr="00042B26">
        <w:rPr>
          <w:rFonts w:ascii="Times New Roman" w:hAnsi="Times New Roman"/>
          <w:sz w:val="28"/>
          <w:szCs w:val="28"/>
        </w:rPr>
        <w:t xml:space="preserve"> и развити</w:t>
      </w:r>
      <w:r w:rsidR="00280AD2" w:rsidRPr="00042B26">
        <w:rPr>
          <w:rFonts w:ascii="Times New Roman" w:hAnsi="Times New Roman"/>
          <w:sz w:val="28"/>
          <w:szCs w:val="28"/>
        </w:rPr>
        <w:t>я</w:t>
      </w:r>
      <w:r w:rsidR="00511904" w:rsidRPr="00042B26">
        <w:rPr>
          <w:rFonts w:ascii="Times New Roman" w:hAnsi="Times New Roman"/>
          <w:sz w:val="28"/>
          <w:szCs w:val="28"/>
        </w:rPr>
        <w:t xml:space="preserve"> материальной базы коммуникационных систем на основе новой технологии и опыта передовых стран в области формирования кадрового потенциала, стимулировани</w:t>
      </w:r>
      <w:r w:rsidR="00280AD2" w:rsidRPr="00042B26">
        <w:rPr>
          <w:rFonts w:ascii="Times New Roman" w:hAnsi="Times New Roman"/>
          <w:sz w:val="28"/>
          <w:szCs w:val="28"/>
        </w:rPr>
        <w:t>я</w:t>
      </w:r>
      <w:r w:rsidR="00511904" w:rsidRPr="00042B26">
        <w:rPr>
          <w:rFonts w:ascii="Times New Roman" w:hAnsi="Times New Roman"/>
          <w:sz w:val="28"/>
          <w:szCs w:val="28"/>
        </w:rPr>
        <w:t xml:space="preserve"> непрерывного развития человеческого капитала и вложения инвестиций в отрасли исследований и разработок в целях обеспечения повышения производительности труда.</w:t>
      </w:r>
      <w:r w:rsidR="00636F0D" w:rsidRPr="00042B26">
        <w:rPr>
          <w:rFonts w:ascii="Times New Roman" w:hAnsi="Times New Roman"/>
          <w:sz w:val="28"/>
          <w:szCs w:val="28"/>
        </w:rPr>
        <w:t xml:space="preserve">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 xml:space="preserve">Принятая в 2012 году Концепция </w:t>
      </w:r>
      <w:r w:rsidR="000E6D54" w:rsidRPr="00042B26">
        <w:rPr>
          <w:rFonts w:ascii="Times New Roman" w:hAnsi="Times New Roman"/>
          <w:sz w:val="28"/>
          <w:szCs w:val="28"/>
        </w:rPr>
        <w:t>р</w:t>
      </w:r>
      <w:r w:rsidRPr="00042B26">
        <w:rPr>
          <w:rFonts w:ascii="Times New Roman" w:hAnsi="Times New Roman"/>
          <w:sz w:val="28"/>
          <w:szCs w:val="28"/>
        </w:rPr>
        <w:t xml:space="preserve">азвития «Азербайджан 2020: Взгляд в будущее» определила основной задачей формирование основанной на информации и знаниях конкурентоспособной экономики для обеспечения в </w:t>
      </w:r>
      <w:r w:rsidR="000E6D54" w:rsidRPr="00042B26">
        <w:rPr>
          <w:rFonts w:ascii="Times New Roman" w:hAnsi="Times New Roman"/>
          <w:sz w:val="28"/>
          <w:szCs w:val="28"/>
        </w:rPr>
        <w:t>государстве</w:t>
      </w:r>
      <w:r w:rsidRPr="00042B26">
        <w:rPr>
          <w:rFonts w:ascii="Times New Roman" w:hAnsi="Times New Roman"/>
          <w:sz w:val="28"/>
          <w:szCs w:val="28"/>
        </w:rPr>
        <w:t xml:space="preserve"> долгосрочного, успешного и устойчивого развития. В связи с этим для развития в стране информационного общества, опирающегося на современные ценности и принципы, была утверждена Национальная </w:t>
      </w:r>
      <w:r w:rsidR="000E6D54" w:rsidRPr="00042B26">
        <w:rPr>
          <w:rFonts w:ascii="Times New Roman" w:hAnsi="Times New Roman"/>
          <w:sz w:val="28"/>
          <w:szCs w:val="28"/>
        </w:rPr>
        <w:t>с</w:t>
      </w:r>
      <w:r w:rsidRPr="00042B26">
        <w:rPr>
          <w:rFonts w:ascii="Times New Roman" w:hAnsi="Times New Roman"/>
          <w:sz w:val="28"/>
          <w:szCs w:val="28"/>
        </w:rPr>
        <w:t>тратегия по развитию информационного общества в Азербайджанской Республике на 2014</w:t>
      </w:r>
      <w:r w:rsidR="000E6D54" w:rsidRPr="00042B26">
        <w:rPr>
          <w:rFonts w:ascii="Times New Roman" w:hAnsi="Times New Roman"/>
          <w:sz w:val="28"/>
          <w:szCs w:val="28"/>
        </w:rPr>
        <w:t>–</w:t>
      </w:r>
      <w:r w:rsidRPr="00042B26">
        <w:rPr>
          <w:rFonts w:ascii="Times New Roman" w:hAnsi="Times New Roman"/>
          <w:sz w:val="28"/>
          <w:szCs w:val="28"/>
        </w:rPr>
        <w:t xml:space="preserve">2020 годы.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Основн</w:t>
      </w:r>
      <w:r w:rsidR="00FF54D7" w:rsidRPr="00042B26">
        <w:rPr>
          <w:rFonts w:ascii="Times New Roman" w:hAnsi="Times New Roman"/>
          <w:sz w:val="28"/>
          <w:szCs w:val="28"/>
        </w:rPr>
        <w:t>ыми целями</w:t>
      </w:r>
      <w:r w:rsidRPr="00042B26">
        <w:rPr>
          <w:rFonts w:ascii="Times New Roman" w:hAnsi="Times New Roman"/>
          <w:sz w:val="28"/>
          <w:szCs w:val="28"/>
        </w:rPr>
        <w:t xml:space="preserve"> Национальной </w:t>
      </w:r>
      <w:r w:rsidR="002F1C23" w:rsidRPr="00042B26">
        <w:rPr>
          <w:rFonts w:ascii="Times New Roman" w:hAnsi="Times New Roman"/>
          <w:sz w:val="28"/>
          <w:szCs w:val="28"/>
        </w:rPr>
        <w:t>с</w:t>
      </w:r>
      <w:r w:rsidRPr="00042B26">
        <w:rPr>
          <w:rFonts w:ascii="Times New Roman" w:hAnsi="Times New Roman"/>
          <w:sz w:val="28"/>
          <w:szCs w:val="28"/>
        </w:rPr>
        <w:t>тратегии явля</w:t>
      </w:r>
      <w:r w:rsidR="00FF54D7" w:rsidRPr="00042B26">
        <w:rPr>
          <w:rFonts w:ascii="Times New Roman" w:hAnsi="Times New Roman"/>
          <w:sz w:val="28"/>
          <w:szCs w:val="28"/>
        </w:rPr>
        <w:t>ю</w:t>
      </w:r>
      <w:r w:rsidRPr="00042B26">
        <w:rPr>
          <w:rFonts w:ascii="Times New Roman" w:hAnsi="Times New Roman"/>
          <w:sz w:val="28"/>
          <w:szCs w:val="28"/>
        </w:rPr>
        <w:t>тся формирование в стране информационного общества, эффективно</w:t>
      </w:r>
      <w:r w:rsidR="00FF54D7" w:rsidRPr="00042B26">
        <w:rPr>
          <w:rFonts w:ascii="Times New Roman" w:hAnsi="Times New Roman"/>
          <w:sz w:val="28"/>
          <w:szCs w:val="28"/>
        </w:rPr>
        <w:t>е</w:t>
      </w:r>
      <w:r w:rsidRPr="00042B26">
        <w:rPr>
          <w:rFonts w:ascii="Times New Roman" w:hAnsi="Times New Roman"/>
          <w:sz w:val="28"/>
          <w:szCs w:val="28"/>
        </w:rPr>
        <w:t xml:space="preserve"> использовани</w:t>
      </w:r>
      <w:r w:rsidR="00FF54D7" w:rsidRPr="00042B26">
        <w:rPr>
          <w:rFonts w:ascii="Times New Roman" w:hAnsi="Times New Roman"/>
          <w:sz w:val="28"/>
          <w:szCs w:val="28"/>
        </w:rPr>
        <w:t>е</w:t>
      </w:r>
      <w:r w:rsidRPr="00042B26">
        <w:rPr>
          <w:rFonts w:ascii="Times New Roman" w:hAnsi="Times New Roman"/>
          <w:sz w:val="28"/>
          <w:szCs w:val="28"/>
        </w:rPr>
        <w:t xml:space="preserve"> создаваемых им возможностей для развития граждан, общества и государства, продолжительно</w:t>
      </w:r>
      <w:r w:rsidR="002F1C23" w:rsidRPr="00042B26">
        <w:rPr>
          <w:rFonts w:ascii="Times New Roman" w:hAnsi="Times New Roman"/>
          <w:sz w:val="28"/>
          <w:szCs w:val="28"/>
        </w:rPr>
        <w:t>го</w:t>
      </w:r>
      <w:r w:rsidRPr="00042B26">
        <w:rPr>
          <w:rFonts w:ascii="Times New Roman" w:hAnsi="Times New Roman"/>
          <w:sz w:val="28"/>
          <w:szCs w:val="28"/>
        </w:rPr>
        <w:t xml:space="preserve"> и устойчиво</w:t>
      </w:r>
      <w:r w:rsidR="002F1C23" w:rsidRPr="00042B26">
        <w:rPr>
          <w:rFonts w:ascii="Times New Roman" w:hAnsi="Times New Roman"/>
          <w:sz w:val="28"/>
          <w:szCs w:val="28"/>
        </w:rPr>
        <w:t>го</w:t>
      </w:r>
      <w:r w:rsidRPr="00042B26">
        <w:rPr>
          <w:rFonts w:ascii="Times New Roman" w:hAnsi="Times New Roman"/>
          <w:sz w:val="28"/>
          <w:szCs w:val="28"/>
        </w:rPr>
        <w:t xml:space="preserve"> развити</w:t>
      </w:r>
      <w:r w:rsidR="002F1C23" w:rsidRPr="00042B26">
        <w:rPr>
          <w:rFonts w:ascii="Times New Roman" w:hAnsi="Times New Roman"/>
          <w:sz w:val="28"/>
          <w:szCs w:val="28"/>
        </w:rPr>
        <w:t>я</w:t>
      </w:r>
      <w:r w:rsidRPr="00042B26">
        <w:rPr>
          <w:rFonts w:ascii="Times New Roman" w:hAnsi="Times New Roman"/>
          <w:sz w:val="28"/>
          <w:szCs w:val="28"/>
        </w:rPr>
        <w:t xml:space="preserve"> страны, всесторонне</w:t>
      </w:r>
      <w:r w:rsidR="00FF54D7" w:rsidRPr="00042B26">
        <w:rPr>
          <w:rFonts w:ascii="Times New Roman" w:hAnsi="Times New Roman"/>
          <w:sz w:val="28"/>
          <w:szCs w:val="28"/>
        </w:rPr>
        <w:t>е</w:t>
      </w:r>
      <w:r w:rsidRPr="00042B26">
        <w:rPr>
          <w:rFonts w:ascii="Times New Roman" w:hAnsi="Times New Roman"/>
          <w:sz w:val="28"/>
          <w:szCs w:val="28"/>
        </w:rPr>
        <w:t xml:space="preserve"> применени</w:t>
      </w:r>
      <w:r w:rsidR="00FF54D7" w:rsidRPr="00042B26">
        <w:rPr>
          <w:rFonts w:ascii="Times New Roman" w:hAnsi="Times New Roman"/>
          <w:sz w:val="28"/>
          <w:szCs w:val="28"/>
        </w:rPr>
        <w:t>е</w:t>
      </w:r>
      <w:r w:rsidRPr="00042B26">
        <w:rPr>
          <w:rFonts w:ascii="Times New Roman" w:hAnsi="Times New Roman"/>
          <w:sz w:val="28"/>
          <w:szCs w:val="28"/>
        </w:rPr>
        <w:t xml:space="preserve"> ИКТ в государственном управлении, а также его развити</w:t>
      </w:r>
      <w:r w:rsidR="00FF54D7" w:rsidRPr="00042B26">
        <w:rPr>
          <w:rFonts w:ascii="Times New Roman" w:hAnsi="Times New Roman"/>
          <w:sz w:val="28"/>
          <w:szCs w:val="28"/>
        </w:rPr>
        <w:t>е</w:t>
      </w:r>
      <w:r w:rsidRPr="00042B26">
        <w:rPr>
          <w:rFonts w:ascii="Times New Roman" w:hAnsi="Times New Roman"/>
          <w:sz w:val="28"/>
          <w:szCs w:val="28"/>
        </w:rPr>
        <w:t xml:space="preserve"> как экономического сектора, способствующего развитию социально-экономических и культурных сфер.</w:t>
      </w:r>
      <w:r w:rsidR="00636F0D" w:rsidRPr="00042B26">
        <w:rPr>
          <w:rFonts w:ascii="Times New Roman" w:hAnsi="Times New Roman"/>
          <w:sz w:val="28"/>
          <w:szCs w:val="28"/>
        </w:rPr>
        <w:t xml:space="preserve">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 xml:space="preserve">В Национальной </w:t>
      </w:r>
      <w:r w:rsidR="002F1C23" w:rsidRPr="00042B26">
        <w:rPr>
          <w:rFonts w:ascii="Times New Roman" w:hAnsi="Times New Roman"/>
          <w:sz w:val="28"/>
          <w:szCs w:val="28"/>
        </w:rPr>
        <w:t>с</w:t>
      </w:r>
      <w:r w:rsidR="00FF54D7" w:rsidRPr="00042B26">
        <w:rPr>
          <w:rFonts w:ascii="Times New Roman" w:hAnsi="Times New Roman"/>
          <w:sz w:val="28"/>
          <w:szCs w:val="28"/>
        </w:rPr>
        <w:t>тратегии определено восемь</w:t>
      </w:r>
      <w:r w:rsidRPr="00042B26">
        <w:rPr>
          <w:rFonts w:ascii="Times New Roman" w:hAnsi="Times New Roman"/>
          <w:sz w:val="28"/>
          <w:szCs w:val="28"/>
        </w:rPr>
        <w:t xml:space="preserve"> основных направлений деятельности. В их числе предусмотрена инфраструктура и услуги ИКТ, развитие сектора высоких технологий, рост научно-технического потенциала, развитие «электронного правительства», ИКТ</w:t>
      </w:r>
      <w:r w:rsidR="002F1C23" w:rsidRPr="00042B26">
        <w:rPr>
          <w:rFonts w:ascii="Times New Roman" w:hAnsi="Times New Roman"/>
          <w:sz w:val="28"/>
          <w:szCs w:val="28"/>
        </w:rPr>
        <w:t xml:space="preserve"> –</w:t>
      </w:r>
      <w:r w:rsidRPr="00042B26">
        <w:rPr>
          <w:rFonts w:ascii="Times New Roman" w:hAnsi="Times New Roman"/>
          <w:sz w:val="28"/>
          <w:szCs w:val="28"/>
        </w:rPr>
        <w:t xml:space="preserve"> как фактор развития общества, кадровая подготовка, обеспечение информационной безопасности и развитие национального контента.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 xml:space="preserve">С целью обеспечения исполнения задач, вытекающих из Национальной </w:t>
      </w:r>
      <w:r w:rsidR="002F1C23" w:rsidRPr="00042B26">
        <w:rPr>
          <w:rFonts w:ascii="Times New Roman" w:hAnsi="Times New Roman"/>
          <w:sz w:val="28"/>
          <w:szCs w:val="28"/>
        </w:rPr>
        <w:t>с</w:t>
      </w:r>
      <w:r w:rsidRPr="00042B26">
        <w:rPr>
          <w:rFonts w:ascii="Times New Roman" w:hAnsi="Times New Roman"/>
          <w:sz w:val="28"/>
          <w:szCs w:val="28"/>
        </w:rPr>
        <w:t>тратегии,</w:t>
      </w:r>
      <w:r w:rsidR="002F1C23" w:rsidRPr="00042B26">
        <w:rPr>
          <w:rFonts w:ascii="Times New Roman" w:hAnsi="Times New Roman"/>
          <w:sz w:val="28"/>
          <w:szCs w:val="28"/>
        </w:rPr>
        <w:t xml:space="preserve"> была принята Государственная п</w:t>
      </w:r>
      <w:r w:rsidRPr="00042B26">
        <w:rPr>
          <w:rFonts w:ascii="Times New Roman" w:hAnsi="Times New Roman"/>
          <w:sz w:val="28"/>
          <w:szCs w:val="28"/>
        </w:rPr>
        <w:t xml:space="preserve">рограмма реализации Национальной </w:t>
      </w:r>
      <w:r w:rsidR="002F1C23" w:rsidRPr="00042B26">
        <w:rPr>
          <w:rFonts w:ascii="Times New Roman" w:hAnsi="Times New Roman"/>
          <w:sz w:val="28"/>
          <w:szCs w:val="28"/>
        </w:rPr>
        <w:t>с</w:t>
      </w:r>
      <w:r w:rsidRPr="00042B26">
        <w:rPr>
          <w:rFonts w:ascii="Times New Roman" w:hAnsi="Times New Roman"/>
          <w:sz w:val="28"/>
          <w:szCs w:val="28"/>
        </w:rPr>
        <w:t>тратегии по развитию информационного общества в Азербайджанской Республике на 2016</w:t>
      </w:r>
      <w:r w:rsidR="002F1C23" w:rsidRPr="00042B26">
        <w:rPr>
          <w:rFonts w:ascii="Times New Roman" w:hAnsi="Times New Roman"/>
          <w:sz w:val="28"/>
          <w:szCs w:val="28"/>
        </w:rPr>
        <w:t>–</w:t>
      </w:r>
      <w:r w:rsidRPr="00042B26">
        <w:rPr>
          <w:rFonts w:ascii="Times New Roman" w:hAnsi="Times New Roman"/>
          <w:sz w:val="28"/>
          <w:szCs w:val="28"/>
        </w:rPr>
        <w:t xml:space="preserve">2020 годы.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Цел</w:t>
      </w:r>
      <w:r w:rsidR="00E617BA" w:rsidRPr="00042B26">
        <w:rPr>
          <w:rFonts w:ascii="Times New Roman" w:hAnsi="Times New Roman"/>
          <w:sz w:val="28"/>
          <w:szCs w:val="28"/>
        </w:rPr>
        <w:t>ями данно</w:t>
      </w:r>
      <w:r w:rsidRPr="00042B26">
        <w:rPr>
          <w:rFonts w:ascii="Times New Roman" w:hAnsi="Times New Roman"/>
          <w:sz w:val="28"/>
          <w:szCs w:val="28"/>
        </w:rPr>
        <w:t xml:space="preserve">й </w:t>
      </w:r>
      <w:r w:rsidR="00E617BA" w:rsidRPr="00042B26">
        <w:rPr>
          <w:rFonts w:ascii="Times New Roman" w:hAnsi="Times New Roman"/>
          <w:sz w:val="28"/>
          <w:szCs w:val="28"/>
        </w:rPr>
        <w:t>п</w:t>
      </w:r>
      <w:r w:rsidRPr="00042B26">
        <w:rPr>
          <w:rFonts w:ascii="Times New Roman" w:hAnsi="Times New Roman"/>
          <w:sz w:val="28"/>
          <w:szCs w:val="28"/>
        </w:rPr>
        <w:t>рограммы явля</w:t>
      </w:r>
      <w:r w:rsidR="00E617BA" w:rsidRPr="00042B26">
        <w:rPr>
          <w:rFonts w:ascii="Times New Roman" w:hAnsi="Times New Roman"/>
          <w:sz w:val="28"/>
          <w:szCs w:val="28"/>
        </w:rPr>
        <w:t>ю</w:t>
      </w:r>
      <w:r w:rsidRPr="00042B26">
        <w:rPr>
          <w:rFonts w:ascii="Times New Roman" w:hAnsi="Times New Roman"/>
          <w:sz w:val="28"/>
          <w:szCs w:val="28"/>
        </w:rPr>
        <w:t xml:space="preserve">тся создание и развитие компонентов цифровой экономики. Развитие инфраструктуры широкополосного </w:t>
      </w:r>
      <w:r w:rsidR="002F1C23" w:rsidRPr="00042B26">
        <w:rPr>
          <w:rFonts w:ascii="Times New Roman" w:hAnsi="Times New Roman"/>
          <w:sz w:val="28"/>
          <w:szCs w:val="28"/>
        </w:rPr>
        <w:t>И</w:t>
      </w:r>
      <w:r w:rsidRPr="00042B26">
        <w:rPr>
          <w:rFonts w:ascii="Times New Roman" w:hAnsi="Times New Roman"/>
          <w:sz w:val="28"/>
          <w:szCs w:val="28"/>
        </w:rPr>
        <w:t xml:space="preserve">нтернета, расширение электронных услуг, формирование сектора высоких технологий, полное обеспечение потребности общества в информационных продуктах и услугах являются приоритетными вопросами в Национальной </w:t>
      </w:r>
      <w:r w:rsidR="002F1C23" w:rsidRPr="00042B26">
        <w:rPr>
          <w:rFonts w:ascii="Times New Roman" w:hAnsi="Times New Roman"/>
          <w:sz w:val="28"/>
          <w:szCs w:val="28"/>
        </w:rPr>
        <w:t>с</w:t>
      </w:r>
      <w:r w:rsidRPr="00042B26">
        <w:rPr>
          <w:rFonts w:ascii="Times New Roman" w:hAnsi="Times New Roman"/>
          <w:sz w:val="28"/>
          <w:szCs w:val="28"/>
        </w:rPr>
        <w:t xml:space="preserve">тратегии.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Указом Президента Азербайджанской Республики от 6</w:t>
      </w:r>
      <w:r w:rsidR="002F1C23" w:rsidRPr="00042B26">
        <w:rPr>
          <w:rFonts w:ascii="Times New Roman" w:hAnsi="Times New Roman"/>
          <w:sz w:val="28"/>
          <w:szCs w:val="28"/>
        </w:rPr>
        <w:t xml:space="preserve"> декабря </w:t>
      </w:r>
      <w:r w:rsidRPr="00042B26">
        <w:rPr>
          <w:rFonts w:ascii="Times New Roman" w:hAnsi="Times New Roman"/>
          <w:sz w:val="28"/>
          <w:szCs w:val="28"/>
        </w:rPr>
        <w:t>2016 г</w:t>
      </w:r>
      <w:r w:rsidR="002F1C23" w:rsidRPr="00042B26">
        <w:rPr>
          <w:rFonts w:ascii="Times New Roman" w:hAnsi="Times New Roman"/>
          <w:sz w:val="28"/>
          <w:szCs w:val="28"/>
        </w:rPr>
        <w:t>ода</w:t>
      </w:r>
      <w:r w:rsidRPr="00042B26">
        <w:rPr>
          <w:rFonts w:ascii="Times New Roman" w:hAnsi="Times New Roman"/>
          <w:sz w:val="28"/>
          <w:szCs w:val="28"/>
        </w:rPr>
        <w:t xml:space="preserve"> №</w:t>
      </w:r>
      <w:r w:rsidR="00045D44" w:rsidRPr="00042B26">
        <w:rPr>
          <w:rFonts w:ascii="Times New Roman" w:hAnsi="Times New Roman"/>
          <w:sz w:val="28"/>
          <w:szCs w:val="28"/>
        </w:rPr>
        <w:t> </w:t>
      </w:r>
      <w:r w:rsidRPr="00042B26">
        <w:rPr>
          <w:rFonts w:ascii="Times New Roman" w:hAnsi="Times New Roman"/>
          <w:sz w:val="28"/>
          <w:szCs w:val="28"/>
        </w:rPr>
        <w:t>1138 б</w:t>
      </w:r>
      <w:r w:rsidR="002F1C23" w:rsidRPr="00042B26">
        <w:rPr>
          <w:rFonts w:ascii="Times New Roman" w:hAnsi="Times New Roman"/>
          <w:sz w:val="28"/>
          <w:szCs w:val="28"/>
        </w:rPr>
        <w:t>ыли утверждены Стратегические дорожные к</w:t>
      </w:r>
      <w:r w:rsidRPr="00042B26">
        <w:rPr>
          <w:rFonts w:ascii="Times New Roman" w:hAnsi="Times New Roman"/>
          <w:sz w:val="28"/>
          <w:szCs w:val="28"/>
        </w:rPr>
        <w:t xml:space="preserve">арты по национальной экономике и основным секторам экономики. В соответствии с Указом соответствующим структурам были даны поручения о расширении применения и упрощении использования электронных услуг. 12 Стратегических </w:t>
      </w:r>
      <w:r w:rsidR="002F1C23" w:rsidRPr="00042B26">
        <w:rPr>
          <w:rFonts w:ascii="Times New Roman" w:hAnsi="Times New Roman"/>
          <w:sz w:val="28"/>
          <w:szCs w:val="28"/>
        </w:rPr>
        <w:t>д</w:t>
      </w:r>
      <w:r w:rsidRPr="00042B26">
        <w:rPr>
          <w:rFonts w:ascii="Times New Roman" w:hAnsi="Times New Roman"/>
          <w:sz w:val="28"/>
          <w:szCs w:val="28"/>
        </w:rPr>
        <w:t xml:space="preserve">орожных </w:t>
      </w:r>
      <w:r w:rsidR="002F1C23" w:rsidRPr="00042B26">
        <w:rPr>
          <w:rFonts w:ascii="Times New Roman" w:hAnsi="Times New Roman"/>
          <w:sz w:val="28"/>
          <w:szCs w:val="28"/>
        </w:rPr>
        <w:t>к</w:t>
      </w:r>
      <w:r w:rsidRPr="00042B26">
        <w:rPr>
          <w:rFonts w:ascii="Times New Roman" w:hAnsi="Times New Roman"/>
          <w:sz w:val="28"/>
          <w:szCs w:val="28"/>
        </w:rPr>
        <w:t>арт, принятых по основным секторам экономики, являются документами, устанавливающими основные направления социально-экономического развития Азербайджана. Во всех документах инновационное развитие секторов является одним из основных целей.</w:t>
      </w:r>
      <w:r w:rsidR="00636F0D" w:rsidRPr="00042B26">
        <w:rPr>
          <w:rFonts w:ascii="Times New Roman" w:hAnsi="Times New Roman"/>
          <w:sz w:val="28"/>
          <w:szCs w:val="28"/>
        </w:rPr>
        <w:t xml:space="preserve"> </w:t>
      </w:r>
    </w:p>
    <w:p w:rsidR="00511904" w:rsidRPr="00042B26" w:rsidRDefault="00511904"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Основн</w:t>
      </w:r>
      <w:r w:rsidR="00430115" w:rsidRPr="00042B26">
        <w:rPr>
          <w:rFonts w:ascii="Times New Roman" w:hAnsi="Times New Roman"/>
          <w:sz w:val="28"/>
          <w:szCs w:val="28"/>
        </w:rPr>
        <w:t>ые</w:t>
      </w:r>
      <w:r w:rsidRPr="00042B26">
        <w:rPr>
          <w:rFonts w:ascii="Times New Roman" w:hAnsi="Times New Roman"/>
          <w:sz w:val="28"/>
          <w:szCs w:val="28"/>
        </w:rPr>
        <w:t xml:space="preserve"> цел</w:t>
      </w:r>
      <w:r w:rsidR="00430115" w:rsidRPr="00042B26">
        <w:rPr>
          <w:rFonts w:ascii="Times New Roman" w:hAnsi="Times New Roman"/>
          <w:sz w:val="28"/>
          <w:szCs w:val="28"/>
        </w:rPr>
        <w:t>и</w:t>
      </w:r>
      <w:r w:rsidRPr="00042B26">
        <w:rPr>
          <w:rFonts w:ascii="Times New Roman" w:hAnsi="Times New Roman"/>
          <w:sz w:val="28"/>
          <w:szCs w:val="28"/>
        </w:rPr>
        <w:t xml:space="preserve"> одной из этих дорожных карт</w:t>
      </w:r>
      <w:r w:rsidR="00430115" w:rsidRPr="00042B26">
        <w:rPr>
          <w:rFonts w:ascii="Times New Roman" w:hAnsi="Times New Roman"/>
          <w:sz w:val="28"/>
          <w:szCs w:val="28"/>
        </w:rPr>
        <w:t xml:space="preserve"> – </w:t>
      </w:r>
      <w:r w:rsidRPr="00042B26">
        <w:rPr>
          <w:rFonts w:ascii="Times New Roman" w:hAnsi="Times New Roman"/>
          <w:sz w:val="28"/>
          <w:szCs w:val="28"/>
        </w:rPr>
        <w:t>Стратегическ</w:t>
      </w:r>
      <w:r w:rsidR="00430115" w:rsidRPr="00042B26">
        <w:rPr>
          <w:rFonts w:ascii="Times New Roman" w:hAnsi="Times New Roman"/>
          <w:sz w:val="28"/>
          <w:szCs w:val="28"/>
        </w:rPr>
        <w:t>ой</w:t>
      </w:r>
      <w:r w:rsidRPr="00042B26">
        <w:rPr>
          <w:rFonts w:ascii="Times New Roman" w:hAnsi="Times New Roman"/>
          <w:sz w:val="28"/>
          <w:szCs w:val="28"/>
        </w:rPr>
        <w:t xml:space="preserve"> </w:t>
      </w:r>
      <w:r w:rsidR="002F1C23" w:rsidRPr="00042B26">
        <w:rPr>
          <w:rFonts w:ascii="Times New Roman" w:hAnsi="Times New Roman"/>
          <w:sz w:val="28"/>
          <w:szCs w:val="28"/>
        </w:rPr>
        <w:t>д</w:t>
      </w:r>
      <w:r w:rsidRPr="00042B26">
        <w:rPr>
          <w:rFonts w:ascii="Times New Roman" w:hAnsi="Times New Roman"/>
          <w:sz w:val="28"/>
          <w:szCs w:val="28"/>
        </w:rPr>
        <w:t>орожн</w:t>
      </w:r>
      <w:r w:rsidR="00430115" w:rsidRPr="00042B26">
        <w:rPr>
          <w:rFonts w:ascii="Times New Roman" w:hAnsi="Times New Roman"/>
          <w:sz w:val="28"/>
          <w:szCs w:val="28"/>
        </w:rPr>
        <w:t>ой</w:t>
      </w:r>
      <w:r w:rsidRPr="00042B26">
        <w:rPr>
          <w:rFonts w:ascii="Times New Roman" w:hAnsi="Times New Roman"/>
          <w:sz w:val="28"/>
          <w:szCs w:val="28"/>
        </w:rPr>
        <w:t xml:space="preserve"> </w:t>
      </w:r>
      <w:r w:rsidR="002F1C23" w:rsidRPr="00042B26">
        <w:rPr>
          <w:rFonts w:ascii="Times New Roman" w:hAnsi="Times New Roman"/>
          <w:sz w:val="28"/>
          <w:szCs w:val="28"/>
        </w:rPr>
        <w:t>к</w:t>
      </w:r>
      <w:r w:rsidRPr="00042B26">
        <w:rPr>
          <w:rFonts w:ascii="Times New Roman" w:hAnsi="Times New Roman"/>
          <w:sz w:val="28"/>
          <w:szCs w:val="28"/>
        </w:rPr>
        <w:t>арт</w:t>
      </w:r>
      <w:r w:rsidR="00430115" w:rsidRPr="00042B26">
        <w:rPr>
          <w:rFonts w:ascii="Times New Roman" w:hAnsi="Times New Roman"/>
          <w:sz w:val="28"/>
          <w:szCs w:val="28"/>
        </w:rPr>
        <w:t>ы</w:t>
      </w:r>
      <w:r w:rsidRPr="00042B26">
        <w:rPr>
          <w:rFonts w:ascii="Times New Roman" w:hAnsi="Times New Roman"/>
          <w:sz w:val="28"/>
          <w:szCs w:val="28"/>
        </w:rPr>
        <w:t xml:space="preserve"> по развитию телекоммуникационных и информационных технологий в Азербайджанской Республике</w:t>
      </w:r>
      <w:r w:rsidR="00430115" w:rsidRPr="00042B26">
        <w:rPr>
          <w:rFonts w:ascii="Times New Roman" w:hAnsi="Times New Roman"/>
          <w:sz w:val="28"/>
          <w:szCs w:val="28"/>
        </w:rPr>
        <w:t xml:space="preserve"> – </w:t>
      </w:r>
      <w:r w:rsidRPr="00042B26">
        <w:rPr>
          <w:rFonts w:ascii="Times New Roman" w:hAnsi="Times New Roman"/>
          <w:sz w:val="28"/>
          <w:szCs w:val="28"/>
        </w:rPr>
        <w:t>эффективн</w:t>
      </w:r>
      <w:r w:rsidR="00430115" w:rsidRPr="00042B26">
        <w:rPr>
          <w:rFonts w:ascii="Times New Roman" w:hAnsi="Times New Roman"/>
          <w:sz w:val="28"/>
          <w:szCs w:val="28"/>
        </w:rPr>
        <w:t>ая</w:t>
      </w:r>
      <w:r w:rsidRPr="00042B26">
        <w:rPr>
          <w:rFonts w:ascii="Times New Roman" w:hAnsi="Times New Roman"/>
          <w:sz w:val="28"/>
          <w:szCs w:val="28"/>
        </w:rPr>
        <w:t xml:space="preserve"> деятельност</w:t>
      </w:r>
      <w:r w:rsidR="00430115" w:rsidRPr="00042B26">
        <w:rPr>
          <w:rFonts w:ascii="Times New Roman" w:hAnsi="Times New Roman"/>
          <w:sz w:val="28"/>
          <w:szCs w:val="28"/>
        </w:rPr>
        <w:t>ь</w:t>
      </w:r>
      <w:r w:rsidRPr="00042B26">
        <w:rPr>
          <w:rFonts w:ascii="Times New Roman" w:hAnsi="Times New Roman"/>
          <w:sz w:val="28"/>
          <w:szCs w:val="28"/>
        </w:rPr>
        <w:t xml:space="preserve"> государственного сектора в Азербайджане, повышени</w:t>
      </w:r>
      <w:r w:rsidR="00430115" w:rsidRPr="00042B26">
        <w:rPr>
          <w:rFonts w:ascii="Times New Roman" w:hAnsi="Times New Roman"/>
          <w:sz w:val="28"/>
          <w:szCs w:val="28"/>
        </w:rPr>
        <w:t>е</w:t>
      </w:r>
      <w:r w:rsidRPr="00042B26">
        <w:rPr>
          <w:rFonts w:ascii="Times New Roman" w:hAnsi="Times New Roman"/>
          <w:sz w:val="28"/>
          <w:szCs w:val="28"/>
        </w:rPr>
        <w:t xml:space="preserve"> социально-экономического уровня жизни населения, развити</w:t>
      </w:r>
      <w:r w:rsidR="00430115" w:rsidRPr="00042B26">
        <w:rPr>
          <w:rFonts w:ascii="Times New Roman" w:hAnsi="Times New Roman"/>
          <w:sz w:val="28"/>
          <w:szCs w:val="28"/>
        </w:rPr>
        <w:t>е</w:t>
      </w:r>
      <w:r w:rsidRPr="00042B26">
        <w:rPr>
          <w:rFonts w:ascii="Times New Roman" w:hAnsi="Times New Roman"/>
          <w:sz w:val="28"/>
          <w:szCs w:val="28"/>
        </w:rPr>
        <w:t xml:space="preserve"> и совершенствовании инфраструктуры ИКТ с целью цифровизации медицины, образования, финансов, в целом экономики, рост потенциала индустрии ИКТ. </w:t>
      </w:r>
      <w:r w:rsidR="002F1C23" w:rsidRPr="00042B26">
        <w:rPr>
          <w:rFonts w:ascii="Times New Roman" w:hAnsi="Times New Roman"/>
          <w:sz w:val="28"/>
          <w:szCs w:val="28"/>
        </w:rPr>
        <w:t>В</w:t>
      </w:r>
      <w:r w:rsidRPr="00042B26">
        <w:rPr>
          <w:rFonts w:ascii="Times New Roman" w:hAnsi="Times New Roman"/>
          <w:sz w:val="28"/>
          <w:szCs w:val="28"/>
        </w:rPr>
        <w:t xml:space="preserve"> стратегические цели входит следующее:</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с</w:t>
      </w:r>
      <w:r w:rsidR="00511904" w:rsidRPr="00042B26">
        <w:rPr>
          <w:rFonts w:ascii="Times New Roman" w:hAnsi="Times New Roman"/>
          <w:sz w:val="28"/>
          <w:szCs w:val="28"/>
        </w:rPr>
        <w:t>овершенствование государственного регулирования путем совершенствования структуры и нормативно-правовой базы сферы ИКТ;</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р</w:t>
      </w:r>
      <w:r w:rsidR="00511904" w:rsidRPr="00042B26">
        <w:rPr>
          <w:rFonts w:ascii="Times New Roman" w:hAnsi="Times New Roman"/>
          <w:sz w:val="28"/>
          <w:szCs w:val="28"/>
        </w:rPr>
        <w:t xml:space="preserve">асширение круга инфраструктуры услуг широкополосного </w:t>
      </w:r>
      <w:r w:rsidRPr="00042B26">
        <w:rPr>
          <w:rFonts w:ascii="Times New Roman" w:hAnsi="Times New Roman"/>
          <w:sz w:val="28"/>
          <w:szCs w:val="28"/>
        </w:rPr>
        <w:t>И</w:t>
      </w:r>
      <w:r w:rsidR="00511904" w:rsidRPr="00042B26">
        <w:rPr>
          <w:rFonts w:ascii="Times New Roman" w:hAnsi="Times New Roman"/>
          <w:sz w:val="28"/>
          <w:szCs w:val="28"/>
        </w:rPr>
        <w:t>нтернета для применения ИКТ;</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о</w:t>
      </w:r>
      <w:r w:rsidR="00511904" w:rsidRPr="00042B26">
        <w:rPr>
          <w:rFonts w:ascii="Times New Roman" w:hAnsi="Times New Roman"/>
          <w:sz w:val="28"/>
          <w:szCs w:val="28"/>
        </w:rPr>
        <w:t>беспечение потребности общества в услугах ИКТ;</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р</w:t>
      </w:r>
      <w:r w:rsidR="00511904" w:rsidRPr="00042B26">
        <w:rPr>
          <w:rFonts w:ascii="Times New Roman" w:hAnsi="Times New Roman"/>
          <w:sz w:val="28"/>
          <w:szCs w:val="28"/>
        </w:rPr>
        <w:t>асширение использования ИКТ в реальном секторе и в обществе в целом;</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р</w:t>
      </w:r>
      <w:r w:rsidR="00511904" w:rsidRPr="00042B26">
        <w:rPr>
          <w:rFonts w:ascii="Times New Roman" w:hAnsi="Times New Roman"/>
          <w:sz w:val="28"/>
          <w:szCs w:val="28"/>
        </w:rPr>
        <w:t xml:space="preserve">ост конкурентоспособного, экспортно-ориентированного и инновационного экономического потенциала в сфере ИКТ; </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р</w:t>
      </w:r>
      <w:r w:rsidR="00511904" w:rsidRPr="00042B26">
        <w:rPr>
          <w:rFonts w:ascii="Times New Roman" w:hAnsi="Times New Roman"/>
          <w:sz w:val="28"/>
          <w:szCs w:val="28"/>
        </w:rPr>
        <w:t xml:space="preserve">асширение </w:t>
      </w:r>
      <w:r w:rsidR="00443236" w:rsidRPr="00042B26">
        <w:rPr>
          <w:rFonts w:ascii="Times New Roman" w:hAnsi="Times New Roman"/>
          <w:sz w:val="28"/>
          <w:szCs w:val="28"/>
        </w:rPr>
        <w:t>сферы</w:t>
      </w:r>
      <w:r w:rsidR="00511904" w:rsidRPr="00042B26">
        <w:rPr>
          <w:rFonts w:ascii="Times New Roman" w:hAnsi="Times New Roman"/>
          <w:sz w:val="28"/>
          <w:szCs w:val="28"/>
        </w:rPr>
        <w:t xml:space="preserve"> «</w:t>
      </w:r>
      <w:r w:rsidR="00430115" w:rsidRPr="00042B26">
        <w:rPr>
          <w:rFonts w:ascii="Times New Roman" w:hAnsi="Times New Roman"/>
          <w:sz w:val="28"/>
          <w:szCs w:val="28"/>
        </w:rPr>
        <w:t>э</w:t>
      </w:r>
      <w:r w:rsidR="00511904" w:rsidRPr="00042B26">
        <w:rPr>
          <w:rFonts w:ascii="Times New Roman" w:hAnsi="Times New Roman"/>
          <w:sz w:val="28"/>
          <w:szCs w:val="28"/>
        </w:rPr>
        <w:t xml:space="preserve">лектронного </w:t>
      </w:r>
      <w:r w:rsidRPr="00042B26">
        <w:rPr>
          <w:rFonts w:ascii="Times New Roman" w:hAnsi="Times New Roman"/>
          <w:sz w:val="28"/>
          <w:szCs w:val="28"/>
        </w:rPr>
        <w:t>п</w:t>
      </w:r>
      <w:r w:rsidR="00511904" w:rsidRPr="00042B26">
        <w:rPr>
          <w:rFonts w:ascii="Times New Roman" w:hAnsi="Times New Roman"/>
          <w:sz w:val="28"/>
          <w:szCs w:val="28"/>
        </w:rPr>
        <w:t xml:space="preserve">равительства», увеличение числа и повышение качества электронных услуг, их автоматизированное и интерактивное применение; </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р</w:t>
      </w:r>
      <w:r w:rsidR="00511904" w:rsidRPr="00042B26">
        <w:rPr>
          <w:rFonts w:ascii="Times New Roman" w:hAnsi="Times New Roman"/>
          <w:sz w:val="28"/>
          <w:szCs w:val="28"/>
        </w:rPr>
        <w:t>асширение применения ИКТ на всех уровнях государственного управления и в местных органах самоуправления;</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с</w:t>
      </w:r>
      <w:r w:rsidR="00511904" w:rsidRPr="00042B26">
        <w:rPr>
          <w:rFonts w:ascii="Times New Roman" w:hAnsi="Times New Roman"/>
          <w:sz w:val="28"/>
          <w:szCs w:val="28"/>
        </w:rPr>
        <w:t>окращение цифрового разрыва в использовании ИКТ между различными сферами экономики, а также городскими и сельскими населенными пунктами;</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о</w:t>
      </w:r>
      <w:r w:rsidR="00511904" w:rsidRPr="00042B26">
        <w:rPr>
          <w:rFonts w:ascii="Times New Roman" w:hAnsi="Times New Roman"/>
          <w:sz w:val="28"/>
          <w:szCs w:val="28"/>
        </w:rPr>
        <w:t xml:space="preserve">беспечение </w:t>
      </w:r>
      <w:r w:rsidR="00443236" w:rsidRPr="00042B26">
        <w:rPr>
          <w:rFonts w:ascii="Times New Roman" w:hAnsi="Times New Roman"/>
          <w:sz w:val="28"/>
          <w:szCs w:val="28"/>
        </w:rPr>
        <w:t>растущей</w:t>
      </w:r>
      <w:r w:rsidR="00511904" w:rsidRPr="00042B26">
        <w:rPr>
          <w:rFonts w:ascii="Times New Roman" w:hAnsi="Times New Roman"/>
          <w:sz w:val="28"/>
          <w:szCs w:val="28"/>
        </w:rPr>
        <w:t xml:space="preserve"> потребности в высококвалифицированных специалистах в области ИКТ;</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с</w:t>
      </w:r>
      <w:r w:rsidR="00511904" w:rsidRPr="00042B26">
        <w:rPr>
          <w:rFonts w:ascii="Times New Roman" w:hAnsi="Times New Roman"/>
          <w:sz w:val="28"/>
          <w:szCs w:val="28"/>
        </w:rPr>
        <w:t>охранение национального культурного наследия, развитие электронных ресурсов, предусмотренных для широкого пользования в сферах образования, медицины, культуры;</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п</w:t>
      </w:r>
      <w:r w:rsidR="00511904" w:rsidRPr="00042B26">
        <w:rPr>
          <w:rFonts w:ascii="Times New Roman" w:hAnsi="Times New Roman"/>
          <w:sz w:val="28"/>
          <w:szCs w:val="28"/>
        </w:rPr>
        <w:t xml:space="preserve">овышение уровня всеобщей подготовки и просвещения по информационной безопасности; </w:t>
      </w:r>
    </w:p>
    <w:p w:rsidR="001B5F42"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у</w:t>
      </w:r>
      <w:r w:rsidR="00511904" w:rsidRPr="00042B26">
        <w:rPr>
          <w:rFonts w:ascii="Times New Roman" w:hAnsi="Times New Roman"/>
          <w:sz w:val="28"/>
          <w:szCs w:val="28"/>
        </w:rPr>
        <w:t>величение удельного веса ИКТ в составе ВВП;</w:t>
      </w:r>
      <w:r w:rsidR="00636F0D" w:rsidRPr="00042B26">
        <w:rPr>
          <w:rFonts w:ascii="Times New Roman" w:hAnsi="Times New Roman"/>
          <w:sz w:val="28"/>
          <w:szCs w:val="28"/>
        </w:rPr>
        <w:t xml:space="preserve"> </w:t>
      </w:r>
    </w:p>
    <w:p w:rsidR="00511904" w:rsidRPr="00042B26" w:rsidRDefault="002F1C23" w:rsidP="00045D44">
      <w:pPr>
        <w:spacing w:after="0" w:line="240" w:lineRule="auto"/>
        <w:ind w:firstLine="709"/>
        <w:contextualSpacing/>
        <w:jc w:val="both"/>
        <w:rPr>
          <w:rFonts w:ascii="Times New Roman" w:hAnsi="Times New Roman"/>
          <w:sz w:val="28"/>
          <w:szCs w:val="28"/>
        </w:rPr>
      </w:pPr>
      <w:r w:rsidRPr="00042B26">
        <w:rPr>
          <w:rFonts w:ascii="Times New Roman" w:hAnsi="Times New Roman"/>
          <w:sz w:val="28"/>
          <w:szCs w:val="28"/>
        </w:rPr>
        <w:t>о</w:t>
      </w:r>
      <w:r w:rsidR="00511904" w:rsidRPr="00042B26">
        <w:rPr>
          <w:rFonts w:ascii="Times New Roman" w:hAnsi="Times New Roman"/>
          <w:sz w:val="28"/>
          <w:szCs w:val="28"/>
        </w:rPr>
        <w:t>рганизация и развитие производства отечественных программных средств и технологического оборудования в области ИКТ;</w:t>
      </w:r>
    </w:p>
    <w:p w:rsidR="00511904" w:rsidRPr="00042B26" w:rsidRDefault="002F1C23"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о</w:t>
      </w:r>
      <w:r w:rsidR="00511904" w:rsidRPr="00042B26">
        <w:rPr>
          <w:rFonts w:ascii="Times New Roman" w:hAnsi="Times New Roman"/>
          <w:sz w:val="28"/>
          <w:szCs w:val="28"/>
        </w:rPr>
        <w:t>беспечение отвечающих требованиям FTT-X</w:t>
      </w:r>
      <w:r w:rsidRPr="00042B26">
        <w:rPr>
          <w:rFonts w:ascii="Times New Roman" w:hAnsi="Times New Roman"/>
          <w:sz w:val="28"/>
          <w:szCs w:val="28"/>
        </w:rPr>
        <w:t xml:space="preserve"> (любая широкополосная телекоммуникационная сеть передачи данных, использующая в своей архитектуре волоконно-оптический кабель)</w:t>
      </w:r>
      <w:r w:rsidR="00511904" w:rsidRPr="00042B26">
        <w:rPr>
          <w:rFonts w:ascii="Times New Roman" w:hAnsi="Times New Roman"/>
          <w:sz w:val="28"/>
          <w:szCs w:val="28"/>
        </w:rPr>
        <w:t xml:space="preserve"> или LTE</w:t>
      </w:r>
      <w:r w:rsidRPr="00042B26">
        <w:rPr>
          <w:rFonts w:ascii="Times New Roman" w:hAnsi="Times New Roman"/>
          <w:sz w:val="28"/>
          <w:szCs w:val="28"/>
        </w:rPr>
        <w:t xml:space="preserve"> (стандарт беспроводной высокоскоростной передачи данных для мобильных телефонов и </w:t>
      </w:r>
      <w:r w:rsidR="00125819" w:rsidRPr="00042B26">
        <w:rPr>
          <w:rFonts w:ascii="Times New Roman" w:hAnsi="Times New Roman"/>
          <w:sz w:val="28"/>
          <w:szCs w:val="28"/>
        </w:rPr>
        <w:br/>
      </w:r>
      <w:r w:rsidRPr="00042B26">
        <w:rPr>
          <w:rFonts w:ascii="Times New Roman" w:hAnsi="Times New Roman"/>
          <w:sz w:val="28"/>
          <w:szCs w:val="28"/>
        </w:rPr>
        <w:t>других терминалов, работающих с данными</w:t>
      </w:r>
      <w:r w:rsidR="005B453F" w:rsidRPr="00042B26">
        <w:rPr>
          <w:rFonts w:ascii="Times New Roman" w:hAnsi="Times New Roman"/>
          <w:sz w:val="28"/>
          <w:szCs w:val="28"/>
        </w:rPr>
        <w:t>)</w:t>
      </w:r>
      <w:r w:rsidR="00511904" w:rsidRPr="00042B26">
        <w:rPr>
          <w:rFonts w:ascii="Times New Roman" w:hAnsi="Times New Roman"/>
          <w:sz w:val="28"/>
          <w:szCs w:val="28"/>
        </w:rPr>
        <w:t xml:space="preserve"> мобильных широкополосных </w:t>
      </w:r>
      <w:r w:rsidR="00125819" w:rsidRPr="00042B26">
        <w:rPr>
          <w:rFonts w:ascii="Times New Roman" w:hAnsi="Times New Roman"/>
          <w:sz w:val="28"/>
          <w:szCs w:val="28"/>
        </w:rPr>
        <w:t>и</w:t>
      </w:r>
      <w:r w:rsidR="00511904" w:rsidRPr="00042B26">
        <w:rPr>
          <w:rFonts w:ascii="Times New Roman" w:hAnsi="Times New Roman"/>
          <w:sz w:val="28"/>
          <w:szCs w:val="28"/>
        </w:rPr>
        <w:t>нтернет</w:t>
      </w:r>
      <w:r w:rsidR="00125819" w:rsidRPr="00042B26">
        <w:rPr>
          <w:rFonts w:ascii="Times New Roman" w:hAnsi="Times New Roman"/>
          <w:sz w:val="28"/>
          <w:szCs w:val="28"/>
        </w:rPr>
        <w:t>-</w:t>
      </w:r>
      <w:r w:rsidR="00511904" w:rsidRPr="00042B26">
        <w:rPr>
          <w:rFonts w:ascii="Times New Roman" w:hAnsi="Times New Roman"/>
          <w:sz w:val="28"/>
          <w:szCs w:val="28"/>
        </w:rPr>
        <w:t>услуг в регионах, селах, отдаленных населенных пунктах;</w:t>
      </w:r>
    </w:p>
    <w:p w:rsidR="00511904" w:rsidRPr="00042B26" w:rsidRDefault="002A377B"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с</w:t>
      </w:r>
      <w:r w:rsidR="00511904" w:rsidRPr="00042B26">
        <w:rPr>
          <w:rFonts w:ascii="Times New Roman" w:hAnsi="Times New Roman"/>
          <w:sz w:val="28"/>
          <w:szCs w:val="28"/>
        </w:rPr>
        <w:t xml:space="preserve">оздание справедливой конкурентной среды, определение и применение прозрачных и эффективных механизмов и процедур регулирования на основе либеральных рыночных принципов; </w:t>
      </w:r>
    </w:p>
    <w:p w:rsidR="00511904" w:rsidRPr="00042B26" w:rsidRDefault="002A377B"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р</w:t>
      </w:r>
      <w:r w:rsidR="00511904" w:rsidRPr="00042B26">
        <w:rPr>
          <w:rFonts w:ascii="Times New Roman" w:hAnsi="Times New Roman"/>
          <w:sz w:val="28"/>
          <w:szCs w:val="28"/>
        </w:rPr>
        <w:t>асширение использования цифровых технологий в государственном управлении и социальной среде;</w:t>
      </w:r>
    </w:p>
    <w:p w:rsidR="00511904" w:rsidRPr="00042B26" w:rsidRDefault="002A377B"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о</w:t>
      </w:r>
      <w:r w:rsidR="00511904" w:rsidRPr="00042B26">
        <w:rPr>
          <w:rFonts w:ascii="Times New Roman" w:hAnsi="Times New Roman"/>
          <w:sz w:val="28"/>
          <w:szCs w:val="28"/>
        </w:rPr>
        <w:t>беспечение более активного участия членов общества в процессе принятия решений с помощью ИКТ.</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 xml:space="preserve">В связи с переходом к цифровой экономике предусматривается совершенствование конкурентного законодательства и политики в </w:t>
      </w:r>
      <w:r w:rsidR="00206B43" w:rsidRPr="00042B26">
        <w:rPr>
          <w:rFonts w:ascii="Times New Roman" w:hAnsi="Times New Roman"/>
          <w:sz w:val="28"/>
          <w:szCs w:val="28"/>
        </w:rPr>
        <w:t>государстве</w:t>
      </w:r>
      <w:r w:rsidRPr="00042B26">
        <w:rPr>
          <w:rFonts w:ascii="Times New Roman" w:hAnsi="Times New Roman"/>
          <w:sz w:val="28"/>
          <w:szCs w:val="28"/>
        </w:rPr>
        <w:t xml:space="preserve">. В Стратегической </w:t>
      </w:r>
      <w:r w:rsidR="00206B43" w:rsidRPr="00042B26">
        <w:rPr>
          <w:rFonts w:ascii="Times New Roman" w:hAnsi="Times New Roman"/>
          <w:sz w:val="28"/>
          <w:szCs w:val="28"/>
        </w:rPr>
        <w:t>дорожной к</w:t>
      </w:r>
      <w:r w:rsidRPr="00042B26">
        <w:rPr>
          <w:rFonts w:ascii="Times New Roman" w:hAnsi="Times New Roman"/>
          <w:sz w:val="28"/>
          <w:szCs w:val="28"/>
        </w:rPr>
        <w:t>арте по производству в Азербайджане потребительских товаров на уровне малого и среднего предпринимательства предусматрива</w:t>
      </w:r>
      <w:r w:rsidR="00720BEE" w:rsidRPr="00042B26">
        <w:rPr>
          <w:rFonts w:ascii="Times New Roman" w:hAnsi="Times New Roman"/>
          <w:sz w:val="28"/>
          <w:szCs w:val="28"/>
        </w:rPr>
        <w:t>ю</w:t>
      </w:r>
      <w:r w:rsidRPr="00042B26">
        <w:rPr>
          <w:rFonts w:ascii="Times New Roman" w:hAnsi="Times New Roman"/>
          <w:sz w:val="28"/>
          <w:szCs w:val="28"/>
        </w:rPr>
        <w:t>тся продолжение важных реформ, создающих благоприятные условия для конкуренции и способствующих созданию благоприятной бизнес-среды</w:t>
      </w:r>
      <w:r w:rsidR="00206B43" w:rsidRPr="00042B26">
        <w:rPr>
          <w:rFonts w:ascii="Times New Roman" w:hAnsi="Times New Roman"/>
          <w:sz w:val="28"/>
          <w:szCs w:val="28"/>
        </w:rPr>
        <w:t>, а также</w:t>
      </w:r>
      <w:r w:rsidRPr="00042B26">
        <w:rPr>
          <w:rFonts w:ascii="Times New Roman" w:hAnsi="Times New Roman"/>
          <w:sz w:val="28"/>
          <w:szCs w:val="28"/>
        </w:rPr>
        <w:t xml:space="preserve"> поддержк</w:t>
      </w:r>
      <w:r w:rsidR="00206B43" w:rsidRPr="00042B26">
        <w:rPr>
          <w:rFonts w:ascii="Times New Roman" w:hAnsi="Times New Roman"/>
          <w:sz w:val="28"/>
          <w:szCs w:val="28"/>
        </w:rPr>
        <w:t>а</w:t>
      </w:r>
      <w:r w:rsidRPr="00042B26">
        <w:rPr>
          <w:rFonts w:ascii="Times New Roman" w:hAnsi="Times New Roman"/>
          <w:sz w:val="28"/>
          <w:szCs w:val="28"/>
        </w:rPr>
        <w:t xml:space="preserve"> развития частного сектора в Азербайджанской Республике.</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Одн</w:t>
      </w:r>
      <w:r w:rsidR="00720BEE" w:rsidRPr="00042B26">
        <w:rPr>
          <w:rFonts w:ascii="Times New Roman" w:hAnsi="Times New Roman"/>
          <w:sz w:val="28"/>
          <w:szCs w:val="28"/>
        </w:rPr>
        <w:t>ими</w:t>
      </w:r>
      <w:r w:rsidRPr="00042B26">
        <w:rPr>
          <w:rFonts w:ascii="Times New Roman" w:hAnsi="Times New Roman"/>
          <w:sz w:val="28"/>
          <w:szCs w:val="28"/>
        </w:rPr>
        <w:t xml:space="preserve"> из главных приоритетных задач явля</w:t>
      </w:r>
      <w:r w:rsidR="00720BEE" w:rsidRPr="00042B26">
        <w:rPr>
          <w:rFonts w:ascii="Times New Roman" w:hAnsi="Times New Roman"/>
          <w:sz w:val="28"/>
          <w:szCs w:val="28"/>
        </w:rPr>
        <w:t>ю</w:t>
      </w:r>
      <w:r w:rsidRPr="00042B26">
        <w:rPr>
          <w:rFonts w:ascii="Times New Roman" w:hAnsi="Times New Roman"/>
          <w:sz w:val="28"/>
          <w:szCs w:val="28"/>
        </w:rPr>
        <w:t>тся выполнение мер по совершенствованию конкурентной среды, совершенствование з</w:t>
      </w:r>
      <w:r w:rsidR="00206B43" w:rsidRPr="00042B26">
        <w:rPr>
          <w:rFonts w:ascii="Times New Roman" w:hAnsi="Times New Roman"/>
          <w:sz w:val="28"/>
          <w:szCs w:val="28"/>
        </w:rPr>
        <w:t>аконодательства о конкуренции и</w:t>
      </w:r>
      <w:r w:rsidRPr="00042B26">
        <w:rPr>
          <w:rFonts w:ascii="Times New Roman" w:hAnsi="Times New Roman"/>
          <w:sz w:val="28"/>
          <w:szCs w:val="28"/>
        </w:rPr>
        <w:t xml:space="preserve"> осуществление экономической политики, учитывающей принципы конкуренции, устраняющей препятствия на пути развития конкуренции и не допускающей возникновения монополий. </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 xml:space="preserve">Повышение конкурентоспособности экономики </w:t>
      </w:r>
      <w:r w:rsidR="00206B43" w:rsidRPr="00042B26">
        <w:rPr>
          <w:rFonts w:ascii="Times New Roman" w:hAnsi="Times New Roman"/>
          <w:sz w:val="28"/>
          <w:szCs w:val="28"/>
        </w:rPr>
        <w:t>государства</w:t>
      </w:r>
      <w:r w:rsidRPr="00042B26">
        <w:rPr>
          <w:rFonts w:ascii="Times New Roman" w:hAnsi="Times New Roman"/>
          <w:sz w:val="28"/>
          <w:szCs w:val="28"/>
        </w:rPr>
        <w:t xml:space="preserve"> и создание ориентированных на экспорт производственных зон рассматрива</w:t>
      </w:r>
      <w:r w:rsidR="00720BEE" w:rsidRPr="00042B26">
        <w:rPr>
          <w:rFonts w:ascii="Times New Roman" w:hAnsi="Times New Roman"/>
          <w:sz w:val="28"/>
          <w:szCs w:val="28"/>
        </w:rPr>
        <w:t>ю</w:t>
      </w:r>
      <w:r w:rsidRPr="00042B26">
        <w:rPr>
          <w:rFonts w:ascii="Times New Roman" w:hAnsi="Times New Roman"/>
          <w:sz w:val="28"/>
          <w:szCs w:val="28"/>
        </w:rPr>
        <w:t>тся как одн</w:t>
      </w:r>
      <w:r w:rsidR="00720BEE" w:rsidRPr="00042B26">
        <w:rPr>
          <w:rFonts w:ascii="Times New Roman" w:hAnsi="Times New Roman"/>
          <w:sz w:val="28"/>
          <w:szCs w:val="28"/>
        </w:rPr>
        <w:t>и</w:t>
      </w:r>
      <w:r w:rsidRPr="00042B26">
        <w:rPr>
          <w:rFonts w:ascii="Times New Roman" w:hAnsi="Times New Roman"/>
          <w:sz w:val="28"/>
          <w:szCs w:val="28"/>
        </w:rPr>
        <w:t xml:space="preserve"> из ключевых приоритетов. Для достижения эт</w:t>
      </w:r>
      <w:r w:rsidR="00720BEE" w:rsidRPr="00042B26">
        <w:rPr>
          <w:rFonts w:ascii="Times New Roman" w:hAnsi="Times New Roman"/>
          <w:sz w:val="28"/>
          <w:szCs w:val="28"/>
        </w:rPr>
        <w:t>их</w:t>
      </w:r>
      <w:r w:rsidRPr="00042B26">
        <w:rPr>
          <w:rFonts w:ascii="Times New Roman" w:hAnsi="Times New Roman"/>
          <w:sz w:val="28"/>
          <w:szCs w:val="28"/>
        </w:rPr>
        <w:t xml:space="preserve"> цел</w:t>
      </w:r>
      <w:r w:rsidR="00720BEE" w:rsidRPr="00042B26">
        <w:rPr>
          <w:rFonts w:ascii="Times New Roman" w:hAnsi="Times New Roman"/>
          <w:sz w:val="28"/>
          <w:szCs w:val="28"/>
        </w:rPr>
        <w:t>ей</w:t>
      </w:r>
      <w:r w:rsidRPr="00042B26">
        <w:rPr>
          <w:rFonts w:ascii="Times New Roman" w:hAnsi="Times New Roman"/>
          <w:sz w:val="28"/>
          <w:szCs w:val="28"/>
        </w:rPr>
        <w:t xml:space="preserve"> буд</w:t>
      </w:r>
      <w:r w:rsidR="00720BEE" w:rsidRPr="00042B26">
        <w:rPr>
          <w:rFonts w:ascii="Times New Roman" w:hAnsi="Times New Roman"/>
          <w:sz w:val="28"/>
          <w:szCs w:val="28"/>
        </w:rPr>
        <w:t>у</w:t>
      </w:r>
      <w:r w:rsidRPr="00042B26">
        <w:rPr>
          <w:rFonts w:ascii="Times New Roman" w:hAnsi="Times New Roman"/>
          <w:sz w:val="28"/>
          <w:szCs w:val="28"/>
        </w:rPr>
        <w:t>т обеспечен</w:t>
      </w:r>
      <w:r w:rsidR="00720BEE" w:rsidRPr="00042B26">
        <w:rPr>
          <w:rFonts w:ascii="Times New Roman" w:hAnsi="Times New Roman"/>
          <w:sz w:val="28"/>
          <w:szCs w:val="28"/>
        </w:rPr>
        <w:t>ы</w:t>
      </w:r>
      <w:r w:rsidRPr="00042B26">
        <w:rPr>
          <w:rFonts w:ascii="Times New Roman" w:hAnsi="Times New Roman"/>
          <w:sz w:val="28"/>
          <w:szCs w:val="28"/>
        </w:rPr>
        <w:t xml:space="preserve"> создание здоровой конкурентной среды в </w:t>
      </w:r>
      <w:r w:rsidR="00206B43" w:rsidRPr="00042B26">
        <w:rPr>
          <w:rFonts w:ascii="Times New Roman" w:hAnsi="Times New Roman"/>
          <w:sz w:val="28"/>
          <w:szCs w:val="28"/>
        </w:rPr>
        <w:t>государстве</w:t>
      </w:r>
      <w:r w:rsidRPr="00042B26">
        <w:rPr>
          <w:rFonts w:ascii="Times New Roman" w:hAnsi="Times New Roman"/>
          <w:sz w:val="28"/>
          <w:szCs w:val="28"/>
        </w:rPr>
        <w:t xml:space="preserve"> и увеличение экспортного потенциала путем достижения производства конкурентоспособной продукции на внутреннем рынке.</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 xml:space="preserve">В связи с этим предусматривается реализация мер по принятию законодательных актов на основе передовой зарубежной практики в едином Кодексе о </w:t>
      </w:r>
      <w:r w:rsidR="00206B43" w:rsidRPr="00042B26">
        <w:rPr>
          <w:rFonts w:ascii="Times New Roman" w:hAnsi="Times New Roman"/>
          <w:sz w:val="28"/>
          <w:szCs w:val="28"/>
        </w:rPr>
        <w:t>к</w:t>
      </w:r>
      <w:r w:rsidRPr="00042B26">
        <w:rPr>
          <w:rFonts w:ascii="Times New Roman" w:hAnsi="Times New Roman"/>
          <w:sz w:val="28"/>
          <w:szCs w:val="28"/>
        </w:rPr>
        <w:t>онкуренции, созданию самостоятельно действующего антимонопольного органа, обеспечению легитимности и надежности решений, принятых антимонопольным ведомством во время расследования дел по нарушению конкурентного законодательства и принятия соответствующих решений.</w:t>
      </w:r>
      <w:r w:rsidR="00636F0D" w:rsidRPr="00042B26">
        <w:rPr>
          <w:rFonts w:ascii="Times New Roman" w:hAnsi="Times New Roman"/>
          <w:sz w:val="28"/>
          <w:szCs w:val="28"/>
        </w:rPr>
        <w:t xml:space="preserve"> </w:t>
      </w:r>
    </w:p>
    <w:p w:rsidR="00511904" w:rsidRPr="00042B26" w:rsidRDefault="00FA5C9C"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В соответствии с</w:t>
      </w:r>
      <w:r w:rsidR="00511904" w:rsidRPr="00042B26">
        <w:rPr>
          <w:rFonts w:ascii="Times New Roman" w:hAnsi="Times New Roman"/>
          <w:sz w:val="28"/>
          <w:szCs w:val="28"/>
        </w:rPr>
        <w:t xml:space="preserve"> Указ</w:t>
      </w:r>
      <w:r w:rsidRPr="00042B26">
        <w:rPr>
          <w:rFonts w:ascii="Times New Roman" w:hAnsi="Times New Roman"/>
          <w:sz w:val="28"/>
          <w:szCs w:val="28"/>
        </w:rPr>
        <w:t>ом</w:t>
      </w:r>
      <w:r w:rsidR="00511904" w:rsidRPr="00042B26">
        <w:rPr>
          <w:rFonts w:ascii="Times New Roman" w:hAnsi="Times New Roman"/>
          <w:sz w:val="28"/>
          <w:szCs w:val="28"/>
        </w:rPr>
        <w:t xml:space="preserve"> Президента Азербайджанской Республики от 26</w:t>
      </w:r>
      <w:r w:rsidR="00045D44" w:rsidRPr="00042B26">
        <w:rPr>
          <w:rFonts w:ascii="Times New Roman" w:hAnsi="Times New Roman"/>
          <w:sz w:val="28"/>
          <w:szCs w:val="28"/>
        </w:rPr>
        <w:t> </w:t>
      </w:r>
      <w:r w:rsidRPr="00042B26">
        <w:rPr>
          <w:rFonts w:ascii="Times New Roman" w:hAnsi="Times New Roman"/>
          <w:sz w:val="28"/>
          <w:szCs w:val="28"/>
        </w:rPr>
        <w:t xml:space="preserve">сентября </w:t>
      </w:r>
      <w:r w:rsidR="00511904" w:rsidRPr="00042B26">
        <w:rPr>
          <w:rFonts w:ascii="Times New Roman" w:hAnsi="Times New Roman"/>
          <w:sz w:val="28"/>
          <w:szCs w:val="28"/>
        </w:rPr>
        <w:t>2018 г</w:t>
      </w:r>
      <w:r w:rsidRPr="00042B26">
        <w:rPr>
          <w:rFonts w:ascii="Times New Roman" w:hAnsi="Times New Roman"/>
          <w:sz w:val="28"/>
          <w:szCs w:val="28"/>
        </w:rPr>
        <w:t>ода</w:t>
      </w:r>
      <w:r w:rsidR="00511904" w:rsidRPr="00042B26">
        <w:rPr>
          <w:rFonts w:ascii="Times New Roman" w:hAnsi="Times New Roman"/>
          <w:sz w:val="28"/>
          <w:szCs w:val="28"/>
        </w:rPr>
        <w:t xml:space="preserve"> №</w:t>
      </w:r>
      <w:r w:rsidR="00045D44" w:rsidRPr="00042B26">
        <w:rPr>
          <w:rFonts w:ascii="Times New Roman" w:hAnsi="Times New Roman"/>
          <w:sz w:val="28"/>
          <w:szCs w:val="28"/>
        </w:rPr>
        <w:t> </w:t>
      </w:r>
      <w:r w:rsidR="00511904" w:rsidRPr="00042B26">
        <w:rPr>
          <w:rFonts w:ascii="Times New Roman" w:hAnsi="Times New Roman"/>
          <w:sz w:val="28"/>
          <w:szCs w:val="28"/>
        </w:rPr>
        <w:t xml:space="preserve">508 в целях исполнения предусмотренных мер для расширения цифровых платежей в рамках Стратегической </w:t>
      </w:r>
      <w:r w:rsidRPr="00042B26">
        <w:rPr>
          <w:rFonts w:ascii="Times New Roman" w:hAnsi="Times New Roman"/>
          <w:sz w:val="28"/>
          <w:szCs w:val="28"/>
        </w:rPr>
        <w:t>д</w:t>
      </w:r>
      <w:r w:rsidR="00511904" w:rsidRPr="00042B26">
        <w:rPr>
          <w:rFonts w:ascii="Times New Roman" w:hAnsi="Times New Roman"/>
          <w:sz w:val="28"/>
          <w:szCs w:val="28"/>
        </w:rPr>
        <w:t xml:space="preserve">орожной </w:t>
      </w:r>
      <w:r w:rsidRPr="00042B26">
        <w:rPr>
          <w:rFonts w:ascii="Times New Roman" w:hAnsi="Times New Roman"/>
          <w:sz w:val="28"/>
          <w:szCs w:val="28"/>
        </w:rPr>
        <w:t>к</w:t>
      </w:r>
      <w:r w:rsidR="00511904" w:rsidRPr="00042B26">
        <w:rPr>
          <w:rFonts w:ascii="Times New Roman" w:hAnsi="Times New Roman"/>
          <w:sz w:val="28"/>
          <w:szCs w:val="28"/>
        </w:rPr>
        <w:t>арты по развитию телекоммуникационных и информационных технологий в Азербайджанской Республике</w:t>
      </w:r>
      <w:r w:rsidR="00720BEE" w:rsidRPr="00042B26">
        <w:rPr>
          <w:rFonts w:ascii="Times New Roman" w:hAnsi="Times New Roman"/>
          <w:sz w:val="28"/>
          <w:szCs w:val="28"/>
        </w:rPr>
        <w:t xml:space="preserve"> была утверждена </w:t>
      </w:r>
      <w:r w:rsidR="00511904" w:rsidRPr="00042B26">
        <w:rPr>
          <w:rFonts w:ascii="Times New Roman" w:hAnsi="Times New Roman"/>
          <w:sz w:val="28"/>
          <w:szCs w:val="28"/>
        </w:rPr>
        <w:t xml:space="preserve">Государственная </w:t>
      </w:r>
      <w:r w:rsidRPr="00042B26">
        <w:rPr>
          <w:rFonts w:ascii="Times New Roman" w:hAnsi="Times New Roman"/>
          <w:sz w:val="28"/>
          <w:szCs w:val="28"/>
        </w:rPr>
        <w:t>п</w:t>
      </w:r>
      <w:r w:rsidR="00511904" w:rsidRPr="00042B26">
        <w:rPr>
          <w:rFonts w:ascii="Times New Roman" w:hAnsi="Times New Roman"/>
          <w:sz w:val="28"/>
          <w:szCs w:val="28"/>
        </w:rPr>
        <w:t xml:space="preserve">рограмма по расширению цифровых платежей в Азербайджанской Республике на </w:t>
      </w:r>
      <w:r w:rsidRPr="00042B26">
        <w:rPr>
          <w:rFonts w:ascii="Times New Roman" w:hAnsi="Times New Roman"/>
          <w:sz w:val="28"/>
          <w:szCs w:val="28"/>
        </w:rPr>
        <w:br/>
      </w:r>
      <w:r w:rsidR="00511904" w:rsidRPr="00042B26">
        <w:rPr>
          <w:rFonts w:ascii="Times New Roman" w:hAnsi="Times New Roman"/>
          <w:sz w:val="28"/>
          <w:szCs w:val="28"/>
        </w:rPr>
        <w:t>2018</w:t>
      </w:r>
      <w:r w:rsidRPr="00042B26">
        <w:rPr>
          <w:rFonts w:ascii="Times New Roman" w:hAnsi="Times New Roman"/>
          <w:sz w:val="28"/>
          <w:szCs w:val="28"/>
        </w:rPr>
        <w:t>–</w:t>
      </w:r>
      <w:r w:rsidR="00511904" w:rsidRPr="00042B26">
        <w:rPr>
          <w:rFonts w:ascii="Times New Roman" w:hAnsi="Times New Roman"/>
          <w:sz w:val="28"/>
          <w:szCs w:val="28"/>
        </w:rPr>
        <w:t>2020 годы.</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Стратегическ</w:t>
      </w:r>
      <w:r w:rsidR="00747A9F" w:rsidRPr="00042B26">
        <w:rPr>
          <w:rFonts w:ascii="Times New Roman" w:hAnsi="Times New Roman"/>
          <w:sz w:val="28"/>
          <w:szCs w:val="28"/>
        </w:rPr>
        <w:t>ими</w:t>
      </w:r>
      <w:r w:rsidRPr="00042B26">
        <w:rPr>
          <w:rFonts w:ascii="Times New Roman" w:hAnsi="Times New Roman"/>
          <w:sz w:val="28"/>
          <w:szCs w:val="28"/>
        </w:rPr>
        <w:t xml:space="preserve"> цел</w:t>
      </w:r>
      <w:r w:rsidR="00747A9F" w:rsidRPr="00042B26">
        <w:rPr>
          <w:rFonts w:ascii="Times New Roman" w:hAnsi="Times New Roman"/>
          <w:sz w:val="28"/>
          <w:szCs w:val="28"/>
        </w:rPr>
        <w:t>ями</w:t>
      </w:r>
      <w:r w:rsidRPr="00042B26">
        <w:rPr>
          <w:rFonts w:ascii="Times New Roman" w:hAnsi="Times New Roman"/>
          <w:sz w:val="28"/>
          <w:szCs w:val="28"/>
        </w:rPr>
        <w:t xml:space="preserve"> Государственной </w:t>
      </w:r>
      <w:r w:rsidR="00FA5C9C" w:rsidRPr="00042B26">
        <w:rPr>
          <w:rFonts w:ascii="Times New Roman" w:hAnsi="Times New Roman"/>
          <w:sz w:val="28"/>
          <w:szCs w:val="28"/>
        </w:rPr>
        <w:t>п</w:t>
      </w:r>
      <w:r w:rsidRPr="00042B26">
        <w:rPr>
          <w:rFonts w:ascii="Times New Roman" w:hAnsi="Times New Roman"/>
          <w:sz w:val="28"/>
          <w:szCs w:val="28"/>
        </w:rPr>
        <w:t>рограммы явля</w:t>
      </w:r>
      <w:r w:rsidR="00747A9F" w:rsidRPr="00042B26">
        <w:rPr>
          <w:rFonts w:ascii="Times New Roman" w:hAnsi="Times New Roman"/>
          <w:sz w:val="28"/>
          <w:szCs w:val="28"/>
        </w:rPr>
        <w:t>ю</w:t>
      </w:r>
      <w:r w:rsidRPr="00042B26">
        <w:rPr>
          <w:rFonts w:ascii="Times New Roman" w:hAnsi="Times New Roman"/>
          <w:sz w:val="28"/>
          <w:szCs w:val="28"/>
        </w:rPr>
        <w:t>тся увеличение доли безналичных платежей между гражданами, бизнес</w:t>
      </w:r>
      <w:r w:rsidR="00747A9F" w:rsidRPr="00042B26">
        <w:rPr>
          <w:rFonts w:ascii="Times New Roman" w:hAnsi="Times New Roman"/>
          <w:sz w:val="28"/>
          <w:szCs w:val="28"/>
        </w:rPr>
        <w:t>-</w:t>
      </w:r>
      <w:r w:rsidRPr="00042B26">
        <w:rPr>
          <w:rFonts w:ascii="Times New Roman" w:hAnsi="Times New Roman"/>
          <w:sz w:val="28"/>
          <w:szCs w:val="28"/>
        </w:rPr>
        <w:t xml:space="preserve">субъектами и государственными учреждениями, минимизация потоков денежных средств и, в конечном итоге, укрепление базы финансовых ресурсов банковского сектора. Основными стратегическими приоритетами являются укрепление институциональной и правовой базы цифровых платежных услуг в </w:t>
      </w:r>
      <w:r w:rsidR="00FA5C9C" w:rsidRPr="00042B26">
        <w:rPr>
          <w:rFonts w:ascii="Times New Roman" w:hAnsi="Times New Roman"/>
          <w:sz w:val="28"/>
          <w:szCs w:val="28"/>
        </w:rPr>
        <w:t>государстве</w:t>
      </w:r>
      <w:r w:rsidRPr="00042B26">
        <w:rPr>
          <w:rFonts w:ascii="Times New Roman" w:hAnsi="Times New Roman"/>
          <w:sz w:val="28"/>
          <w:szCs w:val="28"/>
        </w:rPr>
        <w:t xml:space="preserve">, расширение ассортимента, качества и объема этих услуг, а также их массовое использование. </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 xml:space="preserve">Для дальнейшего совершенствования институциональной среды для цифровых платежей Государственная </w:t>
      </w:r>
      <w:r w:rsidR="00FA5C9C" w:rsidRPr="00042B26">
        <w:rPr>
          <w:rFonts w:ascii="Times New Roman" w:hAnsi="Times New Roman"/>
          <w:sz w:val="28"/>
          <w:szCs w:val="28"/>
        </w:rPr>
        <w:t>п</w:t>
      </w:r>
      <w:r w:rsidRPr="00042B26">
        <w:rPr>
          <w:rFonts w:ascii="Times New Roman" w:hAnsi="Times New Roman"/>
          <w:sz w:val="28"/>
          <w:szCs w:val="28"/>
        </w:rPr>
        <w:t>рограмма предусматривает дальнейшее упрощение механизмов налогообложения, оптимизацию налогового бремени, совершенствование налогового администрирования, повышение эффективности налогового аудита и отчетности, применение упрощенной системы НДС и е</w:t>
      </w:r>
      <w:r w:rsidR="00747A9F" w:rsidRPr="00042B26">
        <w:rPr>
          <w:rFonts w:ascii="Times New Roman" w:hAnsi="Times New Roman"/>
          <w:sz w:val="28"/>
          <w:szCs w:val="28"/>
        </w:rPr>
        <w:t>е</w:t>
      </w:r>
      <w:r w:rsidRPr="00042B26">
        <w:rPr>
          <w:rFonts w:ascii="Times New Roman" w:hAnsi="Times New Roman"/>
          <w:sz w:val="28"/>
          <w:szCs w:val="28"/>
        </w:rPr>
        <w:t xml:space="preserve"> диверсификацию. </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Расширение и использование электронных платежей привед</w:t>
      </w:r>
      <w:r w:rsidR="00747A9F" w:rsidRPr="00042B26">
        <w:rPr>
          <w:rFonts w:ascii="Times New Roman" w:hAnsi="Times New Roman"/>
          <w:sz w:val="28"/>
          <w:szCs w:val="28"/>
        </w:rPr>
        <w:t>у</w:t>
      </w:r>
      <w:r w:rsidRPr="00042B26">
        <w:rPr>
          <w:rFonts w:ascii="Times New Roman" w:hAnsi="Times New Roman"/>
          <w:sz w:val="28"/>
          <w:szCs w:val="28"/>
        </w:rPr>
        <w:t>т к снижению расходов, связанных с наличными платежами, операционных расходов банков и предприятий, что, в свою очередь, будет способствовать расширению налоговой базы, облегчению доступа к финансовым услугам для бизнеса, физических лиц и предприятий, укреплению возможностей кредитования и инвестиций банковского сектора, стимулированию экономического роста.</w:t>
      </w:r>
    </w:p>
    <w:p w:rsidR="00511904" w:rsidRPr="00042B26" w:rsidRDefault="00747A9F"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В</w:t>
      </w:r>
      <w:r w:rsidR="00511904" w:rsidRPr="00042B26">
        <w:rPr>
          <w:rFonts w:ascii="Times New Roman" w:hAnsi="Times New Roman"/>
          <w:sz w:val="28"/>
          <w:szCs w:val="28"/>
        </w:rPr>
        <w:t xml:space="preserve"> цел</w:t>
      </w:r>
      <w:r w:rsidRPr="00042B26">
        <w:rPr>
          <w:rFonts w:ascii="Times New Roman" w:hAnsi="Times New Roman"/>
          <w:sz w:val="28"/>
          <w:szCs w:val="28"/>
        </w:rPr>
        <w:t>ях</w:t>
      </w:r>
      <w:r w:rsidR="00511904" w:rsidRPr="00042B26">
        <w:rPr>
          <w:rFonts w:ascii="Times New Roman" w:hAnsi="Times New Roman"/>
          <w:sz w:val="28"/>
          <w:szCs w:val="28"/>
        </w:rPr>
        <w:t xml:space="preserve"> обеспечения прозрачности операций и расчетов на территории Азербайджанской Республики, защиты прав потребителей, стимулирования замены наличных денежных расчетов на безналичные расчеты и развития банковской системы </w:t>
      </w:r>
      <w:r w:rsidR="00D02A01" w:rsidRPr="00042B26">
        <w:rPr>
          <w:rFonts w:ascii="Times New Roman" w:hAnsi="Times New Roman"/>
          <w:sz w:val="28"/>
          <w:szCs w:val="28"/>
        </w:rPr>
        <w:t xml:space="preserve">16 декабря 2016 года </w:t>
      </w:r>
      <w:r w:rsidR="00511904" w:rsidRPr="00042B26">
        <w:rPr>
          <w:rFonts w:ascii="Times New Roman" w:hAnsi="Times New Roman"/>
          <w:sz w:val="28"/>
          <w:szCs w:val="28"/>
        </w:rPr>
        <w:t>был принят Закон Азербайджанской Республики</w:t>
      </w:r>
      <w:r w:rsidR="00D02A01" w:rsidRPr="00042B26">
        <w:t xml:space="preserve"> </w:t>
      </w:r>
      <w:r w:rsidR="00D02A01" w:rsidRPr="00042B26">
        <w:rPr>
          <w:rFonts w:ascii="Times New Roman" w:hAnsi="Times New Roman"/>
          <w:sz w:val="28"/>
          <w:szCs w:val="28"/>
        </w:rPr>
        <w:t>№</w:t>
      </w:r>
      <w:r w:rsidR="00045D44" w:rsidRPr="00042B26">
        <w:rPr>
          <w:rFonts w:ascii="Times New Roman" w:hAnsi="Times New Roman"/>
          <w:sz w:val="28"/>
          <w:szCs w:val="28"/>
        </w:rPr>
        <w:t> </w:t>
      </w:r>
      <w:r w:rsidR="00D02A01" w:rsidRPr="00042B26">
        <w:rPr>
          <w:rFonts w:ascii="Times New Roman" w:hAnsi="Times New Roman"/>
          <w:sz w:val="28"/>
          <w:szCs w:val="28"/>
        </w:rPr>
        <w:t>461-VQ</w:t>
      </w:r>
      <w:r w:rsidR="00511904" w:rsidRPr="00042B26">
        <w:rPr>
          <w:rFonts w:ascii="Times New Roman" w:hAnsi="Times New Roman"/>
          <w:sz w:val="28"/>
          <w:szCs w:val="28"/>
        </w:rPr>
        <w:t xml:space="preserve"> «О безналичных расчетах». Данный </w:t>
      </w:r>
      <w:r w:rsidRPr="00042B26">
        <w:rPr>
          <w:rFonts w:ascii="Times New Roman" w:hAnsi="Times New Roman"/>
          <w:sz w:val="28"/>
          <w:szCs w:val="28"/>
        </w:rPr>
        <w:t>З</w:t>
      </w:r>
      <w:r w:rsidR="00511904" w:rsidRPr="00042B26">
        <w:rPr>
          <w:rFonts w:ascii="Times New Roman" w:hAnsi="Times New Roman"/>
          <w:sz w:val="28"/>
          <w:szCs w:val="28"/>
        </w:rPr>
        <w:t>акон определяет различные формы безналичных расчетов, виды расчетов, которые осуществляются только безналичными платежами, а также максимальные лимиты денежных расчетов со стороны налогоплательщиков.</w:t>
      </w:r>
    </w:p>
    <w:p w:rsidR="00511904" w:rsidRPr="00042B26" w:rsidRDefault="00FA4E60"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С</w:t>
      </w:r>
      <w:r w:rsidR="00511904" w:rsidRPr="00042B26">
        <w:rPr>
          <w:rFonts w:ascii="Times New Roman" w:hAnsi="Times New Roman"/>
          <w:sz w:val="28"/>
          <w:szCs w:val="28"/>
        </w:rPr>
        <w:t xml:space="preserve"> целью сокращения нерегистрируемого оборота на предприятиях об</w:t>
      </w:r>
      <w:r w:rsidR="00747A9F" w:rsidRPr="00042B26">
        <w:rPr>
          <w:rFonts w:ascii="Times New Roman" w:hAnsi="Times New Roman"/>
          <w:sz w:val="28"/>
          <w:szCs w:val="28"/>
        </w:rPr>
        <w:t xml:space="preserve">щественного питания и торговли </w:t>
      </w:r>
      <w:r w:rsidR="00511904" w:rsidRPr="00042B26">
        <w:rPr>
          <w:rFonts w:ascii="Times New Roman" w:hAnsi="Times New Roman"/>
          <w:sz w:val="28"/>
          <w:szCs w:val="28"/>
        </w:rPr>
        <w:t xml:space="preserve">создана Рабочая </w:t>
      </w:r>
      <w:r w:rsidR="00747A9F" w:rsidRPr="00042B26">
        <w:rPr>
          <w:rFonts w:ascii="Times New Roman" w:hAnsi="Times New Roman"/>
          <w:sz w:val="28"/>
          <w:szCs w:val="28"/>
        </w:rPr>
        <w:t>г</w:t>
      </w:r>
      <w:r w:rsidR="00511904" w:rsidRPr="00042B26">
        <w:rPr>
          <w:rFonts w:ascii="Times New Roman" w:hAnsi="Times New Roman"/>
          <w:sz w:val="28"/>
          <w:szCs w:val="28"/>
        </w:rPr>
        <w:t>руппа по продвижению онлайн</w:t>
      </w:r>
      <w:r w:rsidR="00747A9F" w:rsidRPr="00042B26">
        <w:rPr>
          <w:rFonts w:ascii="Times New Roman" w:hAnsi="Times New Roman"/>
          <w:sz w:val="28"/>
          <w:szCs w:val="28"/>
        </w:rPr>
        <w:t>-</w:t>
      </w:r>
      <w:r w:rsidR="00511904" w:rsidRPr="00042B26">
        <w:rPr>
          <w:rFonts w:ascii="Times New Roman" w:hAnsi="Times New Roman"/>
          <w:sz w:val="28"/>
          <w:szCs w:val="28"/>
        </w:rPr>
        <w:t xml:space="preserve">кассовых аппаратов. </w:t>
      </w:r>
    </w:p>
    <w:p w:rsidR="00511904" w:rsidRPr="00042B26" w:rsidRDefault="00FA4E60"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 xml:space="preserve">9 марта 2004 года </w:t>
      </w:r>
      <w:r w:rsidR="00511904" w:rsidRPr="00042B26">
        <w:rPr>
          <w:rFonts w:ascii="Times New Roman" w:hAnsi="Times New Roman"/>
          <w:sz w:val="28"/>
          <w:szCs w:val="28"/>
        </w:rPr>
        <w:t>был принят Закон Азербайджанской Республики</w:t>
      </w:r>
      <w:r w:rsidRPr="00042B26">
        <w:t xml:space="preserve"> </w:t>
      </w:r>
      <w:r w:rsidRPr="00042B26">
        <w:rPr>
          <w:rFonts w:ascii="Times New Roman" w:hAnsi="Times New Roman"/>
          <w:sz w:val="28"/>
          <w:szCs w:val="28"/>
        </w:rPr>
        <w:t>№</w:t>
      </w:r>
      <w:r w:rsidR="00045D44" w:rsidRPr="00042B26">
        <w:rPr>
          <w:rFonts w:ascii="Times New Roman" w:hAnsi="Times New Roman"/>
          <w:sz w:val="28"/>
          <w:szCs w:val="28"/>
        </w:rPr>
        <w:t> </w:t>
      </w:r>
      <w:r w:rsidRPr="00042B26">
        <w:rPr>
          <w:rFonts w:ascii="Times New Roman" w:hAnsi="Times New Roman"/>
          <w:sz w:val="28"/>
          <w:szCs w:val="28"/>
        </w:rPr>
        <w:t>602-IIQ</w:t>
      </w:r>
      <w:r w:rsidR="00511904" w:rsidRPr="00042B26">
        <w:rPr>
          <w:rFonts w:ascii="Times New Roman" w:hAnsi="Times New Roman"/>
          <w:sz w:val="28"/>
          <w:szCs w:val="28"/>
        </w:rPr>
        <w:t xml:space="preserve"> «Об электронной подписи и электронном документе». Согласно </w:t>
      </w:r>
      <w:r w:rsidR="00747A9F" w:rsidRPr="00042B26">
        <w:rPr>
          <w:rFonts w:ascii="Times New Roman" w:hAnsi="Times New Roman"/>
          <w:sz w:val="28"/>
          <w:szCs w:val="28"/>
        </w:rPr>
        <w:t>р</w:t>
      </w:r>
      <w:r w:rsidR="00511904" w:rsidRPr="00042B26">
        <w:rPr>
          <w:rFonts w:ascii="Times New Roman" w:hAnsi="Times New Roman"/>
          <w:sz w:val="28"/>
          <w:szCs w:val="28"/>
        </w:rPr>
        <w:t>аспоряжению Президента Азербайджанской Республики от 28</w:t>
      </w:r>
      <w:r w:rsidRPr="00042B26">
        <w:rPr>
          <w:rFonts w:ascii="Times New Roman" w:hAnsi="Times New Roman"/>
          <w:sz w:val="28"/>
          <w:szCs w:val="28"/>
        </w:rPr>
        <w:t xml:space="preserve"> ноября </w:t>
      </w:r>
      <w:r w:rsidR="00511904" w:rsidRPr="00042B26">
        <w:rPr>
          <w:rFonts w:ascii="Times New Roman" w:hAnsi="Times New Roman"/>
          <w:sz w:val="28"/>
          <w:szCs w:val="28"/>
        </w:rPr>
        <w:t>2014</w:t>
      </w:r>
      <w:r w:rsidR="00045D44" w:rsidRPr="00042B26">
        <w:rPr>
          <w:rFonts w:ascii="Times New Roman" w:hAnsi="Times New Roman"/>
          <w:sz w:val="28"/>
          <w:szCs w:val="28"/>
        </w:rPr>
        <w:t> </w:t>
      </w:r>
      <w:r w:rsidR="00511904" w:rsidRPr="00042B26">
        <w:rPr>
          <w:rFonts w:ascii="Times New Roman" w:hAnsi="Times New Roman"/>
          <w:sz w:val="28"/>
          <w:szCs w:val="28"/>
        </w:rPr>
        <w:t>г</w:t>
      </w:r>
      <w:r w:rsidRPr="00042B26">
        <w:rPr>
          <w:rFonts w:ascii="Times New Roman" w:hAnsi="Times New Roman"/>
          <w:sz w:val="28"/>
          <w:szCs w:val="28"/>
        </w:rPr>
        <w:t>ода</w:t>
      </w:r>
      <w:r w:rsidR="00511904" w:rsidRPr="00042B26">
        <w:rPr>
          <w:rFonts w:ascii="Times New Roman" w:hAnsi="Times New Roman"/>
          <w:sz w:val="28"/>
          <w:szCs w:val="28"/>
        </w:rPr>
        <w:t xml:space="preserve"> №</w:t>
      </w:r>
      <w:r w:rsidR="00045D44" w:rsidRPr="00042B26">
        <w:rPr>
          <w:rFonts w:ascii="Times New Roman" w:hAnsi="Times New Roman"/>
          <w:sz w:val="28"/>
          <w:szCs w:val="28"/>
        </w:rPr>
        <w:t> </w:t>
      </w:r>
      <w:r w:rsidR="00511904" w:rsidRPr="00042B26">
        <w:rPr>
          <w:rFonts w:ascii="Times New Roman" w:hAnsi="Times New Roman"/>
          <w:sz w:val="28"/>
          <w:szCs w:val="28"/>
        </w:rPr>
        <w:t>893 «О дополнительных мерах, связанных с применением удостоверения личности нового поколения в Азербайджанской Республике» в удостоверениях личности нового поколения, выдаваемых гражданам, размещены сертификаты электронной подписи. Одновременно Указом Президента Азербайджанской Республики от 12</w:t>
      </w:r>
      <w:r w:rsidRPr="00042B26">
        <w:rPr>
          <w:rFonts w:ascii="Times New Roman" w:hAnsi="Times New Roman"/>
          <w:sz w:val="28"/>
          <w:szCs w:val="28"/>
        </w:rPr>
        <w:t xml:space="preserve"> сентября </w:t>
      </w:r>
      <w:r w:rsidR="00511904" w:rsidRPr="00042B26">
        <w:rPr>
          <w:rFonts w:ascii="Times New Roman" w:hAnsi="Times New Roman"/>
          <w:sz w:val="28"/>
          <w:szCs w:val="28"/>
        </w:rPr>
        <w:t>2017 г</w:t>
      </w:r>
      <w:r w:rsidRPr="00042B26">
        <w:rPr>
          <w:rFonts w:ascii="Times New Roman" w:hAnsi="Times New Roman"/>
          <w:sz w:val="28"/>
          <w:szCs w:val="28"/>
        </w:rPr>
        <w:t>ода</w:t>
      </w:r>
      <w:r w:rsidR="00511904" w:rsidRPr="00042B26">
        <w:rPr>
          <w:rFonts w:ascii="Times New Roman" w:hAnsi="Times New Roman"/>
          <w:sz w:val="28"/>
          <w:szCs w:val="28"/>
        </w:rPr>
        <w:t xml:space="preserve"> №</w:t>
      </w:r>
      <w:r w:rsidR="00045D44" w:rsidRPr="00042B26">
        <w:rPr>
          <w:rFonts w:ascii="Times New Roman" w:hAnsi="Times New Roman"/>
          <w:sz w:val="28"/>
          <w:szCs w:val="28"/>
        </w:rPr>
        <w:t> </w:t>
      </w:r>
      <w:r w:rsidR="00511904" w:rsidRPr="00042B26">
        <w:rPr>
          <w:rFonts w:ascii="Times New Roman" w:hAnsi="Times New Roman"/>
          <w:sz w:val="28"/>
          <w:szCs w:val="28"/>
        </w:rPr>
        <w:t xml:space="preserve">1598 был утвержден Порядок выдачи сертификата электронной подписи нерезидентам через дипломатические представительства и консульства Азербайджанской Республики. </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В Азербайджане сектор ИКТ стремительно развивается. 81,2</w:t>
      </w:r>
      <w:r w:rsidR="00FA4E60" w:rsidRPr="00042B26">
        <w:rPr>
          <w:rFonts w:ascii="Times New Roman" w:hAnsi="Times New Roman"/>
          <w:sz w:val="28"/>
          <w:szCs w:val="28"/>
        </w:rPr>
        <w:t> </w:t>
      </w:r>
      <w:r w:rsidRPr="00042B26">
        <w:rPr>
          <w:rFonts w:ascii="Times New Roman" w:hAnsi="Times New Roman"/>
          <w:sz w:val="28"/>
          <w:szCs w:val="28"/>
        </w:rPr>
        <w:t>% доходов приходится на долю частного сектора. 80</w:t>
      </w:r>
      <w:r w:rsidR="00FA4E60" w:rsidRPr="00042B26">
        <w:rPr>
          <w:rFonts w:ascii="Times New Roman" w:hAnsi="Times New Roman"/>
          <w:sz w:val="28"/>
          <w:szCs w:val="28"/>
        </w:rPr>
        <w:t> </w:t>
      </w:r>
      <w:r w:rsidRPr="00042B26">
        <w:rPr>
          <w:rFonts w:ascii="Times New Roman" w:hAnsi="Times New Roman"/>
          <w:sz w:val="28"/>
          <w:szCs w:val="28"/>
        </w:rPr>
        <w:t>%</w:t>
      </w:r>
      <w:r w:rsidR="00B25252" w:rsidRPr="00042B26">
        <w:rPr>
          <w:rFonts w:ascii="Times New Roman" w:hAnsi="Times New Roman"/>
          <w:sz w:val="28"/>
          <w:szCs w:val="28"/>
        </w:rPr>
        <w:t xml:space="preserve"> населения пользуется Интернетом</w:t>
      </w:r>
      <w:r w:rsidR="00CC3E5B" w:rsidRPr="00042B26">
        <w:rPr>
          <w:rFonts w:ascii="Times New Roman" w:hAnsi="Times New Roman"/>
          <w:sz w:val="28"/>
          <w:szCs w:val="28"/>
        </w:rPr>
        <w:t>.</w:t>
      </w:r>
      <w:r w:rsidRPr="00042B26">
        <w:rPr>
          <w:rFonts w:ascii="Times New Roman" w:hAnsi="Times New Roman"/>
          <w:sz w:val="28"/>
          <w:szCs w:val="28"/>
        </w:rPr>
        <w:t xml:space="preserve"> </w:t>
      </w:r>
      <w:r w:rsidR="00CC3E5B" w:rsidRPr="00042B26">
        <w:rPr>
          <w:rFonts w:ascii="Times New Roman" w:hAnsi="Times New Roman"/>
          <w:sz w:val="28"/>
          <w:szCs w:val="28"/>
        </w:rPr>
        <w:t>П</w:t>
      </w:r>
      <w:r w:rsidRPr="00042B26">
        <w:rPr>
          <w:rFonts w:ascii="Times New Roman" w:hAnsi="Times New Roman"/>
          <w:sz w:val="28"/>
          <w:szCs w:val="28"/>
        </w:rPr>
        <w:t xml:space="preserve">ропускная способность широкополосного </w:t>
      </w:r>
      <w:r w:rsidR="00FA4E60" w:rsidRPr="00042B26">
        <w:rPr>
          <w:rFonts w:ascii="Times New Roman" w:hAnsi="Times New Roman"/>
          <w:sz w:val="28"/>
          <w:szCs w:val="28"/>
        </w:rPr>
        <w:t>И</w:t>
      </w:r>
      <w:r w:rsidRPr="00042B26">
        <w:rPr>
          <w:rFonts w:ascii="Times New Roman" w:hAnsi="Times New Roman"/>
          <w:sz w:val="28"/>
          <w:szCs w:val="28"/>
        </w:rPr>
        <w:t>нтернета составляет 72</w:t>
      </w:r>
      <w:r w:rsidR="00FA4E60" w:rsidRPr="00042B26">
        <w:rPr>
          <w:rFonts w:ascii="Times New Roman" w:hAnsi="Times New Roman"/>
          <w:sz w:val="28"/>
          <w:szCs w:val="28"/>
        </w:rPr>
        <w:t> </w:t>
      </w:r>
      <w:r w:rsidRPr="00042B26">
        <w:rPr>
          <w:rFonts w:ascii="Times New Roman" w:hAnsi="Times New Roman"/>
          <w:sz w:val="28"/>
          <w:szCs w:val="28"/>
        </w:rPr>
        <w:t xml:space="preserve">%. Мобильный сектор предлагает услуги </w:t>
      </w:r>
      <w:r w:rsidR="00443236" w:rsidRPr="00042B26">
        <w:rPr>
          <w:rFonts w:ascii="Times New Roman" w:hAnsi="Times New Roman"/>
          <w:sz w:val="28"/>
          <w:szCs w:val="28"/>
        </w:rPr>
        <w:t xml:space="preserve">в форматах </w:t>
      </w:r>
      <w:r w:rsidRPr="00042B26">
        <w:rPr>
          <w:rFonts w:ascii="Times New Roman" w:hAnsi="Times New Roman"/>
          <w:sz w:val="28"/>
          <w:szCs w:val="28"/>
        </w:rPr>
        <w:t xml:space="preserve">3G и 4G. </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 xml:space="preserve">Интернет-портал www.azexport.az, созданный </w:t>
      </w:r>
      <w:r w:rsidR="007C0030" w:rsidRPr="00042B26">
        <w:rPr>
          <w:rFonts w:ascii="Times New Roman" w:hAnsi="Times New Roman"/>
          <w:sz w:val="28"/>
          <w:szCs w:val="28"/>
        </w:rPr>
        <w:t>в соответствии</w:t>
      </w:r>
      <w:r w:rsidRPr="00042B26">
        <w:rPr>
          <w:rFonts w:ascii="Times New Roman" w:hAnsi="Times New Roman"/>
          <w:sz w:val="28"/>
          <w:szCs w:val="28"/>
        </w:rPr>
        <w:t xml:space="preserve"> </w:t>
      </w:r>
      <w:r w:rsidR="007C0030" w:rsidRPr="00042B26">
        <w:rPr>
          <w:rFonts w:ascii="Times New Roman" w:hAnsi="Times New Roman"/>
          <w:sz w:val="28"/>
          <w:szCs w:val="28"/>
        </w:rPr>
        <w:t xml:space="preserve">с </w:t>
      </w:r>
      <w:r w:rsidR="0079428C" w:rsidRPr="00042B26">
        <w:rPr>
          <w:rFonts w:ascii="Times New Roman" w:hAnsi="Times New Roman"/>
          <w:sz w:val="28"/>
          <w:szCs w:val="28"/>
        </w:rPr>
        <w:t>р</w:t>
      </w:r>
      <w:r w:rsidR="007C0030" w:rsidRPr="00042B26">
        <w:rPr>
          <w:rFonts w:ascii="Times New Roman" w:hAnsi="Times New Roman"/>
          <w:sz w:val="28"/>
          <w:szCs w:val="28"/>
        </w:rPr>
        <w:t>аспоряжением</w:t>
      </w:r>
      <w:r w:rsidRPr="00042B26">
        <w:rPr>
          <w:rFonts w:ascii="Times New Roman" w:hAnsi="Times New Roman"/>
          <w:sz w:val="28"/>
          <w:szCs w:val="28"/>
        </w:rPr>
        <w:t xml:space="preserve"> Президента Азербайджанской Республики от 21</w:t>
      </w:r>
      <w:r w:rsidR="007C0030" w:rsidRPr="00042B26">
        <w:rPr>
          <w:rFonts w:ascii="Times New Roman" w:hAnsi="Times New Roman"/>
          <w:sz w:val="28"/>
          <w:szCs w:val="28"/>
        </w:rPr>
        <w:t xml:space="preserve"> сентября </w:t>
      </w:r>
      <w:r w:rsidRPr="00042B26">
        <w:rPr>
          <w:rFonts w:ascii="Times New Roman" w:hAnsi="Times New Roman"/>
          <w:sz w:val="28"/>
          <w:szCs w:val="28"/>
        </w:rPr>
        <w:t>2016</w:t>
      </w:r>
      <w:r w:rsidR="00045D44" w:rsidRPr="00042B26">
        <w:rPr>
          <w:rFonts w:ascii="Times New Roman" w:hAnsi="Times New Roman"/>
          <w:sz w:val="28"/>
          <w:szCs w:val="28"/>
        </w:rPr>
        <w:t> </w:t>
      </w:r>
      <w:r w:rsidRPr="00042B26">
        <w:rPr>
          <w:rFonts w:ascii="Times New Roman" w:hAnsi="Times New Roman"/>
          <w:sz w:val="28"/>
          <w:szCs w:val="28"/>
        </w:rPr>
        <w:t>г</w:t>
      </w:r>
      <w:r w:rsidR="007C0030" w:rsidRPr="00042B26">
        <w:rPr>
          <w:rFonts w:ascii="Times New Roman" w:hAnsi="Times New Roman"/>
          <w:sz w:val="28"/>
          <w:szCs w:val="28"/>
        </w:rPr>
        <w:t xml:space="preserve">ода </w:t>
      </w:r>
      <w:r w:rsidRPr="00042B26">
        <w:rPr>
          <w:rFonts w:ascii="Times New Roman" w:hAnsi="Times New Roman"/>
          <w:sz w:val="28"/>
          <w:szCs w:val="28"/>
        </w:rPr>
        <w:t>№</w:t>
      </w:r>
      <w:r w:rsidR="00045D44" w:rsidRPr="00042B26">
        <w:rPr>
          <w:rFonts w:ascii="Times New Roman" w:hAnsi="Times New Roman"/>
          <w:sz w:val="28"/>
          <w:szCs w:val="28"/>
        </w:rPr>
        <w:t> </w:t>
      </w:r>
      <w:r w:rsidRPr="00042B26">
        <w:rPr>
          <w:rFonts w:ascii="Times New Roman" w:hAnsi="Times New Roman"/>
          <w:sz w:val="28"/>
          <w:szCs w:val="28"/>
        </w:rPr>
        <w:t xml:space="preserve">2349, </w:t>
      </w:r>
      <w:r w:rsidR="00B25252" w:rsidRPr="00042B26">
        <w:rPr>
          <w:rFonts w:ascii="Times New Roman" w:hAnsi="Times New Roman"/>
          <w:sz w:val="28"/>
          <w:szCs w:val="28"/>
        </w:rPr>
        <w:t>дает возможность</w:t>
      </w:r>
      <w:r w:rsidRPr="00042B26">
        <w:rPr>
          <w:rFonts w:ascii="Times New Roman" w:hAnsi="Times New Roman"/>
          <w:sz w:val="28"/>
          <w:szCs w:val="28"/>
        </w:rPr>
        <w:t xml:space="preserve"> предпринимателям </w:t>
      </w:r>
      <w:r w:rsidR="00B25252" w:rsidRPr="00042B26">
        <w:rPr>
          <w:rFonts w:ascii="Times New Roman" w:hAnsi="Times New Roman"/>
          <w:sz w:val="28"/>
          <w:szCs w:val="28"/>
        </w:rPr>
        <w:t>представлять</w:t>
      </w:r>
      <w:r w:rsidRPr="00042B26">
        <w:rPr>
          <w:rFonts w:ascii="Times New Roman" w:hAnsi="Times New Roman"/>
          <w:sz w:val="28"/>
          <w:szCs w:val="28"/>
        </w:rPr>
        <w:t xml:space="preserve"> сво</w:t>
      </w:r>
      <w:r w:rsidR="00B25252" w:rsidRPr="00042B26">
        <w:rPr>
          <w:rFonts w:ascii="Times New Roman" w:hAnsi="Times New Roman"/>
          <w:sz w:val="28"/>
          <w:szCs w:val="28"/>
        </w:rPr>
        <w:t>ю продукцию</w:t>
      </w:r>
      <w:r w:rsidRPr="00042B26">
        <w:rPr>
          <w:rFonts w:ascii="Times New Roman" w:hAnsi="Times New Roman"/>
          <w:sz w:val="28"/>
          <w:szCs w:val="28"/>
        </w:rPr>
        <w:t xml:space="preserve"> на внешни</w:t>
      </w:r>
      <w:r w:rsidR="00B25252" w:rsidRPr="00042B26">
        <w:rPr>
          <w:rFonts w:ascii="Times New Roman" w:hAnsi="Times New Roman"/>
          <w:sz w:val="28"/>
          <w:szCs w:val="28"/>
        </w:rPr>
        <w:t>х</w:t>
      </w:r>
      <w:r w:rsidRPr="00042B26">
        <w:rPr>
          <w:rFonts w:ascii="Times New Roman" w:hAnsi="Times New Roman"/>
          <w:sz w:val="28"/>
          <w:szCs w:val="28"/>
        </w:rPr>
        <w:t xml:space="preserve"> и внутренни</w:t>
      </w:r>
      <w:r w:rsidR="00B25252" w:rsidRPr="00042B26">
        <w:rPr>
          <w:rFonts w:ascii="Times New Roman" w:hAnsi="Times New Roman"/>
          <w:sz w:val="28"/>
          <w:szCs w:val="28"/>
        </w:rPr>
        <w:t>х</w:t>
      </w:r>
      <w:r w:rsidRPr="00042B26">
        <w:rPr>
          <w:rFonts w:ascii="Times New Roman" w:hAnsi="Times New Roman"/>
          <w:sz w:val="28"/>
          <w:szCs w:val="28"/>
        </w:rPr>
        <w:t xml:space="preserve"> рынк</w:t>
      </w:r>
      <w:r w:rsidR="00B25252" w:rsidRPr="00042B26">
        <w:rPr>
          <w:rFonts w:ascii="Times New Roman" w:hAnsi="Times New Roman"/>
          <w:sz w:val="28"/>
          <w:szCs w:val="28"/>
        </w:rPr>
        <w:t>ах</w:t>
      </w:r>
      <w:r w:rsidRPr="00042B26">
        <w:rPr>
          <w:rFonts w:ascii="Times New Roman" w:hAnsi="Times New Roman"/>
          <w:sz w:val="28"/>
          <w:szCs w:val="28"/>
        </w:rPr>
        <w:t xml:space="preserve"> через электронные торговые каналы. </w:t>
      </w:r>
      <w:r w:rsidR="00B25252" w:rsidRPr="00042B26">
        <w:rPr>
          <w:rFonts w:ascii="Times New Roman" w:hAnsi="Times New Roman"/>
          <w:sz w:val="28"/>
          <w:szCs w:val="28"/>
        </w:rPr>
        <w:t xml:space="preserve">Данный </w:t>
      </w:r>
      <w:r w:rsidRPr="00042B26">
        <w:rPr>
          <w:rFonts w:ascii="Times New Roman" w:hAnsi="Times New Roman"/>
          <w:sz w:val="28"/>
          <w:szCs w:val="28"/>
        </w:rPr>
        <w:t>портал, интегрир</w:t>
      </w:r>
      <w:r w:rsidR="007C0030" w:rsidRPr="00042B26">
        <w:rPr>
          <w:rFonts w:ascii="Times New Roman" w:hAnsi="Times New Roman"/>
          <w:sz w:val="28"/>
          <w:szCs w:val="28"/>
        </w:rPr>
        <w:t>ованный</w:t>
      </w:r>
      <w:r w:rsidRPr="00042B26">
        <w:rPr>
          <w:rFonts w:ascii="Times New Roman" w:hAnsi="Times New Roman"/>
          <w:sz w:val="28"/>
          <w:szCs w:val="28"/>
        </w:rPr>
        <w:t xml:space="preserve"> с торговыми сетями Amazon</w:t>
      </w:r>
      <w:r w:rsidR="00B25252" w:rsidRPr="00042B26">
        <w:rPr>
          <w:rFonts w:ascii="Times New Roman" w:hAnsi="Times New Roman"/>
          <w:sz w:val="28"/>
          <w:szCs w:val="28"/>
        </w:rPr>
        <w:t xml:space="preserve"> и</w:t>
      </w:r>
      <w:r w:rsidRPr="00042B26">
        <w:rPr>
          <w:rFonts w:ascii="Times New Roman" w:hAnsi="Times New Roman"/>
          <w:sz w:val="28"/>
          <w:szCs w:val="28"/>
        </w:rPr>
        <w:t xml:space="preserve"> Alibaba, </w:t>
      </w:r>
      <w:r w:rsidR="00B25252" w:rsidRPr="00042B26">
        <w:rPr>
          <w:rFonts w:ascii="Times New Roman" w:hAnsi="Times New Roman"/>
          <w:sz w:val="28"/>
          <w:szCs w:val="28"/>
        </w:rPr>
        <w:t>а также с</w:t>
      </w:r>
      <w:r w:rsidRPr="00042B26">
        <w:rPr>
          <w:rFonts w:ascii="Times New Roman" w:hAnsi="Times New Roman"/>
          <w:sz w:val="28"/>
          <w:szCs w:val="28"/>
        </w:rPr>
        <w:t xml:space="preserve"> трансп</w:t>
      </w:r>
      <w:r w:rsidR="00B25252" w:rsidRPr="00042B26">
        <w:rPr>
          <w:rFonts w:ascii="Times New Roman" w:hAnsi="Times New Roman"/>
          <w:sz w:val="28"/>
          <w:szCs w:val="28"/>
        </w:rPr>
        <w:t>ортно-логистическими компаниями</w:t>
      </w:r>
      <w:r w:rsidRPr="00042B26">
        <w:rPr>
          <w:rFonts w:ascii="Times New Roman" w:hAnsi="Times New Roman"/>
          <w:sz w:val="28"/>
          <w:szCs w:val="28"/>
        </w:rPr>
        <w:t xml:space="preserve"> DHL</w:t>
      </w:r>
      <w:r w:rsidR="00B25252" w:rsidRPr="00042B26">
        <w:rPr>
          <w:rFonts w:ascii="Times New Roman" w:hAnsi="Times New Roman"/>
          <w:sz w:val="28"/>
          <w:szCs w:val="28"/>
        </w:rPr>
        <w:t xml:space="preserve"> и</w:t>
      </w:r>
      <w:r w:rsidRPr="00042B26">
        <w:rPr>
          <w:rFonts w:ascii="Times New Roman" w:hAnsi="Times New Roman"/>
          <w:sz w:val="28"/>
          <w:szCs w:val="28"/>
        </w:rPr>
        <w:t xml:space="preserve"> TNT, </w:t>
      </w:r>
      <w:r w:rsidR="00B25252" w:rsidRPr="00042B26">
        <w:rPr>
          <w:rFonts w:ascii="Times New Roman" w:hAnsi="Times New Roman"/>
          <w:sz w:val="28"/>
          <w:szCs w:val="28"/>
        </w:rPr>
        <w:t>способствует</w:t>
      </w:r>
      <w:r w:rsidRPr="00042B26">
        <w:rPr>
          <w:rFonts w:ascii="Times New Roman" w:hAnsi="Times New Roman"/>
          <w:sz w:val="28"/>
          <w:szCs w:val="28"/>
        </w:rPr>
        <w:t xml:space="preserve"> развитию электронной торговли в </w:t>
      </w:r>
      <w:r w:rsidR="007C0030" w:rsidRPr="00042B26">
        <w:rPr>
          <w:rFonts w:ascii="Times New Roman" w:hAnsi="Times New Roman"/>
          <w:sz w:val="28"/>
          <w:szCs w:val="28"/>
        </w:rPr>
        <w:t>Азербайджане</w:t>
      </w:r>
      <w:r w:rsidRPr="00042B26">
        <w:rPr>
          <w:rFonts w:ascii="Times New Roman" w:hAnsi="Times New Roman"/>
          <w:sz w:val="28"/>
          <w:szCs w:val="28"/>
        </w:rPr>
        <w:t xml:space="preserve">. Прием карточных платежей через портал осуществляется в безопасном режиме. </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Указом Президента Азербайджанской Республики от 22</w:t>
      </w:r>
      <w:r w:rsidR="00B25252" w:rsidRPr="00042B26">
        <w:rPr>
          <w:rFonts w:ascii="Times New Roman" w:hAnsi="Times New Roman"/>
          <w:sz w:val="28"/>
          <w:szCs w:val="28"/>
        </w:rPr>
        <w:t xml:space="preserve"> февраля </w:t>
      </w:r>
      <w:r w:rsidRPr="00042B26">
        <w:rPr>
          <w:rFonts w:ascii="Times New Roman" w:hAnsi="Times New Roman"/>
          <w:sz w:val="28"/>
          <w:szCs w:val="28"/>
        </w:rPr>
        <w:t>2017</w:t>
      </w:r>
      <w:r w:rsidR="00045D44" w:rsidRPr="00042B26">
        <w:rPr>
          <w:rFonts w:ascii="Times New Roman" w:hAnsi="Times New Roman"/>
          <w:sz w:val="28"/>
          <w:szCs w:val="28"/>
        </w:rPr>
        <w:t> </w:t>
      </w:r>
      <w:r w:rsidRPr="00042B26">
        <w:rPr>
          <w:rFonts w:ascii="Times New Roman" w:hAnsi="Times New Roman"/>
          <w:sz w:val="28"/>
          <w:szCs w:val="28"/>
        </w:rPr>
        <w:t>г</w:t>
      </w:r>
      <w:r w:rsidR="00B25252" w:rsidRPr="00042B26">
        <w:rPr>
          <w:rFonts w:ascii="Times New Roman" w:hAnsi="Times New Roman"/>
          <w:sz w:val="28"/>
          <w:szCs w:val="28"/>
        </w:rPr>
        <w:t>ода</w:t>
      </w:r>
      <w:r w:rsidRPr="00042B26">
        <w:rPr>
          <w:rFonts w:ascii="Times New Roman" w:hAnsi="Times New Roman"/>
          <w:sz w:val="28"/>
          <w:szCs w:val="28"/>
        </w:rPr>
        <w:t xml:space="preserve"> №</w:t>
      </w:r>
      <w:r w:rsidR="00045D44" w:rsidRPr="00042B26">
        <w:rPr>
          <w:rFonts w:ascii="Times New Roman" w:hAnsi="Times New Roman"/>
          <w:sz w:val="28"/>
          <w:szCs w:val="28"/>
        </w:rPr>
        <w:t> </w:t>
      </w:r>
      <w:r w:rsidRPr="00042B26">
        <w:rPr>
          <w:rFonts w:ascii="Times New Roman" w:hAnsi="Times New Roman"/>
          <w:sz w:val="28"/>
          <w:szCs w:val="28"/>
        </w:rPr>
        <w:t>1255 «</w:t>
      </w:r>
      <w:r w:rsidR="00B25252" w:rsidRPr="00042B26">
        <w:rPr>
          <w:rFonts w:ascii="Times New Roman" w:hAnsi="Times New Roman"/>
          <w:sz w:val="28"/>
          <w:szCs w:val="28"/>
        </w:rPr>
        <w:t>О дополнительных мерах в связи с усилением позиции Азербайджанской Республики как цифрового торгового узла и расширением внешнеторговых операций»</w:t>
      </w:r>
      <w:r w:rsidRPr="00042B26">
        <w:rPr>
          <w:rFonts w:ascii="Times New Roman" w:hAnsi="Times New Roman"/>
          <w:sz w:val="28"/>
          <w:szCs w:val="28"/>
        </w:rPr>
        <w:t xml:space="preserve"> было поручено создать на </w:t>
      </w:r>
      <w:r w:rsidR="0079428C" w:rsidRPr="00042B26">
        <w:rPr>
          <w:rFonts w:ascii="Times New Roman" w:hAnsi="Times New Roman"/>
          <w:sz w:val="28"/>
          <w:szCs w:val="28"/>
        </w:rPr>
        <w:t>и</w:t>
      </w:r>
      <w:r w:rsidRPr="00042B26">
        <w:rPr>
          <w:rFonts w:ascii="Times New Roman" w:hAnsi="Times New Roman"/>
          <w:sz w:val="28"/>
          <w:szCs w:val="28"/>
        </w:rPr>
        <w:t xml:space="preserve">нтернет-портале www.azexport.az раздел «Цифровой </w:t>
      </w:r>
      <w:r w:rsidR="0079428C" w:rsidRPr="00042B26">
        <w:rPr>
          <w:rFonts w:ascii="Times New Roman" w:hAnsi="Times New Roman"/>
          <w:sz w:val="28"/>
          <w:szCs w:val="28"/>
        </w:rPr>
        <w:t>т</w:t>
      </w:r>
      <w:r w:rsidRPr="00042B26">
        <w:rPr>
          <w:rFonts w:ascii="Times New Roman" w:hAnsi="Times New Roman"/>
          <w:sz w:val="28"/>
          <w:szCs w:val="28"/>
        </w:rPr>
        <w:t>оргов</w:t>
      </w:r>
      <w:r w:rsidR="00B25252" w:rsidRPr="00042B26">
        <w:rPr>
          <w:rFonts w:ascii="Times New Roman" w:hAnsi="Times New Roman"/>
          <w:sz w:val="28"/>
          <w:szCs w:val="28"/>
        </w:rPr>
        <w:t xml:space="preserve">ый </w:t>
      </w:r>
      <w:r w:rsidR="0079428C" w:rsidRPr="00042B26">
        <w:rPr>
          <w:rFonts w:ascii="Times New Roman" w:hAnsi="Times New Roman"/>
          <w:sz w:val="28"/>
          <w:szCs w:val="28"/>
        </w:rPr>
        <w:t>х</w:t>
      </w:r>
      <w:r w:rsidR="00B25252" w:rsidRPr="00042B26">
        <w:rPr>
          <w:rFonts w:ascii="Times New Roman" w:hAnsi="Times New Roman"/>
          <w:sz w:val="28"/>
          <w:szCs w:val="28"/>
        </w:rPr>
        <w:t>аб Азербайджана», позволяющий</w:t>
      </w:r>
      <w:r w:rsidRPr="00042B26">
        <w:rPr>
          <w:rFonts w:ascii="Times New Roman" w:hAnsi="Times New Roman"/>
          <w:sz w:val="28"/>
          <w:szCs w:val="28"/>
        </w:rPr>
        <w:t xml:space="preserve"> реализ</w:t>
      </w:r>
      <w:r w:rsidR="00B25252" w:rsidRPr="00042B26">
        <w:rPr>
          <w:rFonts w:ascii="Times New Roman" w:hAnsi="Times New Roman"/>
          <w:sz w:val="28"/>
          <w:szCs w:val="28"/>
        </w:rPr>
        <w:t>о</w:t>
      </w:r>
      <w:r w:rsidR="0096789F" w:rsidRPr="00042B26">
        <w:rPr>
          <w:rFonts w:ascii="Times New Roman" w:hAnsi="Times New Roman"/>
          <w:sz w:val="28"/>
          <w:szCs w:val="28"/>
        </w:rPr>
        <w:t>вы</w:t>
      </w:r>
      <w:r w:rsidR="00B25252" w:rsidRPr="00042B26">
        <w:rPr>
          <w:rFonts w:ascii="Times New Roman" w:hAnsi="Times New Roman"/>
          <w:sz w:val="28"/>
          <w:szCs w:val="28"/>
        </w:rPr>
        <w:t>вать</w:t>
      </w:r>
      <w:r w:rsidRPr="00042B26">
        <w:rPr>
          <w:rFonts w:ascii="Times New Roman" w:hAnsi="Times New Roman"/>
          <w:sz w:val="28"/>
          <w:szCs w:val="28"/>
        </w:rPr>
        <w:t xml:space="preserve"> трансграничны</w:t>
      </w:r>
      <w:r w:rsidR="00B25252" w:rsidRPr="00042B26">
        <w:rPr>
          <w:rFonts w:ascii="Times New Roman" w:hAnsi="Times New Roman"/>
          <w:sz w:val="28"/>
          <w:szCs w:val="28"/>
        </w:rPr>
        <w:t>е</w:t>
      </w:r>
      <w:r w:rsidRPr="00042B26">
        <w:rPr>
          <w:rFonts w:ascii="Times New Roman" w:hAnsi="Times New Roman"/>
          <w:sz w:val="28"/>
          <w:szCs w:val="28"/>
        </w:rPr>
        <w:t xml:space="preserve"> электронны</w:t>
      </w:r>
      <w:r w:rsidR="00B25252" w:rsidRPr="00042B26">
        <w:rPr>
          <w:rFonts w:ascii="Times New Roman" w:hAnsi="Times New Roman"/>
          <w:sz w:val="28"/>
          <w:szCs w:val="28"/>
        </w:rPr>
        <w:t>е</w:t>
      </w:r>
      <w:r w:rsidRPr="00042B26">
        <w:rPr>
          <w:rFonts w:ascii="Times New Roman" w:hAnsi="Times New Roman"/>
          <w:sz w:val="28"/>
          <w:szCs w:val="28"/>
        </w:rPr>
        <w:t xml:space="preserve"> услуг</w:t>
      </w:r>
      <w:r w:rsidR="00B25252" w:rsidRPr="00042B26">
        <w:rPr>
          <w:rFonts w:ascii="Times New Roman" w:hAnsi="Times New Roman"/>
          <w:sz w:val="28"/>
          <w:szCs w:val="28"/>
        </w:rPr>
        <w:t>и</w:t>
      </w:r>
      <w:r w:rsidR="0096789F" w:rsidRPr="00042B26">
        <w:rPr>
          <w:rFonts w:ascii="Times New Roman" w:hAnsi="Times New Roman"/>
          <w:sz w:val="28"/>
          <w:szCs w:val="28"/>
        </w:rPr>
        <w:t>,</w:t>
      </w:r>
      <w:r w:rsidRPr="00042B26">
        <w:rPr>
          <w:rFonts w:ascii="Times New Roman" w:hAnsi="Times New Roman"/>
          <w:sz w:val="28"/>
          <w:szCs w:val="28"/>
        </w:rPr>
        <w:t xml:space="preserve"> обеспечи</w:t>
      </w:r>
      <w:r w:rsidR="00B25252" w:rsidRPr="00042B26">
        <w:rPr>
          <w:rFonts w:ascii="Times New Roman" w:hAnsi="Times New Roman"/>
          <w:sz w:val="28"/>
          <w:szCs w:val="28"/>
        </w:rPr>
        <w:t>ва</w:t>
      </w:r>
      <w:r w:rsidRPr="00042B26">
        <w:rPr>
          <w:rFonts w:ascii="Times New Roman" w:hAnsi="Times New Roman"/>
          <w:sz w:val="28"/>
          <w:szCs w:val="28"/>
        </w:rPr>
        <w:t>ть оплат</w:t>
      </w:r>
      <w:r w:rsidR="0096789F" w:rsidRPr="00042B26">
        <w:rPr>
          <w:rFonts w:ascii="Times New Roman" w:hAnsi="Times New Roman"/>
          <w:sz w:val="28"/>
          <w:szCs w:val="28"/>
        </w:rPr>
        <w:t>у</w:t>
      </w:r>
      <w:r w:rsidRPr="00042B26">
        <w:rPr>
          <w:rFonts w:ascii="Times New Roman" w:hAnsi="Times New Roman"/>
          <w:sz w:val="28"/>
          <w:szCs w:val="28"/>
        </w:rPr>
        <w:t xml:space="preserve"> товаров, представл</w:t>
      </w:r>
      <w:r w:rsidR="0096789F" w:rsidRPr="00042B26">
        <w:rPr>
          <w:rFonts w:ascii="Times New Roman" w:hAnsi="Times New Roman"/>
          <w:sz w:val="28"/>
          <w:szCs w:val="28"/>
        </w:rPr>
        <w:t>енных посредством данного портала</w:t>
      </w:r>
      <w:r w:rsidRPr="00042B26">
        <w:rPr>
          <w:rFonts w:ascii="Times New Roman" w:hAnsi="Times New Roman"/>
          <w:sz w:val="28"/>
          <w:szCs w:val="28"/>
        </w:rPr>
        <w:t xml:space="preserve"> в режиме реального времени</w:t>
      </w:r>
      <w:r w:rsidR="0096789F" w:rsidRPr="00042B26">
        <w:rPr>
          <w:rFonts w:ascii="Times New Roman" w:hAnsi="Times New Roman"/>
          <w:sz w:val="28"/>
          <w:szCs w:val="28"/>
        </w:rPr>
        <w:t>, а также</w:t>
      </w:r>
      <w:r w:rsidRPr="00042B26">
        <w:rPr>
          <w:rFonts w:ascii="Times New Roman" w:hAnsi="Times New Roman"/>
          <w:sz w:val="28"/>
          <w:szCs w:val="28"/>
        </w:rPr>
        <w:t xml:space="preserve"> созда</w:t>
      </w:r>
      <w:r w:rsidR="0096789F" w:rsidRPr="00042B26">
        <w:rPr>
          <w:rFonts w:ascii="Times New Roman" w:hAnsi="Times New Roman"/>
          <w:sz w:val="28"/>
          <w:szCs w:val="28"/>
        </w:rPr>
        <w:t>вать</w:t>
      </w:r>
      <w:r w:rsidRPr="00042B26">
        <w:rPr>
          <w:rFonts w:ascii="Times New Roman" w:hAnsi="Times New Roman"/>
          <w:sz w:val="28"/>
          <w:szCs w:val="28"/>
        </w:rPr>
        <w:t xml:space="preserve"> </w:t>
      </w:r>
      <w:r w:rsidR="0096789F" w:rsidRPr="00042B26">
        <w:rPr>
          <w:rFonts w:ascii="Times New Roman" w:hAnsi="Times New Roman"/>
          <w:sz w:val="28"/>
          <w:szCs w:val="28"/>
        </w:rPr>
        <w:t>«</w:t>
      </w:r>
      <w:r w:rsidRPr="00042B26">
        <w:rPr>
          <w:rFonts w:ascii="Times New Roman" w:hAnsi="Times New Roman"/>
          <w:sz w:val="28"/>
          <w:szCs w:val="28"/>
        </w:rPr>
        <w:t>электронн</w:t>
      </w:r>
      <w:r w:rsidR="0096789F" w:rsidRPr="00042B26">
        <w:rPr>
          <w:rFonts w:ascii="Times New Roman" w:hAnsi="Times New Roman"/>
          <w:sz w:val="28"/>
          <w:szCs w:val="28"/>
        </w:rPr>
        <w:t>ый</w:t>
      </w:r>
      <w:r w:rsidRPr="00042B26">
        <w:rPr>
          <w:rFonts w:ascii="Times New Roman" w:hAnsi="Times New Roman"/>
          <w:sz w:val="28"/>
          <w:szCs w:val="28"/>
        </w:rPr>
        <w:t xml:space="preserve"> кошел</w:t>
      </w:r>
      <w:r w:rsidR="0096789F" w:rsidRPr="00042B26">
        <w:rPr>
          <w:rFonts w:ascii="Times New Roman" w:hAnsi="Times New Roman"/>
          <w:sz w:val="28"/>
          <w:szCs w:val="28"/>
        </w:rPr>
        <w:t>е</w:t>
      </w:r>
      <w:r w:rsidRPr="00042B26">
        <w:rPr>
          <w:rFonts w:ascii="Times New Roman" w:hAnsi="Times New Roman"/>
          <w:sz w:val="28"/>
          <w:szCs w:val="28"/>
        </w:rPr>
        <w:t>к</w:t>
      </w:r>
      <w:r w:rsidR="0096789F" w:rsidRPr="00042B26">
        <w:rPr>
          <w:rFonts w:ascii="Times New Roman" w:hAnsi="Times New Roman"/>
          <w:sz w:val="28"/>
          <w:szCs w:val="28"/>
        </w:rPr>
        <w:t>»</w:t>
      </w:r>
      <w:r w:rsidRPr="00042B26">
        <w:rPr>
          <w:rFonts w:ascii="Times New Roman" w:hAnsi="Times New Roman"/>
          <w:sz w:val="28"/>
          <w:szCs w:val="28"/>
        </w:rPr>
        <w:t>.</w:t>
      </w:r>
      <w:r w:rsidR="00636F0D" w:rsidRPr="00042B26">
        <w:rPr>
          <w:rFonts w:ascii="Times New Roman" w:hAnsi="Times New Roman"/>
          <w:sz w:val="28"/>
          <w:szCs w:val="28"/>
        </w:rPr>
        <w:t xml:space="preserve"> </w:t>
      </w:r>
    </w:p>
    <w:p w:rsidR="00511904" w:rsidRPr="00042B26" w:rsidRDefault="002A464A"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Н</w:t>
      </w:r>
      <w:r w:rsidR="00511904" w:rsidRPr="00042B26">
        <w:rPr>
          <w:rFonts w:ascii="Times New Roman" w:hAnsi="Times New Roman"/>
          <w:sz w:val="28"/>
          <w:szCs w:val="28"/>
        </w:rPr>
        <w:t xml:space="preserve">овые возможности </w:t>
      </w:r>
      <w:r w:rsidRPr="00042B26">
        <w:rPr>
          <w:rFonts w:ascii="Times New Roman" w:hAnsi="Times New Roman"/>
          <w:sz w:val="28"/>
          <w:szCs w:val="28"/>
        </w:rPr>
        <w:t xml:space="preserve">открываются в сфере </w:t>
      </w:r>
      <w:r w:rsidR="00511904" w:rsidRPr="00042B26">
        <w:rPr>
          <w:rFonts w:ascii="Times New Roman" w:hAnsi="Times New Roman"/>
          <w:sz w:val="28"/>
          <w:szCs w:val="28"/>
        </w:rPr>
        <w:t xml:space="preserve">транспортировки и доставки почтой продуктов электронной торговли. </w:t>
      </w:r>
      <w:r w:rsidRPr="00042B26">
        <w:rPr>
          <w:rFonts w:ascii="Times New Roman" w:hAnsi="Times New Roman"/>
          <w:sz w:val="28"/>
          <w:szCs w:val="28"/>
        </w:rPr>
        <w:t>В рамках</w:t>
      </w:r>
      <w:r w:rsidR="00511904" w:rsidRPr="00042B26">
        <w:rPr>
          <w:rFonts w:ascii="Times New Roman" w:hAnsi="Times New Roman"/>
          <w:sz w:val="28"/>
          <w:szCs w:val="28"/>
        </w:rPr>
        <w:t xml:space="preserve"> осуществления межгосударственной электронной торговли в настоящее время реализуется проект </w:t>
      </w:r>
      <w:r w:rsidRPr="00042B26">
        <w:rPr>
          <w:rFonts w:ascii="Times New Roman" w:hAnsi="Times New Roman"/>
          <w:sz w:val="28"/>
          <w:szCs w:val="28"/>
        </w:rPr>
        <w:t>по</w:t>
      </w:r>
      <w:r w:rsidR="00511904" w:rsidRPr="00042B26">
        <w:rPr>
          <w:rFonts w:ascii="Times New Roman" w:hAnsi="Times New Roman"/>
          <w:sz w:val="28"/>
          <w:szCs w:val="28"/>
        </w:rPr>
        <w:t xml:space="preserve"> </w:t>
      </w:r>
      <w:r w:rsidRPr="00042B26">
        <w:rPr>
          <w:rFonts w:ascii="Times New Roman" w:hAnsi="Times New Roman"/>
          <w:sz w:val="28"/>
          <w:szCs w:val="28"/>
        </w:rPr>
        <w:t xml:space="preserve">организации </w:t>
      </w:r>
      <w:r w:rsidR="00511904" w:rsidRPr="00042B26">
        <w:rPr>
          <w:rFonts w:ascii="Times New Roman" w:hAnsi="Times New Roman"/>
          <w:sz w:val="28"/>
          <w:szCs w:val="28"/>
        </w:rPr>
        <w:t xml:space="preserve">функционирования Азербайджанской </w:t>
      </w:r>
      <w:r w:rsidR="001842D6" w:rsidRPr="00042B26">
        <w:rPr>
          <w:rFonts w:ascii="Times New Roman" w:hAnsi="Times New Roman"/>
          <w:sz w:val="28"/>
          <w:szCs w:val="28"/>
        </w:rPr>
        <w:t>п</w:t>
      </w:r>
      <w:r w:rsidR="00511904" w:rsidRPr="00042B26">
        <w:rPr>
          <w:rFonts w:ascii="Times New Roman" w:hAnsi="Times New Roman"/>
          <w:sz w:val="28"/>
          <w:szCs w:val="28"/>
        </w:rPr>
        <w:t xml:space="preserve">очтовой </w:t>
      </w:r>
      <w:r w:rsidR="001842D6" w:rsidRPr="00042B26">
        <w:rPr>
          <w:rFonts w:ascii="Times New Roman" w:hAnsi="Times New Roman"/>
          <w:sz w:val="28"/>
          <w:szCs w:val="28"/>
        </w:rPr>
        <w:t>с</w:t>
      </w:r>
      <w:r w:rsidR="00511904" w:rsidRPr="00042B26">
        <w:rPr>
          <w:rFonts w:ascii="Times New Roman" w:hAnsi="Times New Roman"/>
          <w:sz w:val="28"/>
          <w:szCs w:val="28"/>
        </w:rPr>
        <w:t xml:space="preserve">лужбы как регионального транзитного почтового центра. </w:t>
      </w:r>
    </w:p>
    <w:p w:rsidR="00511904" w:rsidRPr="00042B26" w:rsidRDefault="00511904"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 xml:space="preserve">Для формирования инновационной инфраструктуры в </w:t>
      </w:r>
      <w:r w:rsidR="001842D6" w:rsidRPr="00042B26">
        <w:rPr>
          <w:rFonts w:ascii="Times New Roman" w:hAnsi="Times New Roman"/>
          <w:sz w:val="28"/>
          <w:szCs w:val="28"/>
        </w:rPr>
        <w:t>Азербайджане</w:t>
      </w:r>
      <w:r w:rsidRPr="00042B26">
        <w:rPr>
          <w:rFonts w:ascii="Times New Roman" w:hAnsi="Times New Roman"/>
          <w:sz w:val="28"/>
          <w:szCs w:val="28"/>
        </w:rPr>
        <w:t xml:space="preserve"> был</w:t>
      </w:r>
      <w:r w:rsidR="001842D6" w:rsidRPr="00042B26">
        <w:rPr>
          <w:rFonts w:ascii="Times New Roman" w:hAnsi="Times New Roman"/>
          <w:sz w:val="28"/>
          <w:szCs w:val="28"/>
        </w:rPr>
        <w:t>и</w:t>
      </w:r>
      <w:r w:rsidRPr="00042B26">
        <w:rPr>
          <w:rFonts w:ascii="Times New Roman" w:hAnsi="Times New Roman"/>
          <w:sz w:val="28"/>
          <w:szCs w:val="28"/>
        </w:rPr>
        <w:t xml:space="preserve"> предпринят</w:t>
      </w:r>
      <w:r w:rsidR="0096789F" w:rsidRPr="00042B26">
        <w:rPr>
          <w:rFonts w:ascii="Times New Roman" w:hAnsi="Times New Roman"/>
          <w:sz w:val="28"/>
          <w:szCs w:val="28"/>
        </w:rPr>
        <w:t>ы</w:t>
      </w:r>
      <w:r w:rsidRPr="00042B26">
        <w:rPr>
          <w:rFonts w:ascii="Times New Roman" w:hAnsi="Times New Roman"/>
          <w:sz w:val="28"/>
          <w:szCs w:val="28"/>
        </w:rPr>
        <w:t xml:space="preserve"> мер</w:t>
      </w:r>
      <w:r w:rsidR="0096789F" w:rsidRPr="00042B26">
        <w:rPr>
          <w:rFonts w:ascii="Times New Roman" w:hAnsi="Times New Roman"/>
          <w:sz w:val="28"/>
          <w:szCs w:val="28"/>
        </w:rPr>
        <w:t>ы по созданию</w:t>
      </w:r>
      <w:r w:rsidRPr="00042B26">
        <w:rPr>
          <w:rFonts w:ascii="Times New Roman" w:hAnsi="Times New Roman"/>
          <w:sz w:val="28"/>
          <w:szCs w:val="28"/>
        </w:rPr>
        <w:t xml:space="preserve"> </w:t>
      </w:r>
      <w:r w:rsidR="002A464A" w:rsidRPr="00042B26">
        <w:rPr>
          <w:rFonts w:ascii="Times New Roman" w:hAnsi="Times New Roman"/>
          <w:sz w:val="28"/>
          <w:szCs w:val="28"/>
        </w:rPr>
        <w:t xml:space="preserve">специализированных </w:t>
      </w:r>
      <w:r w:rsidR="0096789F" w:rsidRPr="00042B26">
        <w:rPr>
          <w:rFonts w:ascii="Times New Roman" w:hAnsi="Times New Roman"/>
          <w:sz w:val="28"/>
          <w:szCs w:val="28"/>
        </w:rPr>
        <w:t xml:space="preserve">фондов </w:t>
      </w:r>
      <w:r w:rsidRPr="00042B26">
        <w:rPr>
          <w:rFonts w:ascii="Times New Roman" w:hAnsi="Times New Roman"/>
          <w:sz w:val="28"/>
          <w:szCs w:val="28"/>
        </w:rPr>
        <w:t>для поддержки технопарков, бизнес-инкубаторов, промышленных зон, промышленных кварталов и инновационных идей.</w:t>
      </w:r>
    </w:p>
    <w:p w:rsidR="00511904" w:rsidRPr="00042B26" w:rsidRDefault="0096789F"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 xml:space="preserve">В соответствии с </w:t>
      </w:r>
      <w:r w:rsidR="0079428C" w:rsidRPr="00042B26">
        <w:rPr>
          <w:rFonts w:ascii="Times New Roman" w:hAnsi="Times New Roman"/>
          <w:sz w:val="28"/>
          <w:szCs w:val="28"/>
        </w:rPr>
        <w:t>р</w:t>
      </w:r>
      <w:r w:rsidR="00511904" w:rsidRPr="00042B26">
        <w:rPr>
          <w:rFonts w:ascii="Times New Roman" w:hAnsi="Times New Roman"/>
          <w:sz w:val="28"/>
          <w:szCs w:val="28"/>
        </w:rPr>
        <w:t>аспоряжением Президента Азербайджанской Республики от 15</w:t>
      </w:r>
      <w:r w:rsidRPr="00042B26">
        <w:rPr>
          <w:rFonts w:ascii="Times New Roman" w:hAnsi="Times New Roman"/>
          <w:sz w:val="28"/>
          <w:szCs w:val="28"/>
        </w:rPr>
        <w:t xml:space="preserve"> марта </w:t>
      </w:r>
      <w:r w:rsidR="00511904" w:rsidRPr="00042B26">
        <w:rPr>
          <w:rFonts w:ascii="Times New Roman" w:hAnsi="Times New Roman"/>
          <w:sz w:val="28"/>
          <w:szCs w:val="28"/>
        </w:rPr>
        <w:t>2012 г</w:t>
      </w:r>
      <w:r w:rsidRPr="00042B26">
        <w:rPr>
          <w:rFonts w:ascii="Times New Roman" w:hAnsi="Times New Roman"/>
          <w:sz w:val="28"/>
          <w:szCs w:val="28"/>
        </w:rPr>
        <w:t>ода</w:t>
      </w:r>
      <w:r w:rsidR="00511904" w:rsidRPr="00042B26">
        <w:rPr>
          <w:rFonts w:ascii="Times New Roman" w:hAnsi="Times New Roman"/>
          <w:sz w:val="28"/>
          <w:szCs w:val="28"/>
        </w:rPr>
        <w:t xml:space="preserve"> №</w:t>
      </w:r>
      <w:r w:rsidR="00045D44" w:rsidRPr="00042B26">
        <w:rPr>
          <w:rFonts w:ascii="Times New Roman" w:hAnsi="Times New Roman"/>
          <w:sz w:val="28"/>
          <w:szCs w:val="28"/>
        </w:rPr>
        <w:t> </w:t>
      </w:r>
      <w:r w:rsidR="00511904" w:rsidRPr="00042B26">
        <w:rPr>
          <w:rFonts w:ascii="Times New Roman" w:hAnsi="Times New Roman"/>
          <w:sz w:val="28"/>
          <w:szCs w:val="28"/>
        </w:rPr>
        <w:t xml:space="preserve">2095 </w:t>
      </w:r>
      <w:r w:rsidR="00300621" w:rsidRPr="00042B26">
        <w:rPr>
          <w:rFonts w:ascii="Times New Roman" w:hAnsi="Times New Roman"/>
          <w:sz w:val="28"/>
          <w:szCs w:val="28"/>
        </w:rPr>
        <w:t xml:space="preserve">был создан </w:t>
      </w:r>
      <w:r w:rsidR="00511904" w:rsidRPr="00042B26">
        <w:rPr>
          <w:rFonts w:ascii="Times New Roman" w:hAnsi="Times New Roman"/>
          <w:sz w:val="28"/>
          <w:szCs w:val="28"/>
        </w:rPr>
        <w:t xml:space="preserve">Государственный </w:t>
      </w:r>
      <w:r w:rsidR="00300621" w:rsidRPr="00042B26">
        <w:rPr>
          <w:rFonts w:ascii="Times New Roman" w:hAnsi="Times New Roman"/>
          <w:sz w:val="28"/>
          <w:szCs w:val="28"/>
        </w:rPr>
        <w:t>ф</w:t>
      </w:r>
      <w:r w:rsidR="00511904" w:rsidRPr="00042B26">
        <w:rPr>
          <w:rFonts w:ascii="Times New Roman" w:hAnsi="Times New Roman"/>
          <w:sz w:val="28"/>
          <w:szCs w:val="28"/>
        </w:rPr>
        <w:t xml:space="preserve">онд </w:t>
      </w:r>
      <w:r w:rsidR="00300621" w:rsidRPr="00042B26">
        <w:rPr>
          <w:rFonts w:ascii="Times New Roman" w:hAnsi="Times New Roman"/>
          <w:sz w:val="28"/>
          <w:szCs w:val="28"/>
        </w:rPr>
        <w:t>р</w:t>
      </w:r>
      <w:r w:rsidR="00511904" w:rsidRPr="00042B26">
        <w:rPr>
          <w:rFonts w:ascii="Times New Roman" w:hAnsi="Times New Roman"/>
          <w:sz w:val="28"/>
          <w:szCs w:val="28"/>
        </w:rPr>
        <w:t xml:space="preserve">азвития </w:t>
      </w:r>
      <w:r w:rsidR="00300621" w:rsidRPr="00042B26">
        <w:rPr>
          <w:rFonts w:ascii="Times New Roman" w:hAnsi="Times New Roman"/>
          <w:sz w:val="28"/>
          <w:szCs w:val="28"/>
        </w:rPr>
        <w:t>и</w:t>
      </w:r>
      <w:r w:rsidR="00511904" w:rsidRPr="00042B26">
        <w:rPr>
          <w:rFonts w:ascii="Times New Roman" w:hAnsi="Times New Roman"/>
          <w:sz w:val="28"/>
          <w:szCs w:val="28"/>
        </w:rPr>
        <w:t xml:space="preserve">нформационных </w:t>
      </w:r>
      <w:r w:rsidR="00300621" w:rsidRPr="00042B26">
        <w:rPr>
          <w:rFonts w:ascii="Times New Roman" w:hAnsi="Times New Roman"/>
          <w:sz w:val="28"/>
          <w:szCs w:val="28"/>
        </w:rPr>
        <w:t>т</w:t>
      </w:r>
      <w:r w:rsidR="00511904" w:rsidRPr="00042B26">
        <w:rPr>
          <w:rFonts w:ascii="Times New Roman" w:hAnsi="Times New Roman"/>
          <w:sz w:val="28"/>
          <w:szCs w:val="28"/>
        </w:rPr>
        <w:t>ехнологий</w:t>
      </w:r>
      <w:r w:rsidR="00300621" w:rsidRPr="00042B26">
        <w:rPr>
          <w:rFonts w:ascii="Times New Roman" w:hAnsi="Times New Roman"/>
          <w:sz w:val="28"/>
          <w:szCs w:val="28"/>
        </w:rPr>
        <w:t>, который</w:t>
      </w:r>
      <w:r w:rsidR="00511904" w:rsidRPr="00042B26">
        <w:rPr>
          <w:rFonts w:ascii="Times New Roman" w:hAnsi="Times New Roman"/>
          <w:sz w:val="28"/>
          <w:szCs w:val="28"/>
        </w:rPr>
        <w:t xml:space="preserve"> функционирует в подчинении Министерства </w:t>
      </w:r>
      <w:r w:rsidR="0079428C" w:rsidRPr="00042B26">
        <w:rPr>
          <w:rFonts w:ascii="Times New Roman" w:hAnsi="Times New Roman"/>
          <w:sz w:val="28"/>
          <w:szCs w:val="28"/>
        </w:rPr>
        <w:t>т</w:t>
      </w:r>
      <w:r w:rsidR="00511904" w:rsidRPr="00042B26">
        <w:rPr>
          <w:rFonts w:ascii="Times New Roman" w:hAnsi="Times New Roman"/>
          <w:sz w:val="28"/>
          <w:szCs w:val="28"/>
        </w:rPr>
        <w:t xml:space="preserve">ранспорта, </w:t>
      </w:r>
      <w:r w:rsidR="0079428C" w:rsidRPr="00042B26">
        <w:rPr>
          <w:rFonts w:ascii="Times New Roman" w:hAnsi="Times New Roman"/>
          <w:sz w:val="28"/>
          <w:szCs w:val="28"/>
        </w:rPr>
        <w:t>с</w:t>
      </w:r>
      <w:r w:rsidR="00511904" w:rsidRPr="00042B26">
        <w:rPr>
          <w:rFonts w:ascii="Times New Roman" w:hAnsi="Times New Roman"/>
          <w:sz w:val="28"/>
          <w:szCs w:val="28"/>
        </w:rPr>
        <w:t xml:space="preserve">вязи и </w:t>
      </w:r>
      <w:r w:rsidR="0079428C" w:rsidRPr="00042B26">
        <w:rPr>
          <w:rFonts w:ascii="Times New Roman" w:hAnsi="Times New Roman"/>
          <w:sz w:val="28"/>
          <w:szCs w:val="28"/>
        </w:rPr>
        <w:t>в</w:t>
      </w:r>
      <w:r w:rsidR="00511904" w:rsidRPr="00042B26">
        <w:rPr>
          <w:rFonts w:ascii="Times New Roman" w:hAnsi="Times New Roman"/>
          <w:sz w:val="28"/>
          <w:szCs w:val="28"/>
        </w:rPr>
        <w:t xml:space="preserve">ысоких технологий. </w:t>
      </w:r>
      <w:r w:rsidR="00300621" w:rsidRPr="00042B26">
        <w:rPr>
          <w:rFonts w:ascii="Times New Roman" w:hAnsi="Times New Roman"/>
          <w:sz w:val="28"/>
          <w:szCs w:val="28"/>
        </w:rPr>
        <w:t xml:space="preserve">Основные задачи </w:t>
      </w:r>
      <w:r w:rsidR="0079428C" w:rsidRPr="00042B26">
        <w:rPr>
          <w:rFonts w:ascii="Times New Roman" w:hAnsi="Times New Roman"/>
          <w:sz w:val="28"/>
          <w:szCs w:val="28"/>
        </w:rPr>
        <w:t>ф</w:t>
      </w:r>
      <w:r w:rsidR="00300621" w:rsidRPr="00042B26">
        <w:rPr>
          <w:rFonts w:ascii="Times New Roman" w:hAnsi="Times New Roman"/>
          <w:sz w:val="28"/>
          <w:szCs w:val="28"/>
        </w:rPr>
        <w:t>онда заключаю</w:t>
      </w:r>
      <w:r w:rsidR="00511904" w:rsidRPr="00042B26">
        <w:rPr>
          <w:rFonts w:ascii="Times New Roman" w:hAnsi="Times New Roman"/>
          <w:sz w:val="28"/>
          <w:szCs w:val="28"/>
        </w:rPr>
        <w:t xml:space="preserve">тся в стимулировании деятельности в сфере информационных и коммуникационных технологий, применении инноваций в этой области, а также оказании финансовой поддержки расширению работ по прикладным научным исследованиям. Фонд предоставляет гранты для стартапов и кредиты для бизнес-проектов. </w:t>
      </w:r>
    </w:p>
    <w:p w:rsidR="00511904" w:rsidRPr="00042B26" w:rsidRDefault="00300621" w:rsidP="00AF44C3">
      <w:pPr>
        <w:spacing w:after="0" w:line="330" w:lineRule="exact"/>
        <w:ind w:firstLine="709"/>
        <w:contextualSpacing/>
        <w:jc w:val="both"/>
        <w:rPr>
          <w:rFonts w:ascii="Times New Roman" w:hAnsi="Times New Roman"/>
          <w:sz w:val="28"/>
          <w:szCs w:val="28"/>
        </w:rPr>
      </w:pPr>
      <w:r w:rsidRPr="00042B26">
        <w:rPr>
          <w:rFonts w:ascii="Times New Roman" w:hAnsi="Times New Roman"/>
          <w:sz w:val="28"/>
          <w:szCs w:val="28"/>
        </w:rPr>
        <w:t>В соответствии с У</w:t>
      </w:r>
      <w:r w:rsidR="00511904" w:rsidRPr="00042B26">
        <w:rPr>
          <w:rFonts w:ascii="Times New Roman" w:hAnsi="Times New Roman"/>
          <w:sz w:val="28"/>
          <w:szCs w:val="28"/>
        </w:rPr>
        <w:t>казом Президента Азербайджанской Республики от 5</w:t>
      </w:r>
      <w:r w:rsidR="00045D44" w:rsidRPr="00042B26">
        <w:rPr>
          <w:rFonts w:ascii="Times New Roman" w:hAnsi="Times New Roman"/>
          <w:sz w:val="28"/>
          <w:szCs w:val="28"/>
        </w:rPr>
        <w:t> </w:t>
      </w:r>
      <w:r w:rsidRPr="00042B26">
        <w:rPr>
          <w:rFonts w:ascii="Times New Roman" w:hAnsi="Times New Roman"/>
          <w:sz w:val="28"/>
          <w:szCs w:val="28"/>
        </w:rPr>
        <w:t xml:space="preserve">ноября </w:t>
      </w:r>
      <w:r w:rsidR="00511904" w:rsidRPr="00042B26">
        <w:rPr>
          <w:rFonts w:ascii="Times New Roman" w:hAnsi="Times New Roman"/>
          <w:sz w:val="28"/>
          <w:szCs w:val="28"/>
        </w:rPr>
        <w:t>2012 г</w:t>
      </w:r>
      <w:r w:rsidRPr="00042B26">
        <w:rPr>
          <w:rFonts w:ascii="Times New Roman" w:hAnsi="Times New Roman"/>
          <w:sz w:val="28"/>
          <w:szCs w:val="28"/>
        </w:rPr>
        <w:t>ода</w:t>
      </w:r>
      <w:r w:rsidR="00511904" w:rsidRPr="00042B26">
        <w:rPr>
          <w:rFonts w:ascii="Times New Roman" w:hAnsi="Times New Roman"/>
          <w:sz w:val="28"/>
          <w:szCs w:val="28"/>
        </w:rPr>
        <w:t xml:space="preserve"> №</w:t>
      </w:r>
      <w:r w:rsidR="00045D44" w:rsidRPr="00042B26">
        <w:rPr>
          <w:rFonts w:ascii="Times New Roman" w:hAnsi="Times New Roman"/>
          <w:sz w:val="28"/>
          <w:szCs w:val="28"/>
        </w:rPr>
        <w:t> </w:t>
      </w:r>
      <w:r w:rsidR="00511904" w:rsidRPr="00042B26">
        <w:rPr>
          <w:rFonts w:ascii="Times New Roman" w:hAnsi="Times New Roman"/>
          <w:sz w:val="28"/>
          <w:szCs w:val="28"/>
        </w:rPr>
        <w:t xml:space="preserve">736 был создан Парк </w:t>
      </w:r>
      <w:r w:rsidRPr="00042B26">
        <w:rPr>
          <w:rFonts w:ascii="Times New Roman" w:hAnsi="Times New Roman"/>
          <w:sz w:val="28"/>
          <w:szCs w:val="28"/>
        </w:rPr>
        <w:t>в</w:t>
      </w:r>
      <w:r w:rsidR="00511904" w:rsidRPr="00042B26">
        <w:rPr>
          <w:rFonts w:ascii="Times New Roman" w:hAnsi="Times New Roman"/>
          <w:sz w:val="28"/>
          <w:szCs w:val="28"/>
        </w:rPr>
        <w:t xml:space="preserve">ысоких </w:t>
      </w:r>
      <w:r w:rsidRPr="00042B26">
        <w:rPr>
          <w:rFonts w:ascii="Times New Roman" w:hAnsi="Times New Roman"/>
          <w:sz w:val="28"/>
          <w:szCs w:val="28"/>
        </w:rPr>
        <w:t>т</w:t>
      </w:r>
      <w:r w:rsidR="00511904" w:rsidRPr="00042B26">
        <w:rPr>
          <w:rFonts w:ascii="Times New Roman" w:hAnsi="Times New Roman"/>
          <w:sz w:val="28"/>
          <w:szCs w:val="28"/>
        </w:rPr>
        <w:t>ехнологий. При Парке функциониру</w:t>
      </w:r>
      <w:r w:rsidR="00D22E4A" w:rsidRPr="00042B26">
        <w:rPr>
          <w:rFonts w:ascii="Times New Roman" w:hAnsi="Times New Roman"/>
          <w:sz w:val="28"/>
          <w:szCs w:val="28"/>
        </w:rPr>
        <w:t>ю</w:t>
      </w:r>
      <w:r w:rsidR="00511904" w:rsidRPr="00042B26">
        <w:rPr>
          <w:rFonts w:ascii="Times New Roman" w:hAnsi="Times New Roman"/>
          <w:sz w:val="28"/>
          <w:szCs w:val="28"/>
        </w:rPr>
        <w:t xml:space="preserve">т Пираллахинский </w:t>
      </w:r>
      <w:r w:rsidR="0079428C" w:rsidRPr="00042B26">
        <w:rPr>
          <w:rFonts w:ascii="Times New Roman" w:hAnsi="Times New Roman"/>
          <w:sz w:val="28"/>
          <w:szCs w:val="28"/>
        </w:rPr>
        <w:t>п</w:t>
      </w:r>
      <w:r w:rsidR="00511904" w:rsidRPr="00042B26">
        <w:rPr>
          <w:rFonts w:ascii="Times New Roman" w:hAnsi="Times New Roman"/>
          <w:sz w:val="28"/>
          <w:szCs w:val="28"/>
        </w:rPr>
        <w:t xml:space="preserve">арк </w:t>
      </w:r>
      <w:r w:rsidR="0079428C" w:rsidRPr="00042B26">
        <w:rPr>
          <w:rFonts w:ascii="Times New Roman" w:hAnsi="Times New Roman"/>
          <w:sz w:val="28"/>
          <w:szCs w:val="28"/>
        </w:rPr>
        <w:t>в</w:t>
      </w:r>
      <w:r w:rsidR="00511904" w:rsidRPr="00042B26">
        <w:rPr>
          <w:rFonts w:ascii="Times New Roman" w:hAnsi="Times New Roman"/>
          <w:sz w:val="28"/>
          <w:szCs w:val="28"/>
        </w:rPr>
        <w:t xml:space="preserve">ысоких </w:t>
      </w:r>
      <w:r w:rsidR="0079428C" w:rsidRPr="00042B26">
        <w:rPr>
          <w:rFonts w:ascii="Times New Roman" w:hAnsi="Times New Roman"/>
          <w:sz w:val="28"/>
          <w:szCs w:val="28"/>
        </w:rPr>
        <w:t>т</w:t>
      </w:r>
      <w:r w:rsidR="00511904" w:rsidRPr="00042B26">
        <w:rPr>
          <w:rFonts w:ascii="Times New Roman" w:hAnsi="Times New Roman"/>
          <w:sz w:val="28"/>
          <w:szCs w:val="28"/>
        </w:rPr>
        <w:t>ехнологий (50</w:t>
      </w:r>
      <w:r w:rsidR="0079428C" w:rsidRPr="00042B26">
        <w:rPr>
          <w:rFonts w:ascii="Times New Roman" w:hAnsi="Times New Roman"/>
          <w:sz w:val="28"/>
          <w:szCs w:val="28"/>
        </w:rPr>
        <w:t> </w:t>
      </w:r>
      <w:r w:rsidR="00511904" w:rsidRPr="00042B26">
        <w:rPr>
          <w:rFonts w:ascii="Times New Roman" w:hAnsi="Times New Roman"/>
          <w:sz w:val="28"/>
          <w:szCs w:val="28"/>
        </w:rPr>
        <w:t>г</w:t>
      </w:r>
      <w:r w:rsidR="0079428C" w:rsidRPr="00042B26">
        <w:rPr>
          <w:rFonts w:ascii="Times New Roman" w:hAnsi="Times New Roman"/>
          <w:sz w:val="28"/>
          <w:szCs w:val="28"/>
        </w:rPr>
        <w:t>а</w:t>
      </w:r>
      <w:r w:rsidR="00511904" w:rsidRPr="00042B26">
        <w:rPr>
          <w:rFonts w:ascii="Times New Roman" w:hAnsi="Times New Roman"/>
          <w:sz w:val="28"/>
          <w:szCs w:val="28"/>
        </w:rPr>
        <w:t>)</w:t>
      </w:r>
      <w:r w:rsidR="005F76DF" w:rsidRPr="00042B26">
        <w:rPr>
          <w:rFonts w:ascii="Times New Roman" w:hAnsi="Times New Roman"/>
          <w:sz w:val="28"/>
          <w:szCs w:val="28"/>
        </w:rPr>
        <w:t>, а также</w:t>
      </w:r>
      <w:r w:rsidR="00511904" w:rsidRPr="00042B26">
        <w:rPr>
          <w:rFonts w:ascii="Times New Roman" w:hAnsi="Times New Roman"/>
          <w:sz w:val="28"/>
          <w:szCs w:val="28"/>
        </w:rPr>
        <w:t xml:space="preserve"> Мингечаурский </w:t>
      </w:r>
      <w:r w:rsidR="0079428C" w:rsidRPr="00042B26">
        <w:rPr>
          <w:rFonts w:ascii="Times New Roman" w:hAnsi="Times New Roman"/>
          <w:sz w:val="28"/>
          <w:szCs w:val="28"/>
        </w:rPr>
        <w:t>п</w:t>
      </w:r>
      <w:r w:rsidR="00511904" w:rsidRPr="00042B26">
        <w:rPr>
          <w:rFonts w:ascii="Times New Roman" w:hAnsi="Times New Roman"/>
          <w:sz w:val="28"/>
          <w:szCs w:val="28"/>
        </w:rPr>
        <w:t xml:space="preserve">арк </w:t>
      </w:r>
      <w:r w:rsidR="0079428C" w:rsidRPr="00042B26">
        <w:rPr>
          <w:rFonts w:ascii="Times New Roman" w:hAnsi="Times New Roman"/>
          <w:sz w:val="28"/>
          <w:szCs w:val="28"/>
        </w:rPr>
        <w:t>в</w:t>
      </w:r>
      <w:r w:rsidRPr="00042B26">
        <w:rPr>
          <w:rFonts w:ascii="Times New Roman" w:hAnsi="Times New Roman"/>
          <w:sz w:val="28"/>
          <w:szCs w:val="28"/>
        </w:rPr>
        <w:t xml:space="preserve">ысоких </w:t>
      </w:r>
      <w:r w:rsidR="0079428C" w:rsidRPr="00042B26">
        <w:rPr>
          <w:rFonts w:ascii="Times New Roman" w:hAnsi="Times New Roman"/>
          <w:sz w:val="28"/>
          <w:szCs w:val="28"/>
        </w:rPr>
        <w:t>технологий (1,3 </w:t>
      </w:r>
      <w:r w:rsidRPr="00042B26">
        <w:rPr>
          <w:rFonts w:ascii="Times New Roman" w:hAnsi="Times New Roman"/>
          <w:sz w:val="28"/>
          <w:szCs w:val="28"/>
        </w:rPr>
        <w:t>га</w:t>
      </w:r>
      <w:r w:rsidR="00511904" w:rsidRPr="00042B26">
        <w:rPr>
          <w:rFonts w:ascii="Times New Roman" w:hAnsi="Times New Roman"/>
          <w:sz w:val="28"/>
          <w:szCs w:val="28"/>
        </w:rPr>
        <w:t>)</w:t>
      </w:r>
      <w:r w:rsidR="005F76DF" w:rsidRPr="00042B26">
        <w:rPr>
          <w:rFonts w:ascii="Times New Roman" w:hAnsi="Times New Roman"/>
          <w:sz w:val="28"/>
          <w:szCs w:val="28"/>
        </w:rPr>
        <w:t>, созданный в соответствии с Указом Президента Азербайджанской Респу</w:t>
      </w:r>
      <w:r w:rsidR="00AF44C3" w:rsidRPr="00042B26">
        <w:rPr>
          <w:rFonts w:ascii="Times New Roman" w:hAnsi="Times New Roman"/>
          <w:sz w:val="28"/>
          <w:szCs w:val="28"/>
        </w:rPr>
        <w:t>блики от 26 февраля 2015 года № </w:t>
      </w:r>
      <w:r w:rsidR="005F76DF" w:rsidRPr="00042B26">
        <w:rPr>
          <w:rFonts w:ascii="Times New Roman" w:hAnsi="Times New Roman"/>
          <w:sz w:val="28"/>
          <w:szCs w:val="28"/>
        </w:rPr>
        <w:t>481.</w:t>
      </w:r>
      <w:r w:rsidR="00511904" w:rsidRPr="00042B26">
        <w:rPr>
          <w:rFonts w:ascii="Times New Roman" w:hAnsi="Times New Roman"/>
          <w:sz w:val="28"/>
          <w:szCs w:val="28"/>
        </w:rPr>
        <w:t xml:space="preserve"> В технопарках применяются налоговые и таможенные льготы.</w:t>
      </w:r>
      <w:r w:rsidR="00636F0D" w:rsidRPr="00042B26">
        <w:rPr>
          <w:rFonts w:ascii="Times New Roman" w:hAnsi="Times New Roman"/>
          <w:sz w:val="28"/>
          <w:szCs w:val="28"/>
        </w:rPr>
        <w:t xml:space="preserve"> </w:t>
      </w:r>
    </w:p>
    <w:p w:rsidR="00511904" w:rsidRPr="00042B26" w:rsidRDefault="00511904" w:rsidP="00AF44C3">
      <w:pPr>
        <w:pStyle w:val="af8"/>
        <w:spacing w:line="330" w:lineRule="exact"/>
        <w:contextualSpacing/>
      </w:pPr>
      <w:r w:rsidRPr="00042B26">
        <w:t>В</w:t>
      </w:r>
      <w:r w:rsidR="005F76DF" w:rsidRPr="00042B26">
        <w:t xml:space="preserve"> </w:t>
      </w:r>
      <w:r w:rsidR="00D22E4A" w:rsidRPr="00042B26">
        <w:t>Мингечаурском п</w:t>
      </w:r>
      <w:r w:rsidR="005F76DF" w:rsidRPr="00042B26">
        <w:t xml:space="preserve">арке высоких технологий </w:t>
      </w:r>
      <w:r w:rsidRPr="00042B26">
        <w:t xml:space="preserve">для производства компьютерной продукции с использованием передовых технологий как первый резидент начала свою деятельность компания «Htech Invest». </w:t>
      </w:r>
      <w:r w:rsidR="00300621" w:rsidRPr="00042B26">
        <w:t>В целях</w:t>
      </w:r>
      <w:r w:rsidRPr="00042B26">
        <w:t xml:space="preserve"> обеспечения производства компьютерной пр</w:t>
      </w:r>
      <w:r w:rsidR="00401BCD" w:rsidRPr="00042B26">
        <w:t>одукции в т</w:t>
      </w:r>
      <w:r w:rsidRPr="00042B26">
        <w:t xml:space="preserve">ехнопарке на существующей инфраструктуре были проведены реконструкционные работы, а также создана производственная площадь, которая была обеспечена необходимым оборудованием. С помощью необходимой инфраструктуры и современного оборудования на территории </w:t>
      </w:r>
      <w:r w:rsidR="005F76DF" w:rsidRPr="00042B26">
        <w:t>п</w:t>
      </w:r>
      <w:r w:rsidRPr="00042B26">
        <w:t>арка под азербайджанским брендом началось производство различных типов компьютеров, планшетов и других электронных устройств.</w:t>
      </w:r>
    </w:p>
    <w:p w:rsidR="00511904" w:rsidRPr="00042B26" w:rsidRDefault="00300621" w:rsidP="00AF44C3">
      <w:pPr>
        <w:pStyle w:val="af8"/>
        <w:spacing w:line="330" w:lineRule="exact"/>
        <w:contextualSpacing/>
      </w:pPr>
      <w:r w:rsidRPr="00042B26">
        <w:t>Данные</w:t>
      </w:r>
      <w:r w:rsidR="00511904" w:rsidRPr="00042B26">
        <w:t xml:space="preserve"> меры</w:t>
      </w:r>
      <w:r w:rsidR="002A464A" w:rsidRPr="00042B26">
        <w:t xml:space="preserve"> направлены на </w:t>
      </w:r>
      <w:r w:rsidR="00511904" w:rsidRPr="00042B26">
        <w:t>увеличени</w:t>
      </w:r>
      <w:r w:rsidR="00280A79" w:rsidRPr="00042B26">
        <w:t>е</w:t>
      </w:r>
      <w:r w:rsidR="00511904" w:rsidRPr="00042B26">
        <w:t xml:space="preserve"> </w:t>
      </w:r>
      <w:r w:rsidRPr="00042B26">
        <w:t>несырьевого</w:t>
      </w:r>
      <w:r w:rsidR="00511904" w:rsidRPr="00042B26">
        <w:t xml:space="preserve"> экспорта Азербайджана, </w:t>
      </w:r>
      <w:r w:rsidR="00280A79" w:rsidRPr="00042B26">
        <w:t xml:space="preserve">они </w:t>
      </w:r>
      <w:r w:rsidRPr="00042B26">
        <w:t>стимулируют</w:t>
      </w:r>
      <w:r w:rsidR="00511904" w:rsidRPr="00042B26">
        <w:t xml:space="preserve"> предпринимателей продавать сво</w:t>
      </w:r>
      <w:r w:rsidRPr="00042B26">
        <w:t>ю</w:t>
      </w:r>
      <w:r w:rsidR="00511904" w:rsidRPr="00042B26">
        <w:t xml:space="preserve"> продук</w:t>
      </w:r>
      <w:r w:rsidRPr="00042B26">
        <w:t>цию</w:t>
      </w:r>
      <w:r w:rsidR="00511904" w:rsidRPr="00042B26">
        <w:t xml:space="preserve"> через </w:t>
      </w:r>
      <w:r w:rsidRPr="00042B26">
        <w:t>И</w:t>
      </w:r>
      <w:r w:rsidR="00511904" w:rsidRPr="00042B26">
        <w:t>нтернет и совершенствова</w:t>
      </w:r>
      <w:r w:rsidRPr="00042B26">
        <w:t>ть</w:t>
      </w:r>
      <w:r w:rsidR="00511904" w:rsidRPr="00042B26">
        <w:t xml:space="preserve"> цифров</w:t>
      </w:r>
      <w:r w:rsidRPr="00042B26">
        <w:t>ую</w:t>
      </w:r>
      <w:r w:rsidR="00511904" w:rsidRPr="00042B26">
        <w:t xml:space="preserve"> </w:t>
      </w:r>
      <w:r w:rsidR="00280A79" w:rsidRPr="00042B26">
        <w:t>среду</w:t>
      </w:r>
      <w:r w:rsidR="00511904" w:rsidRPr="00042B26">
        <w:t xml:space="preserve">. </w:t>
      </w:r>
    </w:p>
    <w:p w:rsidR="00511904" w:rsidRPr="00280A79" w:rsidRDefault="00511904" w:rsidP="00AF44C3">
      <w:pPr>
        <w:pStyle w:val="af8"/>
        <w:spacing w:line="330" w:lineRule="exact"/>
        <w:contextualSpacing/>
      </w:pPr>
      <w:r w:rsidRPr="00042B26">
        <w:t xml:space="preserve">Одним из </w:t>
      </w:r>
      <w:r w:rsidR="00280A79" w:rsidRPr="00042B26">
        <w:t xml:space="preserve">необходимых </w:t>
      </w:r>
      <w:r w:rsidRPr="00042B26">
        <w:t>условий для развития цифровой экономики является обеспечение информационной безопасности онлайн</w:t>
      </w:r>
      <w:r w:rsidR="005F76DF" w:rsidRPr="00042B26">
        <w:t>-</w:t>
      </w:r>
      <w:r w:rsidRPr="00042B26">
        <w:t>деятельности. В 2008 году Азербайджанская Республика подписала Конвенцию Совета Европы «О киберпреступности». Были определены организации</w:t>
      </w:r>
      <w:r w:rsidR="00D22E4A" w:rsidRPr="00042B26">
        <w:t>,</w:t>
      </w:r>
      <w:r w:rsidRPr="00042B26">
        <w:t xml:space="preserve"> ответственные за безопасность информации. </w:t>
      </w:r>
      <w:r w:rsidR="00585E21" w:rsidRPr="00042B26">
        <w:t>При</w:t>
      </w:r>
      <w:r w:rsidRPr="00042B26">
        <w:t xml:space="preserve"> Министерств</w:t>
      </w:r>
      <w:r w:rsidR="00585E21" w:rsidRPr="00042B26">
        <w:t>е</w:t>
      </w:r>
      <w:r w:rsidRPr="00042B26">
        <w:t xml:space="preserve"> </w:t>
      </w:r>
      <w:r w:rsidR="00585E21" w:rsidRPr="00042B26">
        <w:t>т</w:t>
      </w:r>
      <w:r w:rsidRPr="00042B26">
        <w:t xml:space="preserve">ранспорта, </w:t>
      </w:r>
      <w:r w:rsidR="00585E21" w:rsidRPr="00042B26">
        <w:t>с</w:t>
      </w:r>
      <w:r w:rsidRPr="00042B26">
        <w:t xml:space="preserve">вязи и </w:t>
      </w:r>
      <w:r w:rsidR="00585E21" w:rsidRPr="00042B26">
        <w:t>в</w:t>
      </w:r>
      <w:r w:rsidRPr="00042B26">
        <w:t xml:space="preserve">ысоких технологий </w:t>
      </w:r>
      <w:r w:rsidR="00BE607E" w:rsidRPr="00042B26">
        <w:t xml:space="preserve">Азербайджанской Республики </w:t>
      </w:r>
      <w:r w:rsidRPr="00042B26">
        <w:t xml:space="preserve">функционирует Служба </w:t>
      </w:r>
      <w:r w:rsidR="00BE607E" w:rsidRPr="00042B26">
        <w:t>э</w:t>
      </w:r>
      <w:r w:rsidRPr="00042B26">
        <w:t xml:space="preserve">лектронной </w:t>
      </w:r>
      <w:r w:rsidR="00BE607E" w:rsidRPr="00042B26">
        <w:t>б</w:t>
      </w:r>
      <w:r w:rsidRPr="00042B26">
        <w:t xml:space="preserve">езопасности. </w:t>
      </w:r>
      <w:r w:rsidR="00585E21" w:rsidRPr="00042B26">
        <w:t>В Азербайджане действуют</w:t>
      </w:r>
      <w:r w:rsidR="00BE607E" w:rsidRPr="00042B26">
        <w:t xml:space="preserve"> </w:t>
      </w:r>
      <w:r w:rsidR="005F76DF" w:rsidRPr="00042B26">
        <w:t>к</w:t>
      </w:r>
      <w:r w:rsidR="00BE607E" w:rsidRPr="00042B26">
        <w:t>оординационны</w:t>
      </w:r>
      <w:r w:rsidR="00585E21" w:rsidRPr="00042B26">
        <w:t>е</w:t>
      </w:r>
      <w:r w:rsidR="00BE607E" w:rsidRPr="00042B26">
        <w:t xml:space="preserve"> </w:t>
      </w:r>
      <w:r w:rsidRPr="00042B26">
        <w:t>центр</w:t>
      </w:r>
      <w:r w:rsidR="00585E21" w:rsidRPr="00042B26">
        <w:t>ы</w:t>
      </w:r>
      <w:r w:rsidRPr="00042B26">
        <w:t xml:space="preserve"> по компьютерным сетям</w:t>
      </w:r>
      <w:r w:rsidR="00BE607E" w:rsidRPr="00042B26">
        <w:t xml:space="preserve"> (CERT</w:t>
      </w:r>
      <w:r w:rsidRPr="00042B26">
        <w:t xml:space="preserve">). </w:t>
      </w:r>
      <w:r w:rsidR="00585E21" w:rsidRPr="00042B26">
        <w:t>Совместно с заинтересованными органами исполнительной власти</w:t>
      </w:r>
      <w:r w:rsidR="00BE607E" w:rsidRPr="00042B26">
        <w:t xml:space="preserve"> </w:t>
      </w:r>
      <w:r w:rsidRPr="00042B26">
        <w:t xml:space="preserve">был подготовлен </w:t>
      </w:r>
      <w:r w:rsidR="00BE607E" w:rsidRPr="00042B26">
        <w:t>п</w:t>
      </w:r>
      <w:r w:rsidRPr="00042B26">
        <w:t>роект Стратеги</w:t>
      </w:r>
      <w:r w:rsidR="00BE607E" w:rsidRPr="00042B26">
        <w:t>и</w:t>
      </w:r>
      <w:r w:rsidRPr="00042B26">
        <w:t xml:space="preserve"> </w:t>
      </w:r>
      <w:r w:rsidR="00BE607E" w:rsidRPr="00042B26">
        <w:t>к</w:t>
      </w:r>
      <w:r w:rsidRPr="00042B26">
        <w:t xml:space="preserve">ибербезопасности Азербайджанской Республики. Документ </w:t>
      </w:r>
      <w:r w:rsidR="00BE607E" w:rsidRPr="00042B26">
        <w:t>на</w:t>
      </w:r>
      <w:r w:rsidR="00280A79" w:rsidRPr="00042B26">
        <w:t>ходится на стадии согласования и</w:t>
      </w:r>
      <w:r w:rsidRPr="00042B26">
        <w:t xml:space="preserve"> утверждени</w:t>
      </w:r>
      <w:r w:rsidR="00280A79" w:rsidRPr="00042B26">
        <w:t>я</w:t>
      </w:r>
      <w:r w:rsidRPr="00042B26">
        <w:t>.</w:t>
      </w:r>
    </w:p>
    <w:p w:rsidR="007E7919" w:rsidRPr="007E7919" w:rsidRDefault="007E7919" w:rsidP="00AF44C3">
      <w:pPr>
        <w:pStyle w:val="4"/>
        <w:spacing w:line="330" w:lineRule="exact"/>
      </w:pPr>
      <w:r w:rsidRPr="007E7919">
        <w:t>Республика Армения</w:t>
      </w:r>
    </w:p>
    <w:p w:rsidR="00877722" w:rsidRPr="00985537" w:rsidRDefault="00877722" w:rsidP="00AF44C3">
      <w:pPr>
        <w:spacing w:after="0" w:line="330" w:lineRule="exact"/>
        <w:ind w:firstLine="709"/>
        <w:jc w:val="both"/>
        <w:rPr>
          <w:rFonts w:ascii="Times New Roman" w:hAnsi="Times New Roman"/>
          <w:sz w:val="28"/>
          <w:szCs w:val="28"/>
        </w:rPr>
      </w:pPr>
      <w:r w:rsidRPr="00985537">
        <w:rPr>
          <w:rFonts w:ascii="Times New Roman" w:hAnsi="Times New Roman"/>
          <w:sz w:val="28"/>
          <w:szCs w:val="28"/>
        </w:rPr>
        <w:t>В Республике Армения</w:t>
      </w:r>
      <w:r w:rsidR="00402D6E" w:rsidRPr="00985537">
        <w:rPr>
          <w:rFonts w:ascii="Times New Roman" w:hAnsi="Times New Roman"/>
          <w:sz w:val="28"/>
          <w:szCs w:val="28"/>
        </w:rPr>
        <w:t xml:space="preserve"> большинство коммерческих банков предлагают услуги дистанционного обслуживания клиентов, </w:t>
      </w:r>
      <w:r w:rsidR="003C79D8" w:rsidRPr="00985537">
        <w:rPr>
          <w:rFonts w:ascii="Times New Roman" w:hAnsi="Times New Roman"/>
          <w:sz w:val="28"/>
          <w:szCs w:val="28"/>
        </w:rPr>
        <w:t>на</w:t>
      </w:r>
      <w:r w:rsidR="00402D6E" w:rsidRPr="00985537">
        <w:rPr>
          <w:rFonts w:ascii="Times New Roman" w:hAnsi="Times New Roman"/>
          <w:sz w:val="28"/>
          <w:szCs w:val="28"/>
        </w:rPr>
        <w:t>пример</w:t>
      </w:r>
      <w:r w:rsidR="003C79D8" w:rsidRPr="00985537">
        <w:rPr>
          <w:rFonts w:ascii="Times New Roman" w:hAnsi="Times New Roman"/>
          <w:sz w:val="28"/>
          <w:szCs w:val="28"/>
        </w:rPr>
        <w:t>,</w:t>
      </w:r>
      <w:r w:rsidR="00402D6E" w:rsidRPr="00985537">
        <w:rPr>
          <w:rFonts w:ascii="Times New Roman" w:hAnsi="Times New Roman"/>
          <w:sz w:val="28"/>
          <w:szCs w:val="28"/>
        </w:rPr>
        <w:t xml:space="preserve"> интернет-банкинг и мобильный банкинг. Данные услуги </w:t>
      </w:r>
      <w:r w:rsidR="003C79D8" w:rsidRPr="00985537">
        <w:rPr>
          <w:rFonts w:ascii="Times New Roman" w:hAnsi="Times New Roman"/>
          <w:sz w:val="28"/>
          <w:szCs w:val="28"/>
        </w:rPr>
        <w:t>позволяют</w:t>
      </w:r>
      <w:r w:rsidR="00402D6E" w:rsidRPr="00985537">
        <w:rPr>
          <w:rFonts w:ascii="Times New Roman" w:hAnsi="Times New Roman"/>
          <w:sz w:val="28"/>
          <w:szCs w:val="28"/>
        </w:rPr>
        <w:t xml:space="preserve"> пользоваться широким спектром банковских услуг, в частности:</w:t>
      </w:r>
    </w:p>
    <w:p w:rsidR="00402D6E" w:rsidRPr="00985537" w:rsidRDefault="00402D6E" w:rsidP="00AF44C3">
      <w:pPr>
        <w:spacing w:after="0" w:line="330" w:lineRule="exact"/>
        <w:ind w:firstLine="709"/>
        <w:jc w:val="both"/>
        <w:rPr>
          <w:rFonts w:ascii="Times New Roman" w:hAnsi="Times New Roman"/>
          <w:sz w:val="28"/>
          <w:szCs w:val="28"/>
        </w:rPr>
      </w:pPr>
      <w:r w:rsidRPr="00985537">
        <w:rPr>
          <w:rFonts w:ascii="Times New Roman" w:hAnsi="Times New Roman"/>
          <w:sz w:val="28"/>
          <w:szCs w:val="28"/>
        </w:rPr>
        <w:t>получение</w:t>
      </w:r>
      <w:r w:rsidR="003C79D8" w:rsidRPr="00985537">
        <w:rPr>
          <w:rFonts w:ascii="Times New Roman" w:hAnsi="Times New Roman"/>
          <w:sz w:val="28"/>
          <w:szCs w:val="28"/>
        </w:rPr>
        <w:t>м</w:t>
      </w:r>
      <w:r w:rsidRPr="00985537">
        <w:rPr>
          <w:rFonts w:ascii="Times New Roman" w:hAnsi="Times New Roman"/>
          <w:sz w:val="28"/>
          <w:szCs w:val="28"/>
        </w:rPr>
        <w:t xml:space="preserve"> кредитов;</w:t>
      </w:r>
    </w:p>
    <w:p w:rsidR="00402D6E" w:rsidRPr="00985537" w:rsidRDefault="00402D6E" w:rsidP="00AF44C3">
      <w:pPr>
        <w:spacing w:after="0" w:line="330" w:lineRule="exact"/>
        <w:ind w:firstLine="709"/>
        <w:jc w:val="both"/>
        <w:rPr>
          <w:rFonts w:ascii="Times New Roman" w:hAnsi="Times New Roman"/>
          <w:sz w:val="28"/>
          <w:szCs w:val="28"/>
        </w:rPr>
      </w:pPr>
      <w:r w:rsidRPr="00985537">
        <w:rPr>
          <w:rFonts w:ascii="Times New Roman" w:hAnsi="Times New Roman"/>
          <w:sz w:val="28"/>
          <w:szCs w:val="28"/>
        </w:rPr>
        <w:t>вложение</w:t>
      </w:r>
      <w:r w:rsidR="003C79D8" w:rsidRPr="00985537">
        <w:rPr>
          <w:rFonts w:ascii="Times New Roman" w:hAnsi="Times New Roman"/>
          <w:sz w:val="28"/>
          <w:szCs w:val="28"/>
        </w:rPr>
        <w:t>м</w:t>
      </w:r>
      <w:r w:rsidRPr="00985537">
        <w:rPr>
          <w:rFonts w:ascii="Times New Roman" w:hAnsi="Times New Roman"/>
          <w:sz w:val="28"/>
          <w:szCs w:val="28"/>
        </w:rPr>
        <w:t xml:space="preserve"> депозитов;</w:t>
      </w:r>
    </w:p>
    <w:p w:rsidR="00402D6E" w:rsidRPr="00985537" w:rsidRDefault="00402D6E" w:rsidP="00AF44C3">
      <w:pPr>
        <w:spacing w:after="0" w:line="330" w:lineRule="exact"/>
        <w:ind w:firstLine="709"/>
        <w:jc w:val="both"/>
        <w:rPr>
          <w:rFonts w:ascii="Times New Roman" w:hAnsi="Times New Roman"/>
          <w:sz w:val="28"/>
          <w:szCs w:val="28"/>
        </w:rPr>
      </w:pPr>
      <w:r w:rsidRPr="00985537">
        <w:rPr>
          <w:rFonts w:ascii="Times New Roman" w:hAnsi="Times New Roman"/>
          <w:sz w:val="28"/>
          <w:szCs w:val="28"/>
        </w:rPr>
        <w:t>оформление</w:t>
      </w:r>
      <w:r w:rsidR="003C79D8" w:rsidRPr="00985537">
        <w:rPr>
          <w:rFonts w:ascii="Times New Roman" w:hAnsi="Times New Roman"/>
          <w:sz w:val="28"/>
          <w:szCs w:val="28"/>
        </w:rPr>
        <w:t>м</w:t>
      </w:r>
      <w:r w:rsidRPr="00985537">
        <w:rPr>
          <w:rFonts w:ascii="Times New Roman" w:hAnsi="Times New Roman"/>
          <w:sz w:val="28"/>
          <w:szCs w:val="28"/>
        </w:rPr>
        <w:t xml:space="preserve"> заяв</w:t>
      </w:r>
      <w:r w:rsidR="003C79D8" w:rsidRPr="00985537">
        <w:rPr>
          <w:rFonts w:ascii="Times New Roman" w:hAnsi="Times New Roman"/>
          <w:sz w:val="28"/>
          <w:szCs w:val="28"/>
        </w:rPr>
        <w:t>о</w:t>
      </w:r>
      <w:r w:rsidRPr="00985537">
        <w:rPr>
          <w:rFonts w:ascii="Times New Roman" w:hAnsi="Times New Roman"/>
          <w:sz w:val="28"/>
          <w:szCs w:val="28"/>
        </w:rPr>
        <w:t>к для приобретения платежной карты;</w:t>
      </w:r>
    </w:p>
    <w:p w:rsidR="00402D6E" w:rsidRPr="00985537" w:rsidRDefault="00402D6E" w:rsidP="00AF44C3">
      <w:pPr>
        <w:spacing w:after="0" w:line="330" w:lineRule="exact"/>
        <w:ind w:firstLine="709"/>
        <w:jc w:val="both"/>
        <w:rPr>
          <w:rFonts w:ascii="Times New Roman" w:hAnsi="Times New Roman"/>
          <w:sz w:val="28"/>
          <w:szCs w:val="28"/>
        </w:rPr>
      </w:pPr>
      <w:r w:rsidRPr="00985537">
        <w:rPr>
          <w:rFonts w:ascii="Times New Roman" w:hAnsi="Times New Roman"/>
          <w:sz w:val="28"/>
          <w:szCs w:val="28"/>
        </w:rPr>
        <w:t>осуществление</w:t>
      </w:r>
      <w:r w:rsidR="003C79D8" w:rsidRPr="00985537">
        <w:rPr>
          <w:rFonts w:ascii="Times New Roman" w:hAnsi="Times New Roman"/>
          <w:sz w:val="28"/>
          <w:szCs w:val="28"/>
        </w:rPr>
        <w:t>м</w:t>
      </w:r>
      <w:r w:rsidRPr="00985537">
        <w:rPr>
          <w:rFonts w:ascii="Times New Roman" w:hAnsi="Times New Roman"/>
          <w:sz w:val="28"/>
          <w:szCs w:val="28"/>
        </w:rPr>
        <w:t xml:space="preserve"> платежей и денежных переводов;</w:t>
      </w:r>
    </w:p>
    <w:p w:rsidR="00402D6E" w:rsidRPr="00985537" w:rsidRDefault="00402D6E" w:rsidP="00AF44C3">
      <w:pPr>
        <w:spacing w:after="0" w:line="330" w:lineRule="exact"/>
        <w:ind w:firstLine="709"/>
        <w:jc w:val="both"/>
        <w:rPr>
          <w:rFonts w:ascii="Times New Roman" w:hAnsi="Times New Roman"/>
          <w:sz w:val="28"/>
          <w:szCs w:val="28"/>
        </w:rPr>
      </w:pPr>
      <w:r w:rsidRPr="00985537">
        <w:rPr>
          <w:rFonts w:ascii="Times New Roman" w:hAnsi="Times New Roman"/>
          <w:sz w:val="28"/>
          <w:szCs w:val="28"/>
        </w:rPr>
        <w:t>безналичн</w:t>
      </w:r>
      <w:r w:rsidR="003C79D8" w:rsidRPr="00985537">
        <w:rPr>
          <w:rFonts w:ascii="Times New Roman" w:hAnsi="Times New Roman"/>
          <w:sz w:val="28"/>
          <w:szCs w:val="28"/>
        </w:rPr>
        <w:t>ой</w:t>
      </w:r>
      <w:r w:rsidRPr="00985537">
        <w:rPr>
          <w:rFonts w:ascii="Times New Roman" w:hAnsi="Times New Roman"/>
          <w:sz w:val="28"/>
          <w:szCs w:val="28"/>
        </w:rPr>
        <w:t xml:space="preserve"> конвертаци</w:t>
      </w:r>
      <w:r w:rsidR="003C79D8" w:rsidRPr="00985537">
        <w:rPr>
          <w:rFonts w:ascii="Times New Roman" w:hAnsi="Times New Roman"/>
          <w:sz w:val="28"/>
          <w:szCs w:val="28"/>
        </w:rPr>
        <w:t>ей</w:t>
      </w:r>
      <w:r w:rsidRPr="00985537">
        <w:rPr>
          <w:rFonts w:ascii="Times New Roman" w:hAnsi="Times New Roman"/>
          <w:sz w:val="28"/>
          <w:szCs w:val="28"/>
        </w:rPr>
        <w:t xml:space="preserve"> валюты и т.д.</w:t>
      </w:r>
    </w:p>
    <w:p w:rsidR="00402D6E" w:rsidRPr="00985537" w:rsidRDefault="00402D6E" w:rsidP="00AF44C3">
      <w:pPr>
        <w:spacing w:after="0" w:line="330" w:lineRule="exact"/>
        <w:ind w:firstLine="709"/>
        <w:jc w:val="both"/>
        <w:rPr>
          <w:rFonts w:ascii="Times New Roman" w:hAnsi="Times New Roman"/>
          <w:sz w:val="28"/>
          <w:szCs w:val="28"/>
        </w:rPr>
      </w:pPr>
      <w:r w:rsidRPr="00985537">
        <w:rPr>
          <w:rFonts w:ascii="Times New Roman" w:hAnsi="Times New Roman"/>
          <w:sz w:val="28"/>
          <w:szCs w:val="28"/>
        </w:rPr>
        <w:t>В 2015 году армянские банки внедрили те</w:t>
      </w:r>
      <w:r w:rsidR="003C79D8" w:rsidRPr="00985537">
        <w:rPr>
          <w:rFonts w:ascii="Times New Roman" w:hAnsi="Times New Roman"/>
          <w:sz w:val="28"/>
          <w:szCs w:val="28"/>
        </w:rPr>
        <w:t>хнологию бесконтактных платежей</w:t>
      </w:r>
      <w:r w:rsidRPr="00985537">
        <w:rPr>
          <w:rFonts w:ascii="Times New Roman" w:hAnsi="Times New Roman"/>
          <w:sz w:val="28"/>
          <w:szCs w:val="28"/>
        </w:rPr>
        <w:t xml:space="preserve">. Кроме этого, в сфере платежей широкое распространение приобретают бесконтактные платежи с применением </w:t>
      </w:r>
      <w:r w:rsidRPr="00985537">
        <w:rPr>
          <w:rFonts w:ascii="Times New Roman" w:hAnsi="Times New Roman"/>
          <w:sz w:val="28"/>
          <w:szCs w:val="28"/>
          <w:lang w:val="en-US"/>
        </w:rPr>
        <w:t>QR</w:t>
      </w:r>
      <w:r w:rsidRPr="00985537">
        <w:rPr>
          <w:rFonts w:ascii="Times New Roman" w:hAnsi="Times New Roman"/>
          <w:sz w:val="28"/>
          <w:szCs w:val="28"/>
        </w:rPr>
        <w:t>-кодов.</w:t>
      </w:r>
    </w:p>
    <w:p w:rsidR="00402D6E" w:rsidRPr="00402D6E" w:rsidRDefault="00402D6E" w:rsidP="004B066E">
      <w:pPr>
        <w:spacing w:after="0" w:line="310" w:lineRule="exact"/>
        <w:ind w:firstLine="709"/>
        <w:jc w:val="both"/>
        <w:rPr>
          <w:rFonts w:ascii="Times New Roman" w:hAnsi="Times New Roman"/>
          <w:sz w:val="28"/>
          <w:szCs w:val="28"/>
        </w:rPr>
      </w:pPr>
      <w:r w:rsidRPr="00985537">
        <w:rPr>
          <w:rFonts w:ascii="Times New Roman" w:hAnsi="Times New Roman"/>
          <w:sz w:val="28"/>
          <w:szCs w:val="28"/>
        </w:rPr>
        <w:t>В 2017 году по сравнению с предыдущим годом в Республике Армения зафиксирован значительный</w:t>
      </w:r>
      <w:r w:rsidR="00C725BB" w:rsidRPr="00985537">
        <w:rPr>
          <w:rFonts w:ascii="Times New Roman" w:hAnsi="Times New Roman"/>
          <w:sz w:val="28"/>
          <w:szCs w:val="28"/>
        </w:rPr>
        <w:t xml:space="preserve"> прирост количества и объем операций в пользу юридических лиц и индивидуальных предпринимателей (2,7 и 3 раза соответственно) с использованием электронных денег, эмитированных армянскими платежными (небанковскими) организациями.</w:t>
      </w:r>
    </w:p>
    <w:p w:rsidR="007E7919" w:rsidRPr="007E7919" w:rsidRDefault="007E7919" w:rsidP="004B066E">
      <w:pPr>
        <w:spacing w:after="0" w:line="310" w:lineRule="exact"/>
        <w:ind w:firstLine="709"/>
        <w:jc w:val="both"/>
        <w:rPr>
          <w:rFonts w:ascii="Times New Roman" w:hAnsi="Times New Roman"/>
          <w:sz w:val="28"/>
          <w:szCs w:val="28"/>
        </w:rPr>
      </w:pPr>
      <w:r w:rsidRPr="007E7919">
        <w:rPr>
          <w:rFonts w:ascii="Times New Roman" w:hAnsi="Times New Roman"/>
          <w:sz w:val="28"/>
          <w:szCs w:val="28"/>
        </w:rPr>
        <w:t>Электронная коммерция – относительно новое явление для Армении, но она уверенно развивается. Учитывая геополитическую ситуацию в Армении, расширение электронной коммерции будет способствовать развитию взаимоотношений типа предприятие</w:t>
      </w:r>
      <w:r w:rsidR="00646F3D">
        <w:rPr>
          <w:rFonts w:ascii="Times New Roman" w:hAnsi="Times New Roman"/>
          <w:sz w:val="28"/>
          <w:szCs w:val="28"/>
        </w:rPr>
        <w:t xml:space="preserve"> – </w:t>
      </w:r>
      <w:r w:rsidRPr="007E7919">
        <w:rPr>
          <w:rFonts w:ascii="Times New Roman" w:hAnsi="Times New Roman"/>
          <w:sz w:val="28"/>
          <w:szCs w:val="28"/>
        </w:rPr>
        <w:t>предприятие (B2B) и предприятие</w:t>
      </w:r>
      <w:r w:rsidR="00646F3D">
        <w:rPr>
          <w:rFonts w:ascii="Times New Roman" w:hAnsi="Times New Roman"/>
          <w:sz w:val="28"/>
          <w:szCs w:val="28"/>
        </w:rPr>
        <w:t xml:space="preserve"> </w:t>
      </w:r>
      <w:r w:rsidR="00646F3D" w:rsidRPr="00646F3D">
        <w:rPr>
          <w:rFonts w:ascii="Times New Roman" w:hAnsi="Times New Roman"/>
          <w:sz w:val="28"/>
          <w:szCs w:val="28"/>
        </w:rPr>
        <w:t>–</w:t>
      </w:r>
      <w:r w:rsidR="00636F0D">
        <w:rPr>
          <w:rFonts w:ascii="Times New Roman" w:hAnsi="Times New Roman"/>
          <w:sz w:val="28"/>
          <w:szCs w:val="28"/>
        </w:rPr>
        <w:t xml:space="preserve"> </w:t>
      </w:r>
      <w:r w:rsidRPr="007E7919">
        <w:rPr>
          <w:rFonts w:ascii="Times New Roman" w:hAnsi="Times New Roman"/>
          <w:sz w:val="28"/>
          <w:szCs w:val="28"/>
        </w:rPr>
        <w:t>потребитель (B2C), т.е. развитию коммуникации</w:t>
      </w:r>
      <w:r w:rsidR="00646F3D">
        <w:rPr>
          <w:rFonts w:ascii="Times New Roman" w:hAnsi="Times New Roman"/>
          <w:sz w:val="28"/>
          <w:szCs w:val="28"/>
        </w:rPr>
        <w:t xml:space="preserve">, которая стимулирует торговлю и </w:t>
      </w:r>
      <w:r w:rsidRPr="007E7919">
        <w:rPr>
          <w:rFonts w:ascii="Times New Roman" w:hAnsi="Times New Roman"/>
          <w:sz w:val="28"/>
          <w:szCs w:val="28"/>
        </w:rPr>
        <w:t>содействует торговому обороту.</w:t>
      </w:r>
    </w:p>
    <w:p w:rsidR="007E7919" w:rsidRPr="007E7919" w:rsidRDefault="007E7919" w:rsidP="004B066E">
      <w:pPr>
        <w:spacing w:after="0" w:line="310" w:lineRule="exact"/>
        <w:ind w:firstLine="709"/>
        <w:jc w:val="both"/>
        <w:rPr>
          <w:rFonts w:ascii="Times New Roman" w:hAnsi="Times New Roman"/>
          <w:sz w:val="28"/>
          <w:szCs w:val="28"/>
        </w:rPr>
      </w:pPr>
      <w:r w:rsidRPr="007E7919">
        <w:rPr>
          <w:rFonts w:ascii="Times New Roman" w:hAnsi="Times New Roman"/>
          <w:sz w:val="28"/>
          <w:szCs w:val="28"/>
        </w:rPr>
        <w:t>В результате развития этих инструментов оборот внутренней торговли Армении</w:t>
      </w:r>
      <w:r w:rsidR="00636F0D">
        <w:rPr>
          <w:rFonts w:ascii="Times New Roman" w:hAnsi="Times New Roman"/>
          <w:sz w:val="28"/>
          <w:szCs w:val="28"/>
        </w:rPr>
        <w:t xml:space="preserve"> </w:t>
      </w:r>
      <w:r w:rsidRPr="007E7919">
        <w:rPr>
          <w:rFonts w:ascii="Times New Roman" w:hAnsi="Times New Roman"/>
          <w:sz w:val="28"/>
          <w:szCs w:val="28"/>
        </w:rPr>
        <w:t xml:space="preserve">заметно </w:t>
      </w:r>
      <w:r w:rsidR="00371525">
        <w:rPr>
          <w:rFonts w:ascii="Times New Roman" w:hAnsi="Times New Roman"/>
          <w:sz w:val="28"/>
          <w:szCs w:val="28"/>
        </w:rPr>
        <w:t>воз</w:t>
      </w:r>
      <w:r w:rsidRPr="007E7919">
        <w:rPr>
          <w:rFonts w:ascii="Times New Roman" w:hAnsi="Times New Roman"/>
          <w:sz w:val="28"/>
          <w:szCs w:val="28"/>
        </w:rPr>
        <w:t>раст</w:t>
      </w:r>
      <w:r w:rsidR="00371525">
        <w:rPr>
          <w:rFonts w:ascii="Times New Roman" w:hAnsi="Times New Roman"/>
          <w:sz w:val="28"/>
          <w:szCs w:val="28"/>
        </w:rPr>
        <w:t>ет</w:t>
      </w:r>
      <w:r w:rsidRPr="007E7919">
        <w:rPr>
          <w:rFonts w:ascii="Times New Roman" w:hAnsi="Times New Roman"/>
          <w:sz w:val="28"/>
          <w:szCs w:val="28"/>
        </w:rPr>
        <w:t>, что будет способствовать росту малого и среднего бизнеса</w:t>
      </w:r>
      <w:r w:rsidR="00646F3D">
        <w:rPr>
          <w:rFonts w:ascii="Times New Roman" w:hAnsi="Times New Roman"/>
          <w:sz w:val="28"/>
          <w:szCs w:val="28"/>
        </w:rPr>
        <w:t>.</w:t>
      </w:r>
      <w:r w:rsidRPr="007E7919">
        <w:rPr>
          <w:rFonts w:ascii="Times New Roman" w:hAnsi="Times New Roman"/>
          <w:sz w:val="28"/>
          <w:szCs w:val="28"/>
        </w:rPr>
        <w:t xml:space="preserve"> В последние годы в Армении наблюдается заметная активность в этом секто</w:t>
      </w:r>
      <w:r w:rsidR="00371525">
        <w:rPr>
          <w:rFonts w:ascii="Times New Roman" w:hAnsi="Times New Roman"/>
          <w:sz w:val="28"/>
          <w:szCs w:val="28"/>
        </w:rPr>
        <w:t>ре. Согласно официальным данным</w:t>
      </w:r>
      <w:r w:rsidRPr="007E7919">
        <w:rPr>
          <w:rFonts w:ascii="Times New Roman" w:hAnsi="Times New Roman"/>
          <w:sz w:val="28"/>
          <w:szCs w:val="28"/>
        </w:rPr>
        <w:t xml:space="preserve"> в 2014 году рост электронной коммерции </w:t>
      </w:r>
      <w:r w:rsidR="00371525">
        <w:rPr>
          <w:rFonts w:ascii="Times New Roman" w:hAnsi="Times New Roman"/>
          <w:sz w:val="28"/>
          <w:szCs w:val="28"/>
        </w:rPr>
        <w:t>составил</w:t>
      </w:r>
      <w:r w:rsidRPr="007E7919">
        <w:rPr>
          <w:rFonts w:ascii="Times New Roman" w:hAnsi="Times New Roman"/>
          <w:sz w:val="28"/>
          <w:szCs w:val="28"/>
        </w:rPr>
        <w:t xml:space="preserve"> 2,4</w:t>
      </w:r>
      <w:r w:rsidR="004D2C9E">
        <w:rPr>
          <w:rFonts w:ascii="Times New Roman" w:hAnsi="Times New Roman"/>
          <w:sz w:val="28"/>
          <w:szCs w:val="28"/>
        </w:rPr>
        <w:t> %</w:t>
      </w:r>
      <w:r w:rsidRPr="007E7919">
        <w:rPr>
          <w:rFonts w:ascii="Times New Roman" w:hAnsi="Times New Roman"/>
          <w:sz w:val="28"/>
          <w:szCs w:val="28"/>
        </w:rPr>
        <w:t>, а в 2015 и 2016 годах – уже 89,1</w:t>
      </w:r>
      <w:r w:rsidR="004D2C9E">
        <w:rPr>
          <w:rFonts w:ascii="Times New Roman" w:hAnsi="Times New Roman"/>
          <w:sz w:val="28"/>
          <w:szCs w:val="28"/>
        </w:rPr>
        <w:t> </w:t>
      </w:r>
      <w:r w:rsidRPr="007E7919">
        <w:rPr>
          <w:rFonts w:ascii="Times New Roman" w:hAnsi="Times New Roman"/>
          <w:sz w:val="28"/>
          <w:szCs w:val="28"/>
        </w:rPr>
        <w:t>и 79,3</w:t>
      </w:r>
      <w:r w:rsidR="004D2C9E">
        <w:rPr>
          <w:rFonts w:ascii="Times New Roman" w:hAnsi="Times New Roman"/>
          <w:sz w:val="28"/>
          <w:szCs w:val="28"/>
        </w:rPr>
        <w:t> %</w:t>
      </w:r>
      <w:r w:rsidRPr="007E7919">
        <w:rPr>
          <w:rFonts w:ascii="Times New Roman" w:hAnsi="Times New Roman"/>
          <w:sz w:val="28"/>
          <w:szCs w:val="28"/>
        </w:rPr>
        <w:t xml:space="preserve"> соответственно. Многообразие продукции и ее относительная доступность – это привлекательные факторы, которые способствуют расширению и развитию рынка.</w:t>
      </w:r>
    </w:p>
    <w:p w:rsidR="007E7919" w:rsidRPr="007E7919" w:rsidRDefault="007E7919" w:rsidP="004B066E">
      <w:pPr>
        <w:spacing w:after="0" w:line="310" w:lineRule="exact"/>
        <w:ind w:firstLine="709"/>
        <w:jc w:val="both"/>
        <w:rPr>
          <w:rFonts w:ascii="Times New Roman" w:hAnsi="Times New Roman"/>
          <w:sz w:val="28"/>
          <w:szCs w:val="28"/>
        </w:rPr>
      </w:pPr>
      <w:r w:rsidRPr="007E7919">
        <w:rPr>
          <w:rFonts w:ascii="Times New Roman" w:hAnsi="Times New Roman"/>
          <w:sz w:val="28"/>
          <w:szCs w:val="28"/>
        </w:rPr>
        <w:t xml:space="preserve">С развитием такого рода инфраструктуры Армения сможет напрямую сотрудничать с уже существующими и развивающимися рынками СНГ, </w:t>
      </w:r>
      <w:r w:rsidR="00371525">
        <w:rPr>
          <w:rFonts w:ascii="Times New Roman" w:hAnsi="Times New Roman"/>
          <w:sz w:val="28"/>
          <w:szCs w:val="28"/>
        </w:rPr>
        <w:t>ЕАЭС</w:t>
      </w:r>
      <w:r w:rsidRPr="007E7919">
        <w:rPr>
          <w:rFonts w:ascii="Times New Roman" w:hAnsi="Times New Roman"/>
          <w:sz w:val="28"/>
          <w:szCs w:val="28"/>
        </w:rPr>
        <w:t>, Европейского союза и др</w:t>
      </w:r>
      <w:r w:rsidR="00371525">
        <w:rPr>
          <w:rFonts w:ascii="Times New Roman" w:hAnsi="Times New Roman"/>
          <w:sz w:val="28"/>
          <w:szCs w:val="28"/>
        </w:rPr>
        <w:t>угих региональных объединений</w:t>
      </w:r>
      <w:r w:rsidRPr="007E7919">
        <w:rPr>
          <w:rFonts w:ascii="Times New Roman" w:hAnsi="Times New Roman"/>
          <w:sz w:val="28"/>
          <w:szCs w:val="28"/>
        </w:rPr>
        <w:t>, экспортируя более широкий ассортимент армянских товаров и расширяя перечень предлагаемых продуктов армянского производства.</w:t>
      </w:r>
    </w:p>
    <w:p w:rsidR="007E7919" w:rsidRDefault="007E7919" w:rsidP="004B066E">
      <w:pPr>
        <w:spacing w:after="0" w:line="310" w:lineRule="exact"/>
        <w:ind w:firstLine="709"/>
        <w:jc w:val="both"/>
        <w:rPr>
          <w:rFonts w:ascii="Times New Roman" w:hAnsi="Times New Roman"/>
          <w:sz w:val="28"/>
          <w:szCs w:val="28"/>
        </w:rPr>
      </w:pPr>
      <w:r w:rsidRPr="007E7919">
        <w:rPr>
          <w:rFonts w:ascii="Times New Roman" w:hAnsi="Times New Roman"/>
          <w:sz w:val="28"/>
          <w:szCs w:val="28"/>
        </w:rPr>
        <w:t>Система электронного управления в Республике Армения внедрена с 2010</w:t>
      </w:r>
      <w:r w:rsidR="0037459F">
        <w:rPr>
          <w:rFonts w:ascii="Times New Roman" w:hAnsi="Times New Roman"/>
          <w:sz w:val="28"/>
          <w:szCs w:val="28"/>
        </w:rPr>
        <w:t> </w:t>
      </w:r>
      <w:r w:rsidRPr="007E7919">
        <w:rPr>
          <w:rFonts w:ascii="Times New Roman" w:hAnsi="Times New Roman"/>
          <w:sz w:val="28"/>
          <w:szCs w:val="28"/>
        </w:rPr>
        <w:t>года. Она представляет собой электронную платформу государственных услуг,</w:t>
      </w:r>
      <w:r w:rsidR="00A307F4">
        <w:rPr>
          <w:rFonts w:ascii="Times New Roman" w:hAnsi="Times New Roman"/>
          <w:sz w:val="28"/>
          <w:szCs w:val="28"/>
        </w:rPr>
        <w:t xml:space="preserve"> которая</w:t>
      </w:r>
      <w:r w:rsidRPr="007E7919">
        <w:rPr>
          <w:rFonts w:ascii="Times New Roman" w:hAnsi="Times New Roman"/>
          <w:sz w:val="28"/>
          <w:szCs w:val="28"/>
        </w:rPr>
        <w:t xml:space="preserve"> обеспечива</w:t>
      </w:r>
      <w:r w:rsidR="00A307F4">
        <w:rPr>
          <w:rFonts w:ascii="Times New Roman" w:hAnsi="Times New Roman"/>
          <w:sz w:val="28"/>
          <w:szCs w:val="28"/>
        </w:rPr>
        <w:t xml:space="preserve">ет удобство, </w:t>
      </w:r>
      <w:r w:rsidRPr="007E7919">
        <w:rPr>
          <w:rFonts w:ascii="Times New Roman" w:hAnsi="Times New Roman"/>
          <w:sz w:val="28"/>
          <w:szCs w:val="28"/>
        </w:rPr>
        <w:t>прозрачность предоставляемых услуг,</w:t>
      </w:r>
      <w:r w:rsidR="00A307F4">
        <w:rPr>
          <w:rFonts w:ascii="Times New Roman" w:hAnsi="Times New Roman"/>
          <w:sz w:val="28"/>
          <w:szCs w:val="28"/>
        </w:rPr>
        <w:t xml:space="preserve"> </w:t>
      </w:r>
      <w:r w:rsidRPr="007E7919">
        <w:rPr>
          <w:rFonts w:ascii="Times New Roman" w:hAnsi="Times New Roman"/>
          <w:sz w:val="28"/>
          <w:szCs w:val="28"/>
        </w:rPr>
        <w:t>повышение эффективности,</w:t>
      </w:r>
      <w:r w:rsidR="00A307F4">
        <w:rPr>
          <w:rFonts w:ascii="Times New Roman" w:hAnsi="Times New Roman"/>
          <w:sz w:val="28"/>
          <w:szCs w:val="28"/>
        </w:rPr>
        <w:t xml:space="preserve"> </w:t>
      </w:r>
      <w:r w:rsidRPr="007E7919">
        <w:rPr>
          <w:rFonts w:ascii="Times New Roman" w:hAnsi="Times New Roman"/>
          <w:sz w:val="28"/>
          <w:szCs w:val="28"/>
        </w:rPr>
        <w:t>повышение вовлеченности граждан,</w:t>
      </w:r>
      <w:r w:rsidR="00A307F4">
        <w:rPr>
          <w:rFonts w:ascii="Times New Roman" w:hAnsi="Times New Roman"/>
          <w:sz w:val="28"/>
          <w:szCs w:val="28"/>
        </w:rPr>
        <w:t xml:space="preserve"> </w:t>
      </w:r>
      <w:r w:rsidRPr="007E7919">
        <w:rPr>
          <w:rFonts w:ascii="Times New Roman" w:hAnsi="Times New Roman"/>
          <w:sz w:val="28"/>
          <w:szCs w:val="28"/>
        </w:rPr>
        <w:t xml:space="preserve">снижение рисков и издержек, связанных с коррупцией. </w:t>
      </w:r>
    </w:p>
    <w:p w:rsidR="007E7919" w:rsidRPr="007E7919" w:rsidRDefault="00E24050" w:rsidP="004B066E">
      <w:pPr>
        <w:spacing w:after="0" w:line="310" w:lineRule="exact"/>
        <w:ind w:firstLine="709"/>
        <w:jc w:val="both"/>
        <w:rPr>
          <w:rFonts w:ascii="Times New Roman" w:hAnsi="Times New Roman"/>
          <w:sz w:val="28"/>
          <w:szCs w:val="28"/>
        </w:rPr>
      </w:pPr>
      <w:r>
        <w:rPr>
          <w:rFonts w:ascii="Times New Roman" w:hAnsi="Times New Roman"/>
          <w:sz w:val="28"/>
          <w:szCs w:val="28"/>
        </w:rPr>
        <w:t>В</w:t>
      </w:r>
      <w:r w:rsidR="007E7919" w:rsidRPr="007E7919">
        <w:rPr>
          <w:rFonts w:ascii="Times New Roman" w:hAnsi="Times New Roman"/>
          <w:sz w:val="28"/>
          <w:szCs w:val="28"/>
        </w:rPr>
        <w:t xml:space="preserve"> перечень электронных услуг включены:</w:t>
      </w:r>
      <w:r w:rsidR="00646F3D">
        <w:rPr>
          <w:rFonts w:ascii="Times New Roman" w:hAnsi="Times New Roman"/>
          <w:sz w:val="28"/>
          <w:szCs w:val="28"/>
        </w:rPr>
        <w:t xml:space="preserve"> </w:t>
      </w:r>
      <w:r w:rsidR="007E7919" w:rsidRPr="007E7919">
        <w:rPr>
          <w:rFonts w:ascii="Times New Roman" w:hAnsi="Times New Roman"/>
          <w:sz w:val="28"/>
          <w:szCs w:val="28"/>
        </w:rPr>
        <w:t>правительство,</w:t>
      </w:r>
      <w:r>
        <w:rPr>
          <w:rFonts w:ascii="Times New Roman" w:hAnsi="Times New Roman"/>
          <w:sz w:val="28"/>
          <w:szCs w:val="28"/>
        </w:rPr>
        <w:t xml:space="preserve"> з</w:t>
      </w:r>
      <w:r w:rsidR="007E7919" w:rsidRPr="007E7919">
        <w:rPr>
          <w:rFonts w:ascii="Times New Roman" w:hAnsi="Times New Roman"/>
          <w:sz w:val="28"/>
          <w:szCs w:val="28"/>
        </w:rPr>
        <w:t>драв</w:t>
      </w:r>
      <w:r>
        <w:rPr>
          <w:rFonts w:ascii="Times New Roman" w:hAnsi="Times New Roman"/>
          <w:sz w:val="28"/>
          <w:szCs w:val="28"/>
        </w:rPr>
        <w:t>о</w:t>
      </w:r>
      <w:r w:rsidR="007E7919" w:rsidRPr="007E7919">
        <w:rPr>
          <w:rFonts w:ascii="Times New Roman" w:hAnsi="Times New Roman"/>
          <w:sz w:val="28"/>
          <w:szCs w:val="28"/>
        </w:rPr>
        <w:t>охранение,</w:t>
      </w:r>
      <w:r>
        <w:rPr>
          <w:rFonts w:ascii="Times New Roman" w:hAnsi="Times New Roman"/>
          <w:sz w:val="28"/>
          <w:szCs w:val="28"/>
        </w:rPr>
        <w:t xml:space="preserve"> </w:t>
      </w:r>
      <w:r w:rsidR="007E7919" w:rsidRPr="007E7919">
        <w:rPr>
          <w:rFonts w:ascii="Times New Roman" w:hAnsi="Times New Roman"/>
          <w:sz w:val="28"/>
          <w:szCs w:val="28"/>
        </w:rPr>
        <w:t>соц</w:t>
      </w:r>
      <w:r>
        <w:rPr>
          <w:rFonts w:ascii="Times New Roman" w:hAnsi="Times New Roman"/>
          <w:sz w:val="28"/>
          <w:szCs w:val="28"/>
        </w:rPr>
        <w:t>и</w:t>
      </w:r>
      <w:r w:rsidR="007E7919" w:rsidRPr="007E7919">
        <w:rPr>
          <w:rFonts w:ascii="Times New Roman" w:hAnsi="Times New Roman"/>
          <w:sz w:val="28"/>
          <w:szCs w:val="28"/>
        </w:rPr>
        <w:t>альный сектор,</w:t>
      </w:r>
      <w:r>
        <w:rPr>
          <w:rFonts w:ascii="Times New Roman" w:hAnsi="Times New Roman"/>
          <w:sz w:val="28"/>
          <w:szCs w:val="28"/>
        </w:rPr>
        <w:t xml:space="preserve"> </w:t>
      </w:r>
      <w:r w:rsidR="007E7919" w:rsidRPr="007E7919">
        <w:rPr>
          <w:rFonts w:ascii="Times New Roman" w:hAnsi="Times New Roman"/>
          <w:sz w:val="28"/>
          <w:szCs w:val="28"/>
        </w:rPr>
        <w:t>правовая сфера,</w:t>
      </w:r>
      <w:r>
        <w:rPr>
          <w:rFonts w:ascii="Times New Roman" w:hAnsi="Times New Roman"/>
          <w:sz w:val="28"/>
          <w:szCs w:val="28"/>
        </w:rPr>
        <w:t xml:space="preserve"> </w:t>
      </w:r>
      <w:r w:rsidR="007E7919" w:rsidRPr="007E7919">
        <w:rPr>
          <w:rFonts w:ascii="Times New Roman" w:hAnsi="Times New Roman"/>
          <w:sz w:val="28"/>
          <w:szCs w:val="28"/>
        </w:rPr>
        <w:t>налоговый сектор, предпринимательство и лицензии,</w:t>
      </w:r>
      <w:r>
        <w:rPr>
          <w:rFonts w:ascii="Times New Roman" w:hAnsi="Times New Roman"/>
          <w:sz w:val="28"/>
          <w:szCs w:val="28"/>
        </w:rPr>
        <w:t xml:space="preserve"> </w:t>
      </w:r>
      <w:r w:rsidR="007E7919" w:rsidRPr="007E7919">
        <w:rPr>
          <w:rFonts w:ascii="Times New Roman" w:hAnsi="Times New Roman"/>
          <w:sz w:val="28"/>
          <w:szCs w:val="28"/>
        </w:rPr>
        <w:t>образование,</w:t>
      </w:r>
      <w:r>
        <w:rPr>
          <w:rFonts w:ascii="Times New Roman" w:hAnsi="Times New Roman"/>
          <w:sz w:val="28"/>
          <w:szCs w:val="28"/>
        </w:rPr>
        <w:t xml:space="preserve"> </w:t>
      </w:r>
      <w:r w:rsidR="007E7919" w:rsidRPr="007E7919">
        <w:rPr>
          <w:rFonts w:ascii="Times New Roman" w:hAnsi="Times New Roman"/>
          <w:sz w:val="28"/>
          <w:szCs w:val="28"/>
        </w:rPr>
        <w:t>гражданство, въездные визы Республики Армения,</w:t>
      </w:r>
      <w:r>
        <w:rPr>
          <w:rFonts w:ascii="Times New Roman" w:hAnsi="Times New Roman"/>
          <w:sz w:val="28"/>
          <w:szCs w:val="28"/>
        </w:rPr>
        <w:t xml:space="preserve"> </w:t>
      </w:r>
      <w:r w:rsidR="007E7919" w:rsidRPr="007E7919">
        <w:rPr>
          <w:rFonts w:ascii="Times New Roman" w:hAnsi="Times New Roman"/>
          <w:sz w:val="28"/>
          <w:szCs w:val="28"/>
        </w:rPr>
        <w:t>правовая сфера,</w:t>
      </w:r>
      <w:r>
        <w:rPr>
          <w:rFonts w:ascii="Times New Roman" w:hAnsi="Times New Roman"/>
          <w:sz w:val="28"/>
          <w:szCs w:val="28"/>
        </w:rPr>
        <w:t xml:space="preserve"> </w:t>
      </w:r>
      <w:r w:rsidR="007E7919" w:rsidRPr="007E7919">
        <w:rPr>
          <w:rFonts w:ascii="Times New Roman" w:hAnsi="Times New Roman"/>
          <w:sz w:val="28"/>
          <w:szCs w:val="28"/>
        </w:rPr>
        <w:t>финансы и закупки,</w:t>
      </w:r>
      <w:r>
        <w:rPr>
          <w:rFonts w:ascii="Times New Roman" w:hAnsi="Times New Roman"/>
          <w:sz w:val="28"/>
          <w:szCs w:val="28"/>
        </w:rPr>
        <w:t xml:space="preserve"> другие</w:t>
      </w:r>
      <w:r w:rsidR="007E7919" w:rsidRPr="007E7919">
        <w:rPr>
          <w:rFonts w:ascii="Times New Roman" w:hAnsi="Times New Roman"/>
          <w:sz w:val="28"/>
          <w:szCs w:val="28"/>
        </w:rPr>
        <w:t xml:space="preserve"> е-услуги.</w:t>
      </w:r>
    </w:p>
    <w:p w:rsidR="007E7919" w:rsidRPr="007E7919" w:rsidRDefault="007E7919" w:rsidP="004B066E">
      <w:pPr>
        <w:spacing w:after="0" w:line="310" w:lineRule="exact"/>
        <w:ind w:firstLine="709"/>
        <w:jc w:val="both"/>
        <w:rPr>
          <w:rFonts w:ascii="Times New Roman" w:hAnsi="Times New Roman"/>
          <w:sz w:val="28"/>
          <w:szCs w:val="28"/>
        </w:rPr>
      </w:pPr>
      <w:r w:rsidRPr="007E7919">
        <w:rPr>
          <w:rFonts w:ascii="Times New Roman" w:hAnsi="Times New Roman"/>
          <w:sz w:val="28"/>
          <w:szCs w:val="28"/>
        </w:rPr>
        <w:t>Прочие е-услуги включа</w:t>
      </w:r>
      <w:r w:rsidR="00E24050">
        <w:rPr>
          <w:rFonts w:ascii="Times New Roman" w:hAnsi="Times New Roman"/>
          <w:sz w:val="28"/>
          <w:szCs w:val="28"/>
        </w:rPr>
        <w:t>ю</w:t>
      </w:r>
      <w:r w:rsidRPr="007E7919">
        <w:rPr>
          <w:rFonts w:ascii="Times New Roman" w:hAnsi="Times New Roman"/>
          <w:sz w:val="28"/>
          <w:szCs w:val="28"/>
        </w:rPr>
        <w:t xml:space="preserve">т электронную базу данных культурных ценностей, </w:t>
      </w:r>
      <w:r w:rsidR="00646F3D">
        <w:rPr>
          <w:rFonts w:ascii="Times New Roman" w:hAnsi="Times New Roman"/>
          <w:sz w:val="28"/>
          <w:szCs w:val="28"/>
        </w:rPr>
        <w:t>Н</w:t>
      </w:r>
      <w:r w:rsidRPr="007E7919">
        <w:rPr>
          <w:rFonts w:ascii="Times New Roman" w:hAnsi="Times New Roman"/>
          <w:sz w:val="28"/>
          <w:szCs w:val="28"/>
        </w:rPr>
        <w:t xml:space="preserve">ациональную галерею Армении, </w:t>
      </w:r>
      <w:r w:rsidR="00646F3D">
        <w:rPr>
          <w:rFonts w:ascii="Times New Roman" w:hAnsi="Times New Roman"/>
          <w:sz w:val="28"/>
          <w:szCs w:val="28"/>
        </w:rPr>
        <w:t xml:space="preserve">Республиканский </w:t>
      </w:r>
      <w:r w:rsidRPr="007E7919">
        <w:rPr>
          <w:rFonts w:ascii="Times New Roman" w:hAnsi="Times New Roman"/>
          <w:sz w:val="28"/>
          <w:szCs w:val="28"/>
        </w:rPr>
        <w:t>геологический фонд Армении, информационные и коммуникационные технологии, статистическую службу и онлайн</w:t>
      </w:r>
      <w:r w:rsidR="00646F3D">
        <w:rPr>
          <w:rFonts w:ascii="Times New Roman" w:hAnsi="Times New Roman"/>
          <w:sz w:val="28"/>
          <w:szCs w:val="28"/>
        </w:rPr>
        <w:t>-</w:t>
      </w:r>
      <w:r w:rsidRPr="007E7919">
        <w:rPr>
          <w:rFonts w:ascii="Times New Roman" w:hAnsi="Times New Roman"/>
          <w:sz w:val="28"/>
          <w:szCs w:val="28"/>
        </w:rPr>
        <w:t>запрос дорожной полиции об обязательном автостраховании.</w:t>
      </w:r>
      <w:r w:rsidR="004D2C9E">
        <w:rPr>
          <w:rFonts w:ascii="Times New Roman" w:hAnsi="Times New Roman"/>
          <w:sz w:val="28"/>
          <w:szCs w:val="28"/>
        </w:rPr>
        <w:t xml:space="preserve"> </w:t>
      </w:r>
    </w:p>
    <w:p w:rsidR="007E7919" w:rsidRDefault="007E7919" w:rsidP="004B066E">
      <w:pPr>
        <w:spacing w:after="0" w:line="310" w:lineRule="exact"/>
        <w:ind w:firstLine="709"/>
        <w:jc w:val="both"/>
        <w:rPr>
          <w:rFonts w:ascii="Times New Roman" w:hAnsi="Times New Roman"/>
          <w:sz w:val="28"/>
          <w:szCs w:val="28"/>
        </w:rPr>
      </w:pPr>
      <w:r w:rsidRPr="007E7919">
        <w:rPr>
          <w:rFonts w:ascii="Times New Roman" w:hAnsi="Times New Roman"/>
          <w:sz w:val="28"/>
          <w:szCs w:val="28"/>
        </w:rPr>
        <w:t>Координатор</w:t>
      </w:r>
      <w:r w:rsidR="00B933DC">
        <w:rPr>
          <w:rFonts w:ascii="Times New Roman" w:hAnsi="Times New Roman"/>
          <w:sz w:val="28"/>
          <w:szCs w:val="28"/>
        </w:rPr>
        <w:t>ом</w:t>
      </w:r>
      <w:r w:rsidRPr="007E7919">
        <w:rPr>
          <w:rFonts w:ascii="Times New Roman" w:hAnsi="Times New Roman"/>
          <w:sz w:val="28"/>
          <w:szCs w:val="28"/>
        </w:rPr>
        <w:t xml:space="preserve"> проектов электронного управления Республики Армения является </w:t>
      </w:r>
      <w:r w:rsidR="004D2C9E">
        <w:rPr>
          <w:rFonts w:ascii="Times New Roman" w:hAnsi="Times New Roman"/>
          <w:sz w:val="28"/>
          <w:szCs w:val="28"/>
        </w:rPr>
        <w:t>«</w:t>
      </w:r>
      <w:r w:rsidRPr="007E7919">
        <w:rPr>
          <w:rFonts w:ascii="Times New Roman" w:hAnsi="Times New Roman"/>
          <w:sz w:val="28"/>
          <w:szCs w:val="28"/>
        </w:rPr>
        <w:t>Офис по внедрению инфраструктур электронного управления</w:t>
      </w:r>
      <w:r w:rsidR="004D2C9E">
        <w:rPr>
          <w:rFonts w:ascii="Times New Roman" w:hAnsi="Times New Roman"/>
          <w:sz w:val="28"/>
          <w:szCs w:val="28"/>
        </w:rPr>
        <w:t>»</w:t>
      </w:r>
      <w:r w:rsidRPr="007E7919">
        <w:rPr>
          <w:rFonts w:ascii="Times New Roman" w:hAnsi="Times New Roman"/>
          <w:sz w:val="28"/>
          <w:szCs w:val="28"/>
        </w:rPr>
        <w:t xml:space="preserve"> </w:t>
      </w:r>
      <w:r w:rsidR="0037459F">
        <w:rPr>
          <w:rFonts w:ascii="Times New Roman" w:hAnsi="Times New Roman"/>
          <w:sz w:val="28"/>
          <w:szCs w:val="28"/>
        </w:rPr>
        <w:br/>
      </w:r>
      <w:r w:rsidRPr="007E7919">
        <w:rPr>
          <w:rFonts w:ascii="Times New Roman" w:hAnsi="Times New Roman"/>
          <w:sz w:val="28"/>
          <w:szCs w:val="28"/>
        </w:rPr>
        <w:t xml:space="preserve">(ЗАО </w:t>
      </w:r>
      <w:r w:rsidR="004D2C9E">
        <w:rPr>
          <w:rFonts w:ascii="Times New Roman" w:hAnsi="Times New Roman"/>
          <w:sz w:val="28"/>
          <w:szCs w:val="28"/>
        </w:rPr>
        <w:t>«</w:t>
      </w:r>
      <w:r w:rsidRPr="007E7919">
        <w:rPr>
          <w:rFonts w:ascii="Times New Roman" w:hAnsi="Times New Roman"/>
          <w:sz w:val="28"/>
          <w:szCs w:val="28"/>
        </w:rPr>
        <w:t>ЭКЕНГ</w:t>
      </w:r>
      <w:r w:rsidR="004D2C9E">
        <w:rPr>
          <w:rFonts w:ascii="Times New Roman" w:hAnsi="Times New Roman"/>
          <w:sz w:val="28"/>
          <w:szCs w:val="28"/>
        </w:rPr>
        <w:t>»</w:t>
      </w:r>
      <w:r w:rsidRPr="007E7919">
        <w:rPr>
          <w:rFonts w:ascii="Times New Roman" w:hAnsi="Times New Roman"/>
          <w:sz w:val="28"/>
          <w:szCs w:val="28"/>
        </w:rPr>
        <w:t xml:space="preserve">). Компания была создана в 2009 году от имени </w:t>
      </w:r>
      <w:r w:rsidR="00E24050">
        <w:rPr>
          <w:rFonts w:ascii="Times New Roman" w:hAnsi="Times New Roman"/>
          <w:sz w:val="28"/>
          <w:szCs w:val="28"/>
        </w:rPr>
        <w:t>П</w:t>
      </w:r>
      <w:r w:rsidRPr="007E7919">
        <w:rPr>
          <w:rFonts w:ascii="Times New Roman" w:hAnsi="Times New Roman"/>
          <w:sz w:val="28"/>
          <w:szCs w:val="28"/>
        </w:rPr>
        <w:t xml:space="preserve">равительства Республики Армения. Акции компании принадлежат Республике Армения и находятся в </w:t>
      </w:r>
      <w:r w:rsidR="00646F3D">
        <w:rPr>
          <w:rFonts w:ascii="Times New Roman" w:hAnsi="Times New Roman"/>
          <w:sz w:val="28"/>
          <w:szCs w:val="28"/>
        </w:rPr>
        <w:t>А</w:t>
      </w:r>
      <w:r w:rsidRPr="007E7919">
        <w:rPr>
          <w:rFonts w:ascii="Times New Roman" w:hAnsi="Times New Roman"/>
          <w:sz w:val="28"/>
          <w:szCs w:val="28"/>
        </w:rPr>
        <w:t xml:space="preserve">ппарате Правительства Республики Армения. ЗАО </w:t>
      </w:r>
      <w:r w:rsidR="004D2C9E">
        <w:rPr>
          <w:rFonts w:ascii="Times New Roman" w:hAnsi="Times New Roman"/>
          <w:sz w:val="28"/>
          <w:szCs w:val="28"/>
        </w:rPr>
        <w:t>«</w:t>
      </w:r>
      <w:r w:rsidRPr="007E7919">
        <w:rPr>
          <w:rFonts w:ascii="Times New Roman" w:hAnsi="Times New Roman"/>
          <w:sz w:val="28"/>
          <w:szCs w:val="28"/>
        </w:rPr>
        <w:t>ЭКЕНГ</w:t>
      </w:r>
      <w:r w:rsidR="004D2C9E">
        <w:rPr>
          <w:rFonts w:ascii="Times New Roman" w:hAnsi="Times New Roman"/>
          <w:sz w:val="28"/>
          <w:szCs w:val="28"/>
        </w:rPr>
        <w:t>»</w:t>
      </w:r>
      <w:r w:rsidRPr="007E7919">
        <w:rPr>
          <w:rFonts w:ascii="Times New Roman" w:hAnsi="Times New Roman"/>
          <w:sz w:val="28"/>
          <w:szCs w:val="28"/>
        </w:rPr>
        <w:t xml:space="preserve"> обязал</w:t>
      </w:r>
      <w:r w:rsidR="00646F3D">
        <w:rPr>
          <w:rFonts w:ascii="Times New Roman" w:hAnsi="Times New Roman"/>
          <w:sz w:val="28"/>
          <w:szCs w:val="28"/>
        </w:rPr>
        <w:t>о</w:t>
      </w:r>
      <w:r w:rsidRPr="007E7919">
        <w:rPr>
          <w:rFonts w:ascii="Times New Roman" w:hAnsi="Times New Roman"/>
          <w:sz w:val="28"/>
          <w:szCs w:val="28"/>
        </w:rPr>
        <w:t>сь реализовать проекты развития информационного общества и выполняет ряд важных проектов по совершенствованию и продвижению электронного управления.</w:t>
      </w:r>
    </w:p>
    <w:p w:rsidR="0068434D" w:rsidRPr="000916AF" w:rsidRDefault="0068434D" w:rsidP="004D2C9E">
      <w:pPr>
        <w:pStyle w:val="4"/>
      </w:pPr>
      <w:r w:rsidRPr="000916AF">
        <w:t>Республика Беларусь</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Направлениями развития цифровой экономики в ближайшее пятилетие будут:</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дальнейшее формирование единого информационного пространства для оказания электронных услуг как в рамках отдельных видов деятельности, так и на основе интеграции информационных систем;</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предоставление доступа к открытым данным;</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создание условий для использования электронных услуг, стимулирующих их востребованность;</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увеличение объема производства и безопасного потребления высокотехнологичных и наукоемких ИКТ</w:t>
      </w:r>
      <w:r w:rsidR="00646F3D">
        <w:rPr>
          <w:rFonts w:ascii="Times New Roman" w:hAnsi="Times New Roman"/>
          <w:sz w:val="28"/>
          <w:szCs w:val="28"/>
        </w:rPr>
        <w:t>-</w:t>
      </w:r>
      <w:r w:rsidRPr="00106AA9">
        <w:rPr>
          <w:rFonts w:ascii="Times New Roman" w:hAnsi="Times New Roman"/>
          <w:sz w:val="28"/>
          <w:szCs w:val="28"/>
        </w:rPr>
        <w:t>товаров и услуг;</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повышение эффективности работы организаций, ориентированных на производство и реализацию товаров и оказание услуг.</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К наиболее важным ожидаемым результатам реализации подпрограммы 3 следует отнести:</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совершенствование системы управления и правового регулирования процессами информатизации;</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дальнейшее развитие государственной системы правовой информации для совершенствования электронной правовой коммуникации между гражданами, бизнесом и государством;</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 xml:space="preserve">создание государственной информационной системы, содержащей исчерпывающую информацию об административных процедурах в отношении юридических лиц и индивидуальных предпринимателей (первая очередь) и предоставляющей возможность осуществлять административные процедуры в электронном виде (вторая очередь) посредством интеграции данного ресурса в </w:t>
      </w:r>
      <w:r w:rsidR="00094777" w:rsidRPr="00544A93">
        <w:rPr>
          <w:rFonts w:ascii="Times New Roman" w:hAnsi="Times New Roman"/>
          <w:spacing w:val="-4"/>
          <w:sz w:val="28"/>
          <w:szCs w:val="28"/>
        </w:rPr>
        <w:t>Общегосударственную автоматизированную информационную систему (ОАИС</w:t>
      </w:r>
      <w:r w:rsidR="00094777" w:rsidRPr="00094777">
        <w:rPr>
          <w:rFonts w:ascii="Times New Roman" w:hAnsi="Times New Roman"/>
          <w:sz w:val="28"/>
          <w:szCs w:val="28"/>
        </w:rPr>
        <w:t>)</w:t>
      </w:r>
      <w:r w:rsidRPr="00106AA9">
        <w:rPr>
          <w:rFonts w:ascii="Times New Roman" w:hAnsi="Times New Roman"/>
          <w:sz w:val="28"/>
          <w:szCs w:val="28"/>
        </w:rPr>
        <w:t>;</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разработку новой интегрированной информационной системы управления государственными финансами, позволяющей создать инструментарий для принятия обоснованных управленческих решений в целях повышения эффективности и результативности управления государственными финансами и перейти на качественно новый уровень управления ими;</w:t>
      </w:r>
    </w:p>
    <w:p w:rsidR="00106AA9" w:rsidRPr="00544A93" w:rsidRDefault="00106AA9" w:rsidP="00544A93">
      <w:pPr>
        <w:spacing w:after="0" w:line="315" w:lineRule="exact"/>
        <w:ind w:firstLine="709"/>
        <w:jc w:val="both"/>
        <w:rPr>
          <w:rFonts w:ascii="Times New Roman" w:hAnsi="Times New Roman"/>
          <w:spacing w:val="-4"/>
          <w:sz w:val="28"/>
          <w:szCs w:val="28"/>
        </w:rPr>
      </w:pPr>
      <w:r w:rsidRPr="00544A93">
        <w:rPr>
          <w:rFonts w:ascii="Times New Roman" w:hAnsi="Times New Roman"/>
          <w:spacing w:val="-4"/>
          <w:sz w:val="28"/>
          <w:szCs w:val="28"/>
        </w:rPr>
        <w:t>повышение качества транспортных услуг, эффективности и безопасности транспортного процесса, в том числе создание систем централизованного автотранспортного обслуживания крупных грузообразующих объектов, совершенствование системы информационного обмена, учета и документооборота на основе использования международных стандартов и нормативов;</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широкомасштабно</w:t>
      </w:r>
      <w:r w:rsidR="002250B6">
        <w:rPr>
          <w:rFonts w:ascii="Times New Roman" w:hAnsi="Times New Roman"/>
          <w:sz w:val="28"/>
          <w:szCs w:val="28"/>
        </w:rPr>
        <w:t>е</w:t>
      </w:r>
      <w:r w:rsidRPr="00106AA9">
        <w:rPr>
          <w:rFonts w:ascii="Times New Roman" w:hAnsi="Times New Roman"/>
          <w:sz w:val="28"/>
          <w:szCs w:val="28"/>
        </w:rPr>
        <w:t xml:space="preserve"> использовани</w:t>
      </w:r>
      <w:r w:rsidR="002250B6">
        <w:rPr>
          <w:rFonts w:ascii="Times New Roman" w:hAnsi="Times New Roman"/>
          <w:sz w:val="28"/>
          <w:szCs w:val="28"/>
        </w:rPr>
        <w:t>е</w:t>
      </w:r>
      <w:r w:rsidRPr="00106AA9">
        <w:rPr>
          <w:rFonts w:ascii="Times New Roman" w:hAnsi="Times New Roman"/>
          <w:sz w:val="28"/>
          <w:szCs w:val="28"/>
        </w:rPr>
        <w:t xml:space="preserve"> электронных коммуникаций для информационного взаимодействия педагогов, обучаемых, родителей, внедрение проекта </w:t>
      </w:r>
      <w:r w:rsidR="004D2C9E">
        <w:rPr>
          <w:rFonts w:ascii="Times New Roman" w:hAnsi="Times New Roman"/>
          <w:sz w:val="28"/>
          <w:szCs w:val="28"/>
        </w:rPr>
        <w:t>«</w:t>
      </w:r>
      <w:r w:rsidRPr="00106AA9">
        <w:rPr>
          <w:rFonts w:ascii="Times New Roman" w:hAnsi="Times New Roman"/>
          <w:sz w:val="28"/>
          <w:szCs w:val="28"/>
        </w:rPr>
        <w:t>Электронная школа</w:t>
      </w:r>
      <w:r w:rsidR="004D2C9E">
        <w:rPr>
          <w:rFonts w:ascii="Times New Roman" w:hAnsi="Times New Roman"/>
          <w:sz w:val="28"/>
          <w:szCs w:val="28"/>
        </w:rPr>
        <w:t>»</w:t>
      </w:r>
      <w:r w:rsidRPr="00106AA9">
        <w:rPr>
          <w:rFonts w:ascii="Times New Roman" w:hAnsi="Times New Roman"/>
          <w:sz w:val="28"/>
          <w:szCs w:val="28"/>
        </w:rPr>
        <w:t>, обеспечивающего комплексное решение управленческих задач и совершенствование образовательной деятельности в учреждениях общего среднего образования;</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развитие проекта по использованию электронных рецептов до полномасштабной республиканской информационной системы, в том числе с применением технологии электронной цифровой подписи республиканского удостоверяющего центра;</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создание информационной системы, предоставляющей иностранным гражданам возможность получения визы в режиме реального времени;</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совершенствование ИКИ информационных систем охраны границы и пограничного контроля;</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разработку и внедрение автоматизированной системы учета, обработки и анализа информации о финансовых операциях, подлежащих особому контролю, в целях выявления финансовых операций, связанных с получением и (или) легализацией доходов, полученных преступным путем;</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автоматизацию процессов подготовки, проведения и распространения итогов переписи населения Республики Беларусь раунда 2020 года.</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Задача подпрограммы 3</w:t>
      </w:r>
      <w:r w:rsidR="00F9318B">
        <w:rPr>
          <w:rFonts w:ascii="Times New Roman" w:hAnsi="Times New Roman"/>
          <w:sz w:val="28"/>
          <w:szCs w:val="28"/>
        </w:rPr>
        <w:t xml:space="preserve"> – </w:t>
      </w:r>
      <w:r w:rsidRPr="00106AA9">
        <w:rPr>
          <w:rFonts w:ascii="Times New Roman" w:hAnsi="Times New Roman"/>
          <w:sz w:val="28"/>
          <w:szCs w:val="28"/>
        </w:rPr>
        <w:t>трансформация бизнес-процессов посредством ИКТ во всех сферах жизнедеятельности современного общества.</w:t>
      </w:r>
    </w:p>
    <w:p w:rsidR="00106AA9" w:rsidRPr="00106AA9" w:rsidRDefault="00106AA9" w:rsidP="00544A93">
      <w:pPr>
        <w:spacing w:after="0" w:line="315" w:lineRule="exact"/>
        <w:ind w:firstLine="709"/>
        <w:jc w:val="both"/>
        <w:rPr>
          <w:rFonts w:ascii="Times New Roman" w:hAnsi="Times New Roman"/>
          <w:sz w:val="28"/>
          <w:szCs w:val="28"/>
        </w:rPr>
      </w:pPr>
      <w:r w:rsidRPr="00106AA9">
        <w:rPr>
          <w:rFonts w:ascii="Times New Roman" w:hAnsi="Times New Roman"/>
          <w:sz w:val="28"/>
          <w:szCs w:val="28"/>
        </w:rPr>
        <w:t>Основн</w:t>
      </w:r>
      <w:r w:rsidR="002250B6">
        <w:rPr>
          <w:rFonts w:ascii="Times New Roman" w:hAnsi="Times New Roman"/>
          <w:sz w:val="28"/>
          <w:szCs w:val="28"/>
        </w:rPr>
        <w:t>ой</w:t>
      </w:r>
      <w:r w:rsidRPr="00106AA9">
        <w:rPr>
          <w:rFonts w:ascii="Times New Roman" w:hAnsi="Times New Roman"/>
          <w:sz w:val="28"/>
          <w:szCs w:val="28"/>
        </w:rPr>
        <w:t xml:space="preserve"> проблем</w:t>
      </w:r>
      <w:r w:rsidR="002250B6">
        <w:rPr>
          <w:rFonts w:ascii="Times New Roman" w:hAnsi="Times New Roman"/>
          <w:sz w:val="28"/>
          <w:szCs w:val="28"/>
        </w:rPr>
        <w:t>ой</w:t>
      </w:r>
      <w:r w:rsidRPr="00106AA9">
        <w:rPr>
          <w:rFonts w:ascii="Times New Roman" w:hAnsi="Times New Roman"/>
          <w:sz w:val="28"/>
          <w:szCs w:val="28"/>
        </w:rPr>
        <w:t xml:space="preserve"> с точки зрения антимонопольного регулирования при реализации данной программы является то, что в качестве исполнителя мероприятия, оператора той или иной информационной системы или в качестве хозяйствующего, уполномоченного на централизованное оказание электронных видов услуг, на законодательном уровне </w:t>
      </w:r>
      <w:r w:rsidR="00C11C73" w:rsidRPr="00C11C73">
        <w:rPr>
          <w:rFonts w:ascii="Times New Roman" w:hAnsi="Times New Roman"/>
          <w:sz w:val="28"/>
          <w:szCs w:val="28"/>
        </w:rPr>
        <w:t xml:space="preserve">определяется </w:t>
      </w:r>
      <w:r w:rsidRPr="00106AA9">
        <w:rPr>
          <w:rFonts w:ascii="Times New Roman" w:hAnsi="Times New Roman"/>
          <w:sz w:val="28"/>
          <w:szCs w:val="28"/>
        </w:rPr>
        <w:t>единственный хозяйствующий субъект, как правило, государственной формы собственности или с долей государства, подведомственный государственному органу.</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 xml:space="preserve">Такая ситуация ограничивает конкуренцию на товарных рынках, а также создает предпосылки для монополизации рынка, что в свою очередь может привести к нарушению этими субъектами антимонопольного законодательства. </w:t>
      </w:r>
    </w:p>
    <w:p w:rsidR="00106AA9" w:rsidRPr="00544A93" w:rsidRDefault="00106AA9" w:rsidP="004D2C9E">
      <w:pPr>
        <w:spacing w:after="0" w:line="240" w:lineRule="auto"/>
        <w:ind w:firstLine="709"/>
        <w:jc w:val="both"/>
        <w:rPr>
          <w:rFonts w:ascii="Times New Roman" w:hAnsi="Times New Roman"/>
          <w:spacing w:val="-4"/>
          <w:sz w:val="28"/>
          <w:szCs w:val="28"/>
        </w:rPr>
      </w:pPr>
      <w:r w:rsidRPr="00544A93">
        <w:rPr>
          <w:rFonts w:ascii="Times New Roman" w:hAnsi="Times New Roman"/>
          <w:spacing w:val="-4"/>
          <w:sz w:val="28"/>
          <w:szCs w:val="28"/>
        </w:rPr>
        <w:t>Так, например, уполномоченный исполнитель на прокладку линий электросвязи имеет преимущество по сравнению с другими операторами электросвязи при дальнейшем оказании услуг, а доступ иных операторов электросвязи ограничивается; оператор информационных систем или поставщик электронных услуг использует определенное программное обеспечение, не всегда совместимое с программным обеспечением потребителя, а также может завышать тарифы на оказываемые виды электронных услуг. Безусловно, в большинстве случаев единые информационные системы должны функционировать под управ</w:t>
      </w:r>
      <w:r w:rsidR="00837173" w:rsidRPr="00544A93">
        <w:rPr>
          <w:rFonts w:ascii="Times New Roman" w:hAnsi="Times New Roman"/>
          <w:spacing w:val="-4"/>
          <w:sz w:val="28"/>
          <w:szCs w:val="28"/>
        </w:rPr>
        <w:t>лением одного оператора, однако</w:t>
      </w:r>
      <w:r w:rsidRPr="00544A93">
        <w:rPr>
          <w:rFonts w:ascii="Times New Roman" w:hAnsi="Times New Roman"/>
          <w:spacing w:val="-4"/>
          <w:sz w:val="28"/>
          <w:szCs w:val="28"/>
        </w:rPr>
        <w:t xml:space="preserve"> выбор такого оператора необходимо осуществлять на конкурентной основе.</w:t>
      </w:r>
    </w:p>
    <w:p w:rsidR="00106AA9" w:rsidRPr="00544A93" w:rsidRDefault="00106AA9" w:rsidP="004D2C9E">
      <w:pPr>
        <w:spacing w:after="0" w:line="240" w:lineRule="auto"/>
        <w:ind w:firstLine="709"/>
        <w:jc w:val="both"/>
        <w:rPr>
          <w:rFonts w:ascii="Times New Roman" w:hAnsi="Times New Roman"/>
          <w:spacing w:val="-4"/>
          <w:sz w:val="28"/>
          <w:szCs w:val="28"/>
        </w:rPr>
      </w:pPr>
      <w:r w:rsidRPr="00544A93">
        <w:rPr>
          <w:rFonts w:ascii="Times New Roman" w:hAnsi="Times New Roman"/>
          <w:spacing w:val="-4"/>
          <w:sz w:val="28"/>
          <w:szCs w:val="28"/>
        </w:rPr>
        <w:t>Таким образом, для эффективного развития цифровой экономики и электронного информационного взаимодействия необходимо оценивать эффективность присутствия на рынке единственного оператора и наличие конкуренции среди операторов и поставщиков электронных услуг, что будет способствовать расширению видов используемых программных продуктов, постоянной их доработке и обновлению, улучшению качества оказываемых услуг.</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В целях развития цифровой экономики в Республике Беларусь также принят Декрет Президента Республики Беларусь от 21 декабря 2017 г</w:t>
      </w:r>
      <w:r w:rsidR="00CE7C0B">
        <w:rPr>
          <w:rFonts w:ascii="Times New Roman" w:hAnsi="Times New Roman"/>
          <w:sz w:val="28"/>
          <w:szCs w:val="28"/>
        </w:rPr>
        <w:t>ода</w:t>
      </w:r>
      <w:r w:rsidRPr="00106AA9">
        <w:rPr>
          <w:rFonts w:ascii="Times New Roman" w:hAnsi="Times New Roman"/>
          <w:sz w:val="28"/>
          <w:szCs w:val="28"/>
        </w:rPr>
        <w:t xml:space="preserve"> </w:t>
      </w:r>
      <w:r w:rsidR="00E720B2">
        <w:rPr>
          <w:rFonts w:ascii="Times New Roman" w:hAnsi="Times New Roman"/>
          <w:sz w:val="28"/>
          <w:szCs w:val="28"/>
        </w:rPr>
        <w:t>№ </w:t>
      </w:r>
      <w:r w:rsidRPr="00106AA9">
        <w:rPr>
          <w:rFonts w:ascii="Times New Roman" w:hAnsi="Times New Roman"/>
          <w:sz w:val="28"/>
          <w:szCs w:val="28"/>
        </w:rPr>
        <w:t xml:space="preserve">8 </w:t>
      </w:r>
      <w:r w:rsidR="004D2C9E">
        <w:rPr>
          <w:rFonts w:ascii="Times New Roman" w:hAnsi="Times New Roman"/>
          <w:sz w:val="28"/>
          <w:szCs w:val="28"/>
        </w:rPr>
        <w:t>«</w:t>
      </w:r>
      <w:r w:rsidRPr="00106AA9">
        <w:rPr>
          <w:rFonts w:ascii="Times New Roman" w:hAnsi="Times New Roman"/>
          <w:sz w:val="28"/>
          <w:szCs w:val="28"/>
        </w:rPr>
        <w:t>О развитии цифровой экономики</w:t>
      </w:r>
      <w:r w:rsidR="004D2C9E">
        <w:rPr>
          <w:rFonts w:ascii="Times New Roman" w:hAnsi="Times New Roman"/>
          <w:sz w:val="28"/>
          <w:szCs w:val="28"/>
        </w:rPr>
        <w:t>»</w:t>
      </w:r>
      <w:r w:rsidRPr="00106AA9">
        <w:rPr>
          <w:rFonts w:ascii="Times New Roman" w:hAnsi="Times New Roman"/>
          <w:sz w:val="28"/>
          <w:szCs w:val="28"/>
        </w:rPr>
        <w:t>, в соответствии с которым необходимо:</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создать условия для внедрения в экономику Республики Беларусь технологии реестра блоков транзакций (блокчейн), иных технологий, основанных на принципах распределенности, децентрализации и безопасности совершаемых с их использованием операций;</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предоставить льготы и преференции участникам отношений, связанных с применением современных технологий;</w:t>
      </w:r>
    </w:p>
    <w:p w:rsidR="00106AA9" w:rsidRPr="00106AA9"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принять меры, направленные на повышение правовой защищенности участников отношений, связанных с применением со</w:t>
      </w:r>
      <w:r w:rsidR="002250B6">
        <w:rPr>
          <w:rFonts w:ascii="Times New Roman" w:hAnsi="Times New Roman"/>
          <w:sz w:val="28"/>
          <w:szCs w:val="28"/>
        </w:rPr>
        <w:t>временных финансовых технологий;</w:t>
      </w:r>
    </w:p>
    <w:p w:rsidR="0068434D" w:rsidRDefault="00106AA9" w:rsidP="004D2C9E">
      <w:pPr>
        <w:spacing w:after="0" w:line="240" w:lineRule="auto"/>
        <w:ind w:firstLine="709"/>
        <w:jc w:val="both"/>
        <w:rPr>
          <w:rFonts w:ascii="Times New Roman" w:hAnsi="Times New Roman"/>
          <w:sz w:val="28"/>
          <w:szCs w:val="28"/>
        </w:rPr>
      </w:pPr>
      <w:r w:rsidRPr="00106AA9">
        <w:rPr>
          <w:rFonts w:ascii="Times New Roman" w:hAnsi="Times New Roman"/>
          <w:sz w:val="28"/>
          <w:szCs w:val="28"/>
        </w:rPr>
        <w:t>провести в рамках Парка высоких технологий правовой эксперимент для апробации новых правовых институтов на предмет возможности их имплементации в гражданское законодательство Республики Беларусь.</w:t>
      </w:r>
    </w:p>
    <w:p w:rsidR="0068434D" w:rsidRPr="00281102" w:rsidRDefault="0068434D" w:rsidP="004D2C9E">
      <w:pPr>
        <w:pStyle w:val="4"/>
      </w:pPr>
      <w:r w:rsidRPr="00281102">
        <w:t>Республика Казахстан</w:t>
      </w:r>
    </w:p>
    <w:p w:rsidR="0035213A" w:rsidRDefault="0035213A" w:rsidP="004D2C9E">
      <w:pPr>
        <w:spacing w:after="0" w:line="240" w:lineRule="auto"/>
        <w:ind w:firstLine="709"/>
        <w:jc w:val="both"/>
        <w:rPr>
          <w:rFonts w:ascii="Times New Roman" w:hAnsi="Times New Roman"/>
          <w:sz w:val="28"/>
          <w:szCs w:val="28"/>
        </w:rPr>
      </w:pPr>
      <w:r w:rsidRPr="0035213A">
        <w:rPr>
          <w:rFonts w:ascii="Times New Roman" w:hAnsi="Times New Roman"/>
          <w:sz w:val="28"/>
          <w:szCs w:val="28"/>
        </w:rPr>
        <w:t xml:space="preserve">В соответствии с Государственной программой </w:t>
      </w:r>
      <w:r w:rsidR="004D2C9E">
        <w:rPr>
          <w:rFonts w:ascii="Times New Roman" w:hAnsi="Times New Roman"/>
          <w:sz w:val="28"/>
          <w:szCs w:val="28"/>
        </w:rPr>
        <w:t>«</w:t>
      </w:r>
      <w:r w:rsidRPr="0035213A">
        <w:rPr>
          <w:rFonts w:ascii="Times New Roman" w:hAnsi="Times New Roman"/>
          <w:sz w:val="28"/>
          <w:szCs w:val="28"/>
        </w:rPr>
        <w:t>Цифровой Казахстан</w:t>
      </w:r>
      <w:r w:rsidR="004D2C9E">
        <w:rPr>
          <w:rFonts w:ascii="Times New Roman" w:hAnsi="Times New Roman"/>
          <w:sz w:val="28"/>
          <w:szCs w:val="28"/>
        </w:rPr>
        <w:t>»</w:t>
      </w:r>
      <w:r w:rsidR="00CE6CC7">
        <w:rPr>
          <w:rFonts w:ascii="Times New Roman" w:hAnsi="Times New Roman"/>
          <w:sz w:val="28"/>
          <w:szCs w:val="28"/>
        </w:rPr>
        <w:t xml:space="preserve"> (далее – Программа)</w:t>
      </w:r>
      <w:r w:rsidRPr="0035213A">
        <w:rPr>
          <w:rFonts w:ascii="Times New Roman" w:hAnsi="Times New Roman"/>
          <w:sz w:val="28"/>
          <w:szCs w:val="28"/>
        </w:rPr>
        <w:t xml:space="preserve"> предполагается </w:t>
      </w:r>
      <w:r w:rsidR="00CE6CC7">
        <w:rPr>
          <w:rFonts w:ascii="Times New Roman" w:hAnsi="Times New Roman"/>
          <w:sz w:val="28"/>
          <w:szCs w:val="28"/>
        </w:rPr>
        <w:t>выполнение</w:t>
      </w:r>
      <w:r w:rsidRPr="0035213A">
        <w:rPr>
          <w:rFonts w:ascii="Times New Roman" w:hAnsi="Times New Roman"/>
          <w:sz w:val="28"/>
          <w:szCs w:val="28"/>
        </w:rPr>
        <w:t xml:space="preserve"> комплекса взаимосвязанных мер, которые необходимо реализовать для достижения ключев</w:t>
      </w:r>
      <w:r w:rsidR="002250B6">
        <w:rPr>
          <w:rFonts w:ascii="Times New Roman" w:hAnsi="Times New Roman"/>
          <w:sz w:val="28"/>
          <w:szCs w:val="28"/>
        </w:rPr>
        <w:t>ых</w:t>
      </w:r>
      <w:r w:rsidRPr="0035213A">
        <w:rPr>
          <w:rFonts w:ascii="Times New Roman" w:hAnsi="Times New Roman"/>
          <w:sz w:val="28"/>
          <w:szCs w:val="28"/>
        </w:rPr>
        <w:t xml:space="preserve"> цел</w:t>
      </w:r>
      <w:r w:rsidR="002250B6">
        <w:rPr>
          <w:rFonts w:ascii="Times New Roman" w:hAnsi="Times New Roman"/>
          <w:sz w:val="28"/>
          <w:szCs w:val="28"/>
        </w:rPr>
        <w:t>ей</w:t>
      </w:r>
      <w:r w:rsidRPr="0035213A">
        <w:rPr>
          <w:rFonts w:ascii="Times New Roman" w:hAnsi="Times New Roman"/>
          <w:sz w:val="28"/>
          <w:szCs w:val="28"/>
        </w:rPr>
        <w:t xml:space="preserve"> </w:t>
      </w:r>
      <w:r w:rsidR="0037459F">
        <w:rPr>
          <w:rFonts w:ascii="Times New Roman" w:hAnsi="Times New Roman"/>
          <w:sz w:val="28"/>
          <w:szCs w:val="28"/>
        </w:rPr>
        <w:t>–</w:t>
      </w:r>
      <w:r w:rsidRPr="0035213A">
        <w:rPr>
          <w:rFonts w:ascii="Times New Roman" w:hAnsi="Times New Roman"/>
          <w:sz w:val="28"/>
          <w:szCs w:val="28"/>
        </w:rPr>
        <w:t xml:space="preserve"> создания инновационной экономики, вхождения в </w:t>
      </w:r>
      <w:r w:rsidR="00CE6CC7">
        <w:rPr>
          <w:rFonts w:ascii="Times New Roman" w:hAnsi="Times New Roman"/>
          <w:sz w:val="28"/>
          <w:szCs w:val="28"/>
        </w:rPr>
        <w:t xml:space="preserve">число </w:t>
      </w:r>
      <w:r w:rsidRPr="0035213A">
        <w:rPr>
          <w:rFonts w:ascii="Times New Roman" w:hAnsi="Times New Roman"/>
          <w:sz w:val="28"/>
          <w:szCs w:val="28"/>
        </w:rPr>
        <w:t>30 развитых стран к 2050</w:t>
      </w:r>
      <w:r w:rsidR="0037459F">
        <w:rPr>
          <w:rFonts w:ascii="Times New Roman" w:hAnsi="Times New Roman"/>
          <w:sz w:val="28"/>
          <w:szCs w:val="28"/>
        </w:rPr>
        <w:t> </w:t>
      </w:r>
      <w:r w:rsidRPr="0035213A">
        <w:rPr>
          <w:rFonts w:ascii="Times New Roman" w:hAnsi="Times New Roman"/>
          <w:sz w:val="28"/>
          <w:szCs w:val="28"/>
        </w:rPr>
        <w:t>году и преобразования общества и производства таким образом, чтобы не остаться за бортом современного технологического мира. Достижение эт</w:t>
      </w:r>
      <w:r w:rsidR="002250B6">
        <w:rPr>
          <w:rFonts w:ascii="Times New Roman" w:hAnsi="Times New Roman"/>
          <w:sz w:val="28"/>
          <w:szCs w:val="28"/>
        </w:rPr>
        <w:t>их</w:t>
      </w:r>
      <w:r w:rsidRPr="0035213A">
        <w:rPr>
          <w:rFonts w:ascii="Times New Roman" w:hAnsi="Times New Roman"/>
          <w:sz w:val="28"/>
          <w:szCs w:val="28"/>
        </w:rPr>
        <w:t xml:space="preserve"> цел</w:t>
      </w:r>
      <w:r w:rsidR="002250B6">
        <w:rPr>
          <w:rFonts w:ascii="Times New Roman" w:hAnsi="Times New Roman"/>
          <w:sz w:val="28"/>
          <w:szCs w:val="28"/>
        </w:rPr>
        <w:t>ей</w:t>
      </w:r>
      <w:r w:rsidRPr="0035213A">
        <w:rPr>
          <w:rFonts w:ascii="Times New Roman" w:hAnsi="Times New Roman"/>
          <w:sz w:val="28"/>
          <w:szCs w:val="28"/>
        </w:rPr>
        <w:t xml:space="preserve"> требует консолидации и мобилизации всего общества, совершения прорыва в короткий промежуток времени.</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С учетом постоянного появления новых технологий, инновационных мет</w:t>
      </w:r>
      <w:r w:rsidR="00203819">
        <w:rPr>
          <w:rFonts w:ascii="Times New Roman" w:hAnsi="Times New Roman"/>
          <w:sz w:val="28"/>
          <w:szCs w:val="28"/>
        </w:rPr>
        <w:t>одов и инструментов в сфере ИКТ</w:t>
      </w:r>
      <w:r w:rsidRPr="000D0619">
        <w:rPr>
          <w:rFonts w:ascii="Times New Roman" w:hAnsi="Times New Roman"/>
          <w:sz w:val="28"/>
          <w:szCs w:val="28"/>
        </w:rPr>
        <w:t xml:space="preserve"> в случае необходимости в рамках Программы будут реализованы дополнительные инициативы.</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1.</w:t>
      </w:r>
      <w:r w:rsidR="0037459F">
        <w:rPr>
          <w:rFonts w:ascii="Times New Roman" w:hAnsi="Times New Roman"/>
          <w:sz w:val="28"/>
          <w:szCs w:val="28"/>
        </w:rPr>
        <w:t> </w:t>
      </w:r>
      <w:r w:rsidRPr="000D0619">
        <w:rPr>
          <w:rFonts w:ascii="Times New Roman" w:hAnsi="Times New Roman"/>
          <w:sz w:val="28"/>
          <w:szCs w:val="28"/>
        </w:rPr>
        <w:t>Цифровизация отраслей экономики</w:t>
      </w:r>
      <w:r w:rsidR="0037459F">
        <w:rPr>
          <w:rFonts w:ascii="Times New Roman" w:hAnsi="Times New Roman"/>
          <w:sz w:val="28"/>
          <w:szCs w:val="28"/>
        </w:rPr>
        <w:t>.</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Успешная реализация данного направления к 2022 году будет означать наличие следующих достижений:</w:t>
      </w:r>
    </w:p>
    <w:p w:rsidR="0068434D" w:rsidRPr="000D0619" w:rsidRDefault="00CE7C0B" w:rsidP="004D2C9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68434D" w:rsidRPr="000D0619">
        <w:rPr>
          <w:rFonts w:ascii="Times New Roman" w:hAnsi="Times New Roman"/>
          <w:sz w:val="28"/>
          <w:szCs w:val="28"/>
        </w:rPr>
        <w:t xml:space="preserve">овышение уровня производительности труда до уровня топ-30 стран мира в </w:t>
      </w:r>
      <w:r>
        <w:rPr>
          <w:rFonts w:ascii="Times New Roman" w:hAnsi="Times New Roman"/>
          <w:sz w:val="28"/>
          <w:szCs w:val="28"/>
        </w:rPr>
        <w:t>каждой из приоритетных отраслей;</w:t>
      </w:r>
    </w:p>
    <w:p w:rsidR="0068434D" w:rsidRPr="000D0619" w:rsidRDefault="00CE7C0B" w:rsidP="004D2C9E">
      <w:pPr>
        <w:spacing w:after="0" w:line="240" w:lineRule="auto"/>
        <w:ind w:firstLine="709"/>
        <w:jc w:val="both"/>
        <w:rPr>
          <w:rFonts w:ascii="Times New Roman" w:hAnsi="Times New Roman"/>
          <w:sz w:val="28"/>
          <w:szCs w:val="28"/>
        </w:rPr>
      </w:pPr>
      <w:r w:rsidRPr="00544A93">
        <w:rPr>
          <w:rFonts w:ascii="Times New Roman" w:hAnsi="Times New Roman"/>
          <w:spacing w:val="-2"/>
          <w:sz w:val="28"/>
          <w:szCs w:val="28"/>
        </w:rPr>
        <w:t>к</w:t>
      </w:r>
      <w:r w:rsidR="0068434D" w:rsidRPr="00544A93">
        <w:rPr>
          <w:rFonts w:ascii="Times New Roman" w:hAnsi="Times New Roman"/>
          <w:spacing w:val="-2"/>
          <w:sz w:val="28"/>
          <w:szCs w:val="28"/>
        </w:rPr>
        <w:t>онкурентоспособные экспортные произ</w:t>
      </w:r>
      <w:r w:rsidRPr="00544A93">
        <w:rPr>
          <w:rFonts w:ascii="Times New Roman" w:hAnsi="Times New Roman"/>
          <w:spacing w:val="-2"/>
          <w:sz w:val="28"/>
          <w:szCs w:val="28"/>
        </w:rPr>
        <w:t>водства в приоритетных отраслях</w:t>
      </w:r>
      <w:r>
        <w:rPr>
          <w:rFonts w:ascii="Times New Roman" w:hAnsi="Times New Roman"/>
          <w:sz w:val="28"/>
          <w:szCs w:val="28"/>
        </w:rPr>
        <w:t>;</w:t>
      </w:r>
    </w:p>
    <w:p w:rsidR="0068434D" w:rsidRPr="000D0619" w:rsidRDefault="00CE7C0B" w:rsidP="004D2C9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8434D" w:rsidRPr="000D0619">
        <w:rPr>
          <w:rFonts w:ascii="Times New Roman" w:hAnsi="Times New Roman"/>
          <w:sz w:val="28"/>
          <w:szCs w:val="28"/>
        </w:rPr>
        <w:t xml:space="preserve">ыход капитализации крупнейших компаний </w:t>
      </w:r>
      <w:r w:rsidR="00203819" w:rsidRPr="00203819">
        <w:rPr>
          <w:rFonts w:ascii="Times New Roman" w:hAnsi="Times New Roman"/>
          <w:sz w:val="28"/>
          <w:szCs w:val="28"/>
        </w:rPr>
        <w:t>Республик</w:t>
      </w:r>
      <w:r w:rsidR="00203819">
        <w:rPr>
          <w:rFonts w:ascii="Times New Roman" w:hAnsi="Times New Roman"/>
          <w:sz w:val="28"/>
          <w:szCs w:val="28"/>
        </w:rPr>
        <w:t>и</w:t>
      </w:r>
      <w:r w:rsidR="00203819" w:rsidRPr="00203819">
        <w:rPr>
          <w:rFonts w:ascii="Times New Roman" w:hAnsi="Times New Roman"/>
          <w:sz w:val="28"/>
          <w:szCs w:val="28"/>
        </w:rPr>
        <w:t xml:space="preserve"> Казахстан</w:t>
      </w:r>
      <w:r>
        <w:rPr>
          <w:rFonts w:ascii="Times New Roman" w:hAnsi="Times New Roman"/>
          <w:sz w:val="28"/>
          <w:szCs w:val="28"/>
        </w:rPr>
        <w:t xml:space="preserve"> на принципиально новый уровень;</w:t>
      </w:r>
    </w:p>
    <w:p w:rsidR="0068434D" w:rsidRPr="000D0619" w:rsidRDefault="00CE7C0B" w:rsidP="004D2C9E">
      <w:pPr>
        <w:spacing w:after="0" w:line="240" w:lineRule="auto"/>
        <w:ind w:firstLine="709"/>
        <w:jc w:val="both"/>
        <w:rPr>
          <w:rFonts w:ascii="Times New Roman" w:hAnsi="Times New Roman"/>
          <w:sz w:val="28"/>
          <w:szCs w:val="28"/>
        </w:rPr>
      </w:pPr>
      <w:r>
        <w:rPr>
          <w:rFonts w:ascii="Times New Roman" w:hAnsi="Times New Roman"/>
          <w:sz w:val="28"/>
          <w:szCs w:val="28"/>
        </w:rPr>
        <w:t>р</w:t>
      </w:r>
      <w:r w:rsidR="0068434D" w:rsidRPr="000D0619">
        <w:rPr>
          <w:rFonts w:ascii="Times New Roman" w:hAnsi="Times New Roman"/>
          <w:sz w:val="28"/>
          <w:szCs w:val="28"/>
        </w:rPr>
        <w:t>азвитая местная электронная</w:t>
      </w:r>
      <w:r>
        <w:rPr>
          <w:rFonts w:ascii="Times New Roman" w:hAnsi="Times New Roman"/>
          <w:sz w:val="28"/>
          <w:szCs w:val="28"/>
        </w:rPr>
        <w:t xml:space="preserve"> торговля;</w:t>
      </w:r>
    </w:p>
    <w:p w:rsidR="0068434D" w:rsidRPr="000D0619" w:rsidRDefault="00CE7C0B" w:rsidP="004D2C9E">
      <w:pPr>
        <w:spacing w:after="0" w:line="240" w:lineRule="auto"/>
        <w:ind w:firstLine="709"/>
        <w:jc w:val="both"/>
        <w:rPr>
          <w:rFonts w:ascii="Times New Roman" w:hAnsi="Times New Roman"/>
          <w:sz w:val="28"/>
          <w:szCs w:val="28"/>
        </w:rPr>
      </w:pPr>
      <w:r>
        <w:rPr>
          <w:rFonts w:ascii="Times New Roman" w:hAnsi="Times New Roman"/>
          <w:sz w:val="28"/>
          <w:szCs w:val="28"/>
        </w:rPr>
        <w:t>с</w:t>
      </w:r>
      <w:r w:rsidR="0068434D" w:rsidRPr="000D0619">
        <w:rPr>
          <w:rFonts w:ascii="Times New Roman" w:hAnsi="Times New Roman"/>
          <w:sz w:val="28"/>
          <w:szCs w:val="28"/>
        </w:rPr>
        <w:t>нижение доли теневой экономики до уровня, сопоставимого с топ-30 стран мира.</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Повсеместное внедрение цифровых технологий придаст импульс развитию традиционных базовых отраслей путем обеспечения роста производительности, повышения их конкурентоспособности, в том числе на международном рынке.</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 xml:space="preserve">Таким образом, в результате цифровизации будет обеспечен рост отечественного экспорта на внешние рынки как в сырьевых отраслях, так и </w:t>
      </w:r>
      <w:r w:rsidR="00203819">
        <w:rPr>
          <w:rFonts w:ascii="Times New Roman" w:hAnsi="Times New Roman"/>
          <w:sz w:val="28"/>
          <w:szCs w:val="28"/>
        </w:rPr>
        <w:t>агропромышленном комплексе, что в свою очередь</w:t>
      </w:r>
      <w:r w:rsidRPr="000D0619">
        <w:rPr>
          <w:rFonts w:ascii="Times New Roman" w:hAnsi="Times New Roman"/>
          <w:sz w:val="28"/>
          <w:szCs w:val="28"/>
        </w:rPr>
        <w:t xml:space="preserve"> приведет к росту капитализации крупнейших производственных компаний. Также для роста производительности Программа предусматривает реализацию комплекса мер по технологическому перевооружению базовых отраслей промышленности, где будут применяться элементы Индустрии 4.0.</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 xml:space="preserve">В рамках мероприятия </w:t>
      </w:r>
      <w:r w:rsidR="004D2C9E">
        <w:rPr>
          <w:rFonts w:ascii="Times New Roman" w:hAnsi="Times New Roman"/>
          <w:sz w:val="28"/>
          <w:szCs w:val="28"/>
        </w:rPr>
        <w:t>«</w:t>
      </w:r>
      <w:r w:rsidRPr="000D0619">
        <w:rPr>
          <w:rFonts w:ascii="Times New Roman" w:hAnsi="Times New Roman"/>
          <w:sz w:val="28"/>
          <w:szCs w:val="28"/>
        </w:rPr>
        <w:t>Реализация проектов цифровизации крупными компаниями горно-металлургического комплекса</w:t>
      </w:r>
      <w:r w:rsidR="004D2C9E">
        <w:rPr>
          <w:rFonts w:ascii="Times New Roman" w:hAnsi="Times New Roman"/>
          <w:sz w:val="28"/>
          <w:szCs w:val="28"/>
        </w:rPr>
        <w:t>»</w:t>
      </w:r>
      <w:r w:rsidRPr="000D0619">
        <w:rPr>
          <w:rFonts w:ascii="Times New Roman" w:hAnsi="Times New Roman"/>
          <w:sz w:val="28"/>
          <w:szCs w:val="28"/>
        </w:rPr>
        <w:t xml:space="preserve"> будет реализована сеть связанных через </w:t>
      </w:r>
      <w:r w:rsidR="00D7737C">
        <w:rPr>
          <w:rFonts w:ascii="Times New Roman" w:hAnsi="Times New Roman"/>
          <w:sz w:val="28"/>
          <w:szCs w:val="28"/>
        </w:rPr>
        <w:t>И</w:t>
      </w:r>
      <w:r w:rsidRPr="000D0619">
        <w:rPr>
          <w:rFonts w:ascii="Times New Roman" w:hAnsi="Times New Roman"/>
          <w:sz w:val="28"/>
          <w:szCs w:val="28"/>
        </w:rPr>
        <w:t>нтернет объектов, в том числе датчиков, способных собирать и обмениваться данными, поступающими со встроенных систем.</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Специфические требования к оборудованию в рамках реализации проектов Индустрии 4.0 в Программе будут синхронизированы с требованиями в Государственной программе индустриально-инновационного развития.</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В долгосрочной перспективе успешное внедрение мер приведет к постепенном</w:t>
      </w:r>
      <w:r w:rsidR="00203819">
        <w:rPr>
          <w:rFonts w:ascii="Times New Roman" w:hAnsi="Times New Roman"/>
          <w:sz w:val="28"/>
          <w:szCs w:val="28"/>
        </w:rPr>
        <w:t>у изменению структуры экономики</w:t>
      </w:r>
      <w:r w:rsidRPr="000D0619">
        <w:rPr>
          <w:rFonts w:ascii="Times New Roman" w:hAnsi="Times New Roman"/>
          <w:sz w:val="28"/>
          <w:szCs w:val="28"/>
        </w:rPr>
        <w:t xml:space="preserve"> с усилением роли электронной торговли, ИКТ и финансового секторов, а также отраслей </w:t>
      </w:r>
      <w:r w:rsidR="004D2C9E">
        <w:rPr>
          <w:rFonts w:ascii="Times New Roman" w:hAnsi="Times New Roman"/>
          <w:sz w:val="28"/>
          <w:szCs w:val="28"/>
        </w:rPr>
        <w:t>«</w:t>
      </w:r>
      <w:r w:rsidRPr="000D0619">
        <w:rPr>
          <w:rFonts w:ascii="Times New Roman" w:hAnsi="Times New Roman"/>
          <w:sz w:val="28"/>
          <w:szCs w:val="28"/>
        </w:rPr>
        <w:t>новой экономики</w:t>
      </w:r>
      <w:r w:rsidR="004D2C9E">
        <w:rPr>
          <w:rFonts w:ascii="Times New Roman" w:hAnsi="Times New Roman"/>
          <w:sz w:val="28"/>
          <w:szCs w:val="28"/>
        </w:rPr>
        <w:t>»</w:t>
      </w:r>
      <w:r w:rsidRPr="000D0619">
        <w:rPr>
          <w:rFonts w:ascii="Times New Roman" w:hAnsi="Times New Roman"/>
          <w:sz w:val="28"/>
          <w:szCs w:val="28"/>
        </w:rPr>
        <w:t>.</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2.</w:t>
      </w:r>
      <w:r w:rsidR="0037459F">
        <w:rPr>
          <w:rFonts w:ascii="Times New Roman" w:hAnsi="Times New Roman"/>
          <w:sz w:val="28"/>
          <w:szCs w:val="28"/>
        </w:rPr>
        <w:t> </w:t>
      </w:r>
      <w:r w:rsidRPr="000D0619">
        <w:rPr>
          <w:rFonts w:ascii="Times New Roman" w:hAnsi="Times New Roman"/>
          <w:sz w:val="28"/>
          <w:szCs w:val="28"/>
        </w:rPr>
        <w:t xml:space="preserve">Переход на </w:t>
      </w:r>
      <w:r w:rsidR="00CE6CC7">
        <w:rPr>
          <w:rFonts w:ascii="Times New Roman" w:hAnsi="Times New Roman"/>
          <w:sz w:val="28"/>
          <w:szCs w:val="28"/>
        </w:rPr>
        <w:t>«</w:t>
      </w:r>
      <w:r w:rsidRPr="000D0619">
        <w:rPr>
          <w:rFonts w:ascii="Times New Roman" w:hAnsi="Times New Roman"/>
          <w:sz w:val="28"/>
          <w:szCs w:val="28"/>
        </w:rPr>
        <w:t>цифровое государство</w:t>
      </w:r>
      <w:r w:rsidR="00CE6CC7">
        <w:rPr>
          <w:rFonts w:ascii="Times New Roman" w:hAnsi="Times New Roman"/>
          <w:sz w:val="28"/>
          <w:szCs w:val="28"/>
        </w:rPr>
        <w:t>»</w:t>
      </w:r>
      <w:r w:rsidR="0037459F">
        <w:rPr>
          <w:rFonts w:ascii="Times New Roman" w:hAnsi="Times New Roman"/>
          <w:sz w:val="28"/>
          <w:szCs w:val="28"/>
        </w:rPr>
        <w:t>.</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Цифровая трансформация приводит к возникновению новых бизнес-моделей, включая так называемое проактивное обслуживание на основе данных. Чем больше провайдеры услуг знают о своих клиентах, тем более персонализированные предложения они могут создавать, предоставляя услуги, которые будут максимально соответствовать потребностям клиентов и даже предвосхищать потребности, о которых сами клиенты могут еще не знать. Это позволит предоставлять услуги гражданам и предпринимателям, предугадывая потребность в той или иной услуге</w:t>
      </w:r>
      <w:r w:rsidR="00CE6CC7">
        <w:rPr>
          <w:rFonts w:ascii="Times New Roman" w:hAnsi="Times New Roman"/>
          <w:sz w:val="28"/>
          <w:szCs w:val="28"/>
        </w:rPr>
        <w:t>,</w:t>
      </w:r>
      <w:r w:rsidRPr="000D0619">
        <w:rPr>
          <w:rFonts w:ascii="Times New Roman" w:hAnsi="Times New Roman"/>
          <w:sz w:val="28"/>
          <w:szCs w:val="28"/>
        </w:rPr>
        <w:t xml:space="preserve"> исходя из анализа транзакций.</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 xml:space="preserve">Ключевым направлением для трансформации подходов оказания услуг и взаимодействия государства с гражданами и бизнесом станет переход к принципам открытой архитектуры, при котором будет выстраиваться качественно новый уровень кооперации с коммерческим сектором. Это позволит эффективно использовать ресурсы, концентрируясь на цифровой инфраструктуре, отдавая </w:t>
      </w:r>
      <w:r w:rsidR="004D2C9E">
        <w:rPr>
          <w:rFonts w:ascii="Times New Roman" w:hAnsi="Times New Roman"/>
          <w:sz w:val="28"/>
          <w:szCs w:val="28"/>
        </w:rPr>
        <w:t>«</w:t>
      </w:r>
      <w:r w:rsidRPr="000D0619">
        <w:rPr>
          <w:rFonts w:ascii="Times New Roman" w:hAnsi="Times New Roman"/>
          <w:sz w:val="28"/>
          <w:szCs w:val="28"/>
        </w:rPr>
        <w:t>последнюю милю</w:t>
      </w:r>
      <w:r w:rsidR="004D2C9E">
        <w:rPr>
          <w:rFonts w:ascii="Times New Roman" w:hAnsi="Times New Roman"/>
          <w:sz w:val="28"/>
          <w:szCs w:val="28"/>
        </w:rPr>
        <w:t>»</w:t>
      </w:r>
      <w:r w:rsidRPr="000D0619">
        <w:rPr>
          <w:rFonts w:ascii="Times New Roman" w:hAnsi="Times New Roman"/>
          <w:sz w:val="28"/>
          <w:szCs w:val="28"/>
        </w:rPr>
        <w:t xml:space="preserve"> по оказанию госуслуг неправительственному и бизнес-сообществу. При этом негосударственные информационные ресурсы будут являться фронт-эндом, интегрируя государственные услуги в собственные экосистемы, на которых граждане и предприниматели смогут инициировать и получать госуслуги.</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3.</w:t>
      </w:r>
      <w:r w:rsidR="0037459F">
        <w:rPr>
          <w:rFonts w:ascii="Times New Roman" w:hAnsi="Times New Roman"/>
          <w:sz w:val="28"/>
          <w:szCs w:val="28"/>
        </w:rPr>
        <w:t> </w:t>
      </w:r>
      <w:r w:rsidRPr="000D0619">
        <w:rPr>
          <w:rFonts w:ascii="Times New Roman" w:hAnsi="Times New Roman"/>
          <w:sz w:val="28"/>
          <w:szCs w:val="28"/>
        </w:rPr>
        <w:t xml:space="preserve">Реализация </w:t>
      </w:r>
      <w:r w:rsidR="00CE6CC7">
        <w:rPr>
          <w:rFonts w:ascii="Times New Roman" w:hAnsi="Times New Roman"/>
          <w:sz w:val="28"/>
          <w:szCs w:val="28"/>
        </w:rPr>
        <w:t>«</w:t>
      </w:r>
      <w:r w:rsidR="00D7737C">
        <w:rPr>
          <w:rFonts w:ascii="Times New Roman" w:hAnsi="Times New Roman"/>
          <w:sz w:val="28"/>
          <w:szCs w:val="28"/>
        </w:rPr>
        <w:t>ц</w:t>
      </w:r>
      <w:r w:rsidRPr="000D0619">
        <w:rPr>
          <w:rFonts w:ascii="Times New Roman" w:hAnsi="Times New Roman"/>
          <w:sz w:val="28"/>
          <w:szCs w:val="28"/>
        </w:rPr>
        <w:t>ифрового Шелкового пути</w:t>
      </w:r>
      <w:r w:rsidR="00CE6CC7">
        <w:rPr>
          <w:rFonts w:ascii="Times New Roman" w:hAnsi="Times New Roman"/>
          <w:sz w:val="28"/>
          <w:szCs w:val="28"/>
        </w:rPr>
        <w:t>»</w:t>
      </w:r>
      <w:r w:rsidR="0037459F">
        <w:rPr>
          <w:rFonts w:ascii="Times New Roman" w:hAnsi="Times New Roman"/>
          <w:sz w:val="28"/>
          <w:szCs w:val="28"/>
        </w:rPr>
        <w:t>.</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Реализацию направления можно будет считать успешным, если к 2022</w:t>
      </w:r>
      <w:r w:rsidR="0037459F">
        <w:rPr>
          <w:rFonts w:ascii="Times New Roman" w:hAnsi="Times New Roman"/>
          <w:sz w:val="28"/>
          <w:szCs w:val="28"/>
        </w:rPr>
        <w:t> </w:t>
      </w:r>
      <w:r w:rsidRPr="000D0619">
        <w:rPr>
          <w:rFonts w:ascii="Times New Roman" w:hAnsi="Times New Roman"/>
          <w:sz w:val="28"/>
          <w:szCs w:val="28"/>
        </w:rPr>
        <w:t>году будут достигнуты следующие вехи развития:</w:t>
      </w:r>
    </w:p>
    <w:p w:rsidR="0068434D" w:rsidRPr="000D0619" w:rsidRDefault="00DC7EB9" w:rsidP="004D2C9E">
      <w:pPr>
        <w:spacing w:after="0" w:line="240" w:lineRule="auto"/>
        <w:ind w:firstLine="709"/>
        <w:jc w:val="both"/>
        <w:rPr>
          <w:rFonts w:ascii="Times New Roman" w:hAnsi="Times New Roman"/>
          <w:sz w:val="28"/>
          <w:szCs w:val="28"/>
        </w:rPr>
      </w:pPr>
      <w:r>
        <w:rPr>
          <w:rFonts w:ascii="Times New Roman" w:hAnsi="Times New Roman"/>
          <w:sz w:val="28"/>
          <w:szCs w:val="28"/>
        </w:rPr>
        <w:t>к</w:t>
      </w:r>
      <w:r w:rsidR="004A2912">
        <w:rPr>
          <w:rFonts w:ascii="Times New Roman" w:hAnsi="Times New Roman"/>
          <w:sz w:val="28"/>
          <w:szCs w:val="28"/>
        </w:rPr>
        <w:t>ачественное</w:t>
      </w:r>
      <w:r w:rsidR="0068434D" w:rsidRPr="000D0619">
        <w:rPr>
          <w:rFonts w:ascii="Times New Roman" w:hAnsi="Times New Roman"/>
          <w:sz w:val="28"/>
          <w:szCs w:val="28"/>
        </w:rPr>
        <w:t xml:space="preserve"> непрерывное покрытие 4G-мобиль</w:t>
      </w:r>
      <w:r>
        <w:rPr>
          <w:rFonts w:ascii="Times New Roman" w:hAnsi="Times New Roman"/>
          <w:sz w:val="28"/>
          <w:szCs w:val="28"/>
        </w:rPr>
        <w:t xml:space="preserve">ной связью </w:t>
      </w:r>
      <w:r w:rsidR="004A2912">
        <w:rPr>
          <w:rFonts w:ascii="Times New Roman" w:hAnsi="Times New Roman"/>
          <w:sz w:val="28"/>
          <w:szCs w:val="28"/>
        </w:rPr>
        <w:t>территории</w:t>
      </w:r>
      <w:r>
        <w:rPr>
          <w:rFonts w:ascii="Times New Roman" w:hAnsi="Times New Roman"/>
          <w:sz w:val="28"/>
          <w:szCs w:val="28"/>
        </w:rPr>
        <w:t xml:space="preserve"> Казахстана;</w:t>
      </w:r>
    </w:p>
    <w:p w:rsidR="0068434D" w:rsidRPr="000D0619" w:rsidRDefault="00DC7EB9" w:rsidP="004D2C9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68434D" w:rsidRPr="000D0619">
        <w:rPr>
          <w:rFonts w:ascii="Times New Roman" w:hAnsi="Times New Roman"/>
          <w:sz w:val="28"/>
          <w:szCs w:val="28"/>
        </w:rPr>
        <w:t>овсеместный и высокоскоростной доступ частных лиц и компаний к г</w:t>
      </w:r>
      <w:r>
        <w:rPr>
          <w:rFonts w:ascii="Times New Roman" w:hAnsi="Times New Roman"/>
          <w:sz w:val="28"/>
          <w:szCs w:val="28"/>
        </w:rPr>
        <w:t>лобальным сетям передачи данных;</w:t>
      </w:r>
    </w:p>
    <w:p w:rsidR="0068434D" w:rsidRPr="000D0619" w:rsidRDefault="00DC7EB9" w:rsidP="004D2C9E">
      <w:pPr>
        <w:spacing w:after="0" w:line="240" w:lineRule="auto"/>
        <w:ind w:firstLine="709"/>
        <w:jc w:val="both"/>
        <w:rPr>
          <w:rFonts w:ascii="Times New Roman" w:hAnsi="Times New Roman"/>
          <w:sz w:val="28"/>
          <w:szCs w:val="28"/>
        </w:rPr>
      </w:pPr>
      <w:r>
        <w:rPr>
          <w:rFonts w:ascii="Times New Roman" w:hAnsi="Times New Roman"/>
          <w:sz w:val="28"/>
          <w:szCs w:val="28"/>
        </w:rPr>
        <w:t>р</w:t>
      </w:r>
      <w:r w:rsidR="0068434D" w:rsidRPr="000D0619">
        <w:rPr>
          <w:rFonts w:ascii="Times New Roman" w:hAnsi="Times New Roman"/>
          <w:sz w:val="28"/>
          <w:szCs w:val="28"/>
        </w:rPr>
        <w:t>аботающая и развивающаяся система кибербезопасности на уровне страны в целом и каждого пользователя в частности, обеспеченная компетентными кадрами и современным оборудованием.</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 xml:space="preserve">Реализация </w:t>
      </w:r>
      <w:r w:rsidR="004A2912">
        <w:rPr>
          <w:rFonts w:ascii="Times New Roman" w:hAnsi="Times New Roman"/>
          <w:sz w:val="28"/>
          <w:szCs w:val="28"/>
        </w:rPr>
        <w:t>«</w:t>
      </w:r>
      <w:r w:rsidR="00D7737C">
        <w:rPr>
          <w:rFonts w:ascii="Times New Roman" w:hAnsi="Times New Roman"/>
          <w:sz w:val="28"/>
          <w:szCs w:val="28"/>
        </w:rPr>
        <w:t>ц</w:t>
      </w:r>
      <w:r w:rsidRPr="000D0619">
        <w:rPr>
          <w:rFonts w:ascii="Times New Roman" w:hAnsi="Times New Roman"/>
          <w:sz w:val="28"/>
          <w:szCs w:val="28"/>
        </w:rPr>
        <w:t xml:space="preserve">ифрового </w:t>
      </w:r>
      <w:r w:rsidR="00DC7EB9">
        <w:rPr>
          <w:rFonts w:ascii="Times New Roman" w:hAnsi="Times New Roman"/>
          <w:sz w:val="28"/>
          <w:szCs w:val="28"/>
        </w:rPr>
        <w:t>Ш</w:t>
      </w:r>
      <w:r w:rsidRPr="000D0619">
        <w:rPr>
          <w:rFonts w:ascii="Times New Roman" w:hAnsi="Times New Roman"/>
          <w:sz w:val="28"/>
          <w:szCs w:val="28"/>
        </w:rPr>
        <w:t>елкового пути</w:t>
      </w:r>
      <w:r w:rsidR="004A2912">
        <w:rPr>
          <w:rFonts w:ascii="Times New Roman" w:hAnsi="Times New Roman"/>
          <w:sz w:val="28"/>
          <w:szCs w:val="28"/>
        </w:rPr>
        <w:t>»</w:t>
      </w:r>
      <w:r w:rsidRPr="000D0619">
        <w:rPr>
          <w:rFonts w:ascii="Times New Roman" w:hAnsi="Times New Roman"/>
          <w:sz w:val="28"/>
          <w:szCs w:val="28"/>
        </w:rPr>
        <w:t xml:space="preserve"> в ближайшей перспективе предполагает две инициативы, включающие ряд мероприятий</w:t>
      </w:r>
      <w:r w:rsidR="004A2912">
        <w:rPr>
          <w:rFonts w:ascii="Times New Roman" w:hAnsi="Times New Roman"/>
          <w:sz w:val="28"/>
          <w:szCs w:val="28"/>
        </w:rPr>
        <w:t>,</w:t>
      </w:r>
      <w:r w:rsidRPr="000D0619">
        <w:rPr>
          <w:rFonts w:ascii="Times New Roman" w:hAnsi="Times New Roman"/>
          <w:sz w:val="28"/>
          <w:szCs w:val="28"/>
        </w:rPr>
        <w:t xml:space="preserve"> </w:t>
      </w:r>
      <w:r w:rsidR="00727EF0">
        <w:rPr>
          <w:rFonts w:ascii="Times New Roman" w:hAnsi="Times New Roman"/>
          <w:sz w:val="28"/>
          <w:szCs w:val="28"/>
        </w:rPr>
        <w:t>–</w:t>
      </w:r>
      <w:r w:rsidRPr="000D0619">
        <w:rPr>
          <w:rFonts w:ascii="Times New Roman" w:hAnsi="Times New Roman"/>
          <w:sz w:val="28"/>
          <w:szCs w:val="28"/>
        </w:rPr>
        <w:t xml:space="preserve"> это расширение покрытия сетей связи и усиление кибербезопасности.</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4</w:t>
      </w:r>
      <w:r w:rsidR="0037459F">
        <w:rPr>
          <w:rFonts w:ascii="Times New Roman" w:hAnsi="Times New Roman"/>
          <w:sz w:val="28"/>
          <w:szCs w:val="28"/>
        </w:rPr>
        <w:t>. </w:t>
      </w:r>
      <w:r w:rsidRPr="000D0619">
        <w:rPr>
          <w:rFonts w:ascii="Times New Roman" w:hAnsi="Times New Roman"/>
          <w:sz w:val="28"/>
          <w:szCs w:val="28"/>
        </w:rPr>
        <w:t>Развитие человеческого капитала</w:t>
      </w:r>
      <w:r w:rsidR="0037459F">
        <w:rPr>
          <w:rFonts w:ascii="Times New Roman" w:hAnsi="Times New Roman"/>
          <w:sz w:val="28"/>
          <w:szCs w:val="28"/>
        </w:rPr>
        <w:t>.</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Для достижения заданных целей Программы в области квалификации кадров будет полностью обновлена система образования в соответствии с лучшими мировыми практиками. Новое образование будет отвечать потребностя</w:t>
      </w:r>
      <w:r w:rsidR="004A2912">
        <w:rPr>
          <w:rFonts w:ascii="Times New Roman" w:hAnsi="Times New Roman"/>
          <w:sz w:val="28"/>
          <w:szCs w:val="28"/>
        </w:rPr>
        <w:t xml:space="preserve">м цифровой экономики с акцентом прежде всего </w:t>
      </w:r>
      <w:r w:rsidRPr="000D0619">
        <w:rPr>
          <w:rFonts w:ascii="Times New Roman" w:hAnsi="Times New Roman"/>
          <w:sz w:val="28"/>
          <w:szCs w:val="28"/>
        </w:rPr>
        <w:t>на навыки в анализе информации и развитие креативности мышления, нежели на заучивании фактов и формул.</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5.</w:t>
      </w:r>
      <w:r w:rsidR="0037459F">
        <w:rPr>
          <w:rFonts w:ascii="Times New Roman" w:hAnsi="Times New Roman"/>
          <w:sz w:val="28"/>
          <w:szCs w:val="28"/>
        </w:rPr>
        <w:t> </w:t>
      </w:r>
      <w:r w:rsidRPr="000D0619">
        <w:rPr>
          <w:rFonts w:ascii="Times New Roman" w:hAnsi="Times New Roman"/>
          <w:sz w:val="28"/>
          <w:szCs w:val="28"/>
        </w:rPr>
        <w:t>Создание инновационной экосистемы</w:t>
      </w:r>
      <w:r w:rsidR="0037459F">
        <w:rPr>
          <w:rFonts w:ascii="Times New Roman" w:hAnsi="Times New Roman"/>
          <w:sz w:val="28"/>
          <w:szCs w:val="28"/>
        </w:rPr>
        <w:t>.</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Успешная реализация данного направления к 2022 году будет означать:</w:t>
      </w:r>
    </w:p>
    <w:p w:rsidR="0068434D" w:rsidRPr="000D0619" w:rsidRDefault="00DC7EB9" w:rsidP="004D2C9E">
      <w:pPr>
        <w:spacing w:after="0" w:line="240" w:lineRule="auto"/>
        <w:ind w:firstLine="709"/>
        <w:jc w:val="both"/>
        <w:rPr>
          <w:rFonts w:ascii="Times New Roman" w:hAnsi="Times New Roman"/>
          <w:sz w:val="28"/>
          <w:szCs w:val="28"/>
        </w:rPr>
      </w:pPr>
      <w:r>
        <w:rPr>
          <w:rFonts w:ascii="Times New Roman" w:hAnsi="Times New Roman"/>
          <w:sz w:val="28"/>
          <w:szCs w:val="28"/>
        </w:rPr>
        <w:t>у</w:t>
      </w:r>
      <w:r w:rsidR="0068434D" w:rsidRPr="000D0619">
        <w:rPr>
          <w:rFonts w:ascii="Times New Roman" w:hAnsi="Times New Roman"/>
          <w:sz w:val="28"/>
          <w:szCs w:val="28"/>
        </w:rPr>
        <w:t>величение на порядок количества технологических стартап-проектов, инициированных в Казахстане</w:t>
      </w:r>
      <w:r>
        <w:rPr>
          <w:rFonts w:ascii="Times New Roman" w:hAnsi="Times New Roman"/>
          <w:sz w:val="28"/>
          <w:szCs w:val="28"/>
        </w:rPr>
        <w:t>, и их совокупной капитализации;</w:t>
      </w:r>
    </w:p>
    <w:p w:rsidR="0068434D" w:rsidRPr="000D0619" w:rsidRDefault="00DC7EB9" w:rsidP="004D2C9E">
      <w:pPr>
        <w:spacing w:after="0" w:line="240" w:lineRule="auto"/>
        <w:ind w:firstLine="709"/>
        <w:jc w:val="both"/>
        <w:rPr>
          <w:rFonts w:ascii="Times New Roman" w:hAnsi="Times New Roman"/>
          <w:sz w:val="28"/>
          <w:szCs w:val="28"/>
        </w:rPr>
      </w:pPr>
      <w:r>
        <w:rPr>
          <w:rFonts w:ascii="Times New Roman" w:hAnsi="Times New Roman"/>
          <w:sz w:val="28"/>
          <w:szCs w:val="28"/>
        </w:rPr>
        <w:t>н</w:t>
      </w:r>
      <w:r w:rsidR="0068434D" w:rsidRPr="000D0619">
        <w:rPr>
          <w:rFonts w:ascii="Times New Roman" w:hAnsi="Times New Roman"/>
          <w:sz w:val="28"/>
          <w:szCs w:val="28"/>
        </w:rPr>
        <w:t xml:space="preserve">аличие в Казахстане частной профессиональной отрасли венчурного капитала, обеспечивающей </w:t>
      </w:r>
      <w:r>
        <w:rPr>
          <w:rFonts w:ascii="Times New Roman" w:hAnsi="Times New Roman"/>
          <w:sz w:val="28"/>
          <w:szCs w:val="28"/>
        </w:rPr>
        <w:t>нужды быстрорастущей экосистемы;</w:t>
      </w:r>
    </w:p>
    <w:p w:rsidR="0068434D" w:rsidRPr="000D0619" w:rsidRDefault="004D2C9E" w:rsidP="004D2C9E">
      <w:pPr>
        <w:spacing w:after="0" w:line="240" w:lineRule="auto"/>
        <w:ind w:firstLine="709"/>
        <w:jc w:val="both"/>
        <w:rPr>
          <w:rFonts w:ascii="Times New Roman" w:hAnsi="Times New Roman"/>
          <w:sz w:val="28"/>
          <w:szCs w:val="28"/>
        </w:rPr>
      </w:pPr>
      <w:r>
        <w:rPr>
          <w:rFonts w:ascii="Times New Roman" w:hAnsi="Times New Roman"/>
          <w:sz w:val="28"/>
          <w:szCs w:val="28"/>
        </w:rPr>
        <w:t>«</w:t>
      </w:r>
      <w:r w:rsidR="00D7737C">
        <w:rPr>
          <w:rFonts w:ascii="Times New Roman" w:hAnsi="Times New Roman"/>
          <w:sz w:val="28"/>
          <w:szCs w:val="28"/>
        </w:rPr>
        <w:t>и</w:t>
      </w:r>
      <w:r w:rsidR="0068434D" w:rsidRPr="000D0619">
        <w:rPr>
          <w:rFonts w:ascii="Times New Roman" w:hAnsi="Times New Roman"/>
          <w:sz w:val="28"/>
          <w:szCs w:val="28"/>
        </w:rPr>
        <w:t>стори</w:t>
      </w:r>
      <w:r w:rsidR="002250B6">
        <w:rPr>
          <w:rFonts w:ascii="Times New Roman" w:hAnsi="Times New Roman"/>
          <w:sz w:val="28"/>
          <w:szCs w:val="28"/>
        </w:rPr>
        <w:t>ю</w:t>
      </w:r>
      <w:r w:rsidR="0068434D" w:rsidRPr="000D0619">
        <w:rPr>
          <w:rFonts w:ascii="Times New Roman" w:hAnsi="Times New Roman"/>
          <w:sz w:val="28"/>
          <w:szCs w:val="28"/>
        </w:rPr>
        <w:t xml:space="preserve"> успеха</w:t>
      </w:r>
      <w:r>
        <w:rPr>
          <w:rFonts w:ascii="Times New Roman" w:hAnsi="Times New Roman"/>
          <w:sz w:val="28"/>
          <w:szCs w:val="28"/>
        </w:rPr>
        <w:t>»</w:t>
      </w:r>
      <w:r w:rsidR="0068434D" w:rsidRPr="000D0619">
        <w:rPr>
          <w:rFonts w:ascii="Times New Roman" w:hAnsi="Times New Roman"/>
          <w:sz w:val="28"/>
          <w:szCs w:val="28"/>
        </w:rPr>
        <w:t xml:space="preserve"> казахстанских стартапов на международной арене, в том числе </w:t>
      </w:r>
      <w:r>
        <w:rPr>
          <w:rFonts w:ascii="Times New Roman" w:hAnsi="Times New Roman"/>
          <w:sz w:val="28"/>
          <w:szCs w:val="28"/>
        </w:rPr>
        <w:t>«</w:t>
      </w:r>
      <w:r w:rsidR="0068434D" w:rsidRPr="000D0619">
        <w:rPr>
          <w:rFonts w:ascii="Times New Roman" w:hAnsi="Times New Roman"/>
          <w:sz w:val="28"/>
          <w:szCs w:val="28"/>
        </w:rPr>
        <w:t>экзиты</w:t>
      </w:r>
      <w:r>
        <w:rPr>
          <w:rFonts w:ascii="Times New Roman" w:hAnsi="Times New Roman"/>
          <w:sz w:val="28"/>
          <w:szCs w:val="28"/>
        </w:rPr>
        <w:t>»</w:t>
      </w:r>
      <w:r w:rsidR="0068434D" w:rsidRPr="000D0619">
        <w:rPr>
          <w:rFonts w:ascii="Times New Roman" w:hAnsi="Times New Roman"/>
          <w:sz w:val="28"/>
          <w:szCs w:val="28"/>
        </w:rPr>
        <w:t>.</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В более долгосрочной перспективе целями являются создание всех условий для появления в Казахстане компаний с высокой капитализацией, а также формирование культуры технологического предпринимательства. Для этого будут созданы как необходимые институциональные условия, так и меры стимулирования инновационной деятельности, венчурного финансирования, создания и развития технологического предпринимательства.</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Инновационная экосистема будет создана как на основе существующих технопарков, венчурных фондов, научно-исследовательских институтов, так и на базе создаваемого технопарка Astana Hub. Эта среда призвана создать условия для притяжения идей, технологий, цифровых решений, а также активного привлечения</w:t>
      </w:r>
      <w:r w:rsidR="009F69BE" w:rsidRPr="009F69BE">
        <w:t xml:space="preserve"> </w:t>
      </w:r>
      <w:r w:rsidR="009F69BE" w:rsidRPr="009F69BE">
        <w:rPr>
          <w:rFonts w:ascii="Times New Roman" w:hAnsi="Times New Roman"/>
          <w:sz w:val="28"/>
          <w:szCs w:val="28"/>
        </w:rPr>
        <w:t>талантливых специалистов со всего мира</w:t>
      </w:r>
      <w:r w:rsidR="009F69BE">
        <w:rPr>
          <w:rFonts w:ascii="Times New Roman" w:hAnsi="Times New Roman"/>
          <w:sz w:val="28"/>
          <w:szCs w:val="28"/>
        </w:rPr>
        <w:t xml:space="preserve"> и</w:t>
      </w:r>
      <w:r w:rsidRPr="000D0619">
        <w:rPr>
          <w:rFonts w:ascii="Times New Roman" w:hAnsi="Times New Roman"/>
          <w:sz w:val="28"/>
          <w:szCs w:val="28"/>
        </w:rPr>
        <w:t xml:space="preserve"> граждан </w:t>
      </w:r>
      <w:r w:rsidR="00D7737C" w:rsidRPr="00D7737C">
        <w:rPr>
          <w:rFonts w:ascii="Times New Roman" w:hAnsi="Times New Roman"/>
          <w:sz w:val="28"/>
          <w:szCs w:val="28"/>
        </w:rPr>
        <w:t>Республик</w:t>
      </w:r>
      <w:r w:rsidR="00D7737C">
        <w:rPr>
          <w:rFonts w:ascii="Times New Roman" w:hAnsi="Times New Roman"/>
          <w:sz w:val="28"/>
          <w:szCs w:val="28"/>
        </w:rPr>
        <w:t>и</w:t>
      </w:r>
      <w:r w:rsidR="00D7737C" w:rsidRPr="00D7737C">
        <w:rPr>
          <w:rFonts w:ascii="Times New Roman" w:hAnsi="Times New Roman"/>
          <w:sz w:val="28"/>
          <w:szCs w:val="28"/>
        </w:rPr>
        <w:t xml:space="preserve"> Казахстан</w:t>
      </w:r>
      <w:r w:rsidRPr="000D0619">
        <w:rPr>
          <w:rFonts w:ascii="Times New Roman" w:hAnsi="Times New Roman"/>
          <w:sz w:val="28"/>
          <w:szCs w:val="28"/>
        </w:rPr>
        <w:t xml:space="preserve">, которые занимаются </w:t>
      </w:r>
      <w:r w:rsidR="009F69BE">
        <w:rPr>
          <w:rFonts w:ascii="Times New Roman" w:hAnsi="Times New Roman"/>
          <w:sz w:val="28"/>
          <w:szCs w:val="28"/>
          <w:lang w:val="en-US"/>
        </w:rPr>
        <w:t>I</w:t>
      </w:r>
      <w:r w:rsidRPr="000D0619">
        <w:rPr>
          <w:rFonts w:ascii="Times New Roman" w:hAnsi="Times New Roman"/>
          <w:sz w:val="28"/>
          <w:szCs w:val="28"/>
        </w:rPr>
        <w:t>Т-проектами за границей.</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Важным последствием создания в стране инновационной экосистемы станет увеличение доли технологий казахстанского происхождения.</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6.</w:t>
      </w:r>
      <w:r w:rsidR="0037459F">
        <w:rPr>
          <w:rFonts w:ascii="Times New Roman" w:hAnsi="Times New Roman"/>
          <w:sz w:val="28"/>
          <w:szCs w:val="28"/>
        </w:rPr>
        <w:t> </w:t>
      </w:r>
      <w:r w:rsidRPr="000D0619">
        <w:rPr>
          <w:rFonts w:ascii="Times New Roman" w:hAnsi="Times New Roman"/>
          <w:sz w:val="28"/>
          <w:szCs w:val="28"/>
        </w:rPr>
        <w:t>Система управления</w:t>
      </w:r>
      <w:r w:rsidR="0037459F">
        <w:rPr>
          <w:rFonts w:ascii="Times New Roman" w:hAnsi="Times New Roman"/>
          <w:sz w:val="28"/>
          <w:szCs w:val="28"/>
        </w:rPr>
        <w:t>.</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 xml:space="preserve">Реализация </w:t>
      </w:r>
      <w:r w:rsidR="00C949D3">
        <w:rPr>
          <w:rFonts w:ascii="Times New Roman" w:hAnsi="Times New Roman"/>
          <w:sz w:val="28"/>
          <w:szCs w:val="28"/>
        </w:rPr>
        <w:t>П</w:t>
      </w:r>
      <w:r w:rsidRPr="000D0619">
        <w:rPr>
          <w:rFonts w:ascii="Times New Roman" w:hAnsi="Times New Roman"/>
          <w:sz w:val="28"/>
          <w:szCs w:val="28"/>
        </w:rPr>
        <w:t>рограммы подразумевает сл</w:t>
      </w:r>
      <w:r w:rsidR="004A2912">
        <w:rPr>
          <w:rFonts w:ascii="Times New Roman" w:hAnsi="Times New Roman"/>
          <w:sz w:val="28"/>
          <w:szCs w:val="28"/>
        </w:rPr>
        <w:t>едование пяти базовым принципам:</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1</w:t>
      </w:r>
      <w:r w:rsidR="004A2912">
        <w:rPr>
          <w:rFonts w:ascii="Times New Roman" w:hAnsi="Times New Roman"/>
          <w:sz w:val="28"/>
          <w:szCs w:val="28"/>
        </w:rPr>
        <w:t>)</w:t>
      </w:r>
      <w:r w:rsidR="00B963DF">
        <w:rPr>
          <w:rFonts w:ascii="Times New Roman" w:hAnsi="Times New Roman"/>
          <w:sz w:val="28"/>
          <w:szCs w:val="28"/>
        </w:rPr>
        <w:t> </w:t>
      </w:r>
      <w:r w:rsidR="004D2C9E">
        <w:rPr>
          <w:rFonts w:ascii="Times New Roman" w:hAnsi="Times New Roman"/>
          <w:sz w:val="28"/>
          <w:szCs w:val="28"/>
        </w:rPr>
        <w:t>«</w:t>
      </w:r>
      <w:r w:rsidRPr="000D0619">
        <w:rPr>
          <w:rFonts w:ascii="Times New Roman" w:hAnsi="Times New Roman"/>
          <w:sz w:val="28"/>
          <w:szCs w:val="28"/>
        </w:rPr>
        <w:t>цифровизация флагманских отраслей</w:t>
      </w:r>
      <w:r w:rsidR="004D2C9E">
        <w:rPr>
          <w:rFonts w:ascii="Times New Roman" w:hAnsi="Times New Roman"/>
          <w:sz w:val="28"/>
          <w:szCs w:val="28"/>
        </w:rPr>
        <w:t>»</w:t>
      </w:r>
      <w:r w:rsidRPr="000D0619">
        <w:rPr>
          <w:rFonts w:ascii="Times New Roman" w:hAnsi="Times New Roman"/>
          <w:sz w:val="28"/>
          <w:szCs w:val="28"/>
        </w:rPr>
        <w:t>. Основной и наиболее быстрый макроэкономический эффект от Программы произойдет в связи с реализацией цифровой трансформации существующих отраслей экономики. В данном контексте основной задачей цифровизации отраслей является масштабный рост производительности труда, достижимый как за счет внедрения новых технологий, так и за счет сопутствующей адаптаци</w:t>
      </w:r>
      <w:r w:rsidR="004A2912">
        <w:rPr>
          <w:rFonts w:ascii="Times New Roman" w:hAnsi="Times New Roman"/>
          <w:sz w:val="28"/>
          <w:szCs w:val="28"/>
        </w:rPr>
        <w:t>и существующих бизнес процессов;</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2</w:t>
      </w:r>
      <w:r w:rsidR="004A2912">
        <w:rPr>
          <w:rFonts w:ascii="Times New Roman" w:hAnsi="Times New Roman"/>
          <w:sz w:val="28"/>
          <w:szCs w:val="28"/>
        </w:rPr>
        <w:t>)</w:t>
      </w:r>
      <w:r w:rsidR="00B963DF">
        <w:rPr>
          <w:rFonts w:ascii="Times New Roman" w:hAnsi="Times New Roman"/>
          <w:sz w:val="28"/>
          <w:szCs w:val="28"/>
        </w:rPr>
        <w:t> </w:t>
      </w:r>
      <w:r w:rsidR="004D2C9E">
        <w:rPr>
          <w:rFonts w:ascii="Times New Roman" w:hAnsi="Times New Roman"/>
          <w:sz w:val="28"/>
          <w:szCs w:val="28"/>
        </w:rPr>
        <w:t>«</w:t>
      </w:r>
      <w:r w:rsidRPr="000D0619">
        <w:rPr>
          <w:rFonts w:ascii="Times New Roman" w:hAnsi="Times New Roman"/>
          <w:sz w:val="28"/>
          <w:szCs w:val="28"/>
        </w:rPr>
        <w:t>идти перешагивая</w:t>
      </w:r>
      <w:r w:rsidR="004D2C9E">
        <w:rPr>
          <w:rFonts w:ascii="Times New Roman" w:hAnsi="Times New Roman"/>
          <w:sz w:val="28"/>
          <w:szCs w:val="28"/>
        </w:rPr>
        <w:t>»</w:t>
      </w:r>
      <w:r w:rsidRPr="000D0619">
        <w:rPr>
          <w:rFonts w:ascii="Times New Roman" w:hAnsi="Times New Roman"/>
          <w:sz w:val="28"/>
          <w:szCs w:val="28"/>
        </w:rPr>
        <w:t>. Казахстан возьмет курс на внедрение именно самых совершенных технологий, не опасаясь игнорировать проверенные решения в пользу</w:t>
      </w:r>
      <w:r w:rsidR="004A2912">
        <w:rPr>
          <w:rFonts w:ascii="Times New Roman" w:hAnsi="Times New Roman"/>
          <w:sz w:val="28"/>
          <w:szCs w:val="28"/>
        </w:rPr>
        <w:t xml:space="preserve"> инноваций послезавтрашнего дня;</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3</w:t>
      </w:r>
      <w:r w:rsidR="004A2912">
        <w:rPr>
          <w:rFonts w:ascii="Times New Roman" w:hAnsi="Times New Roman"/>
          <w:sz w:val="28"/>
          <w:szCs w:val="28"/>
        </w:rPr>
        <w:t>)</w:t>
      </w:r>
      <w:r w:rsidR="00B963DF">
        <w:rPr>
          <w:rFonts w:ascii="Times New Roman" w:hAnsi="Times New Roman"/>
          <w:sz w:val="28"/>
          <w:szCs w:val="28"/>
        </w:rPr>
        <w:t> </w:t>
      </w:r>
      <w:r w:rsidR="004D2C9E">
        <w:rPr>
          <w:rFonts w:ascii="Times New Roman" w:hAnsi="Times New Roman"/>
          <w:sz w:val="28"/>
          <w:szCs w:val="28"/>
        </w:rPr>
        <w:t>«</w:t>
      </w:r>
      <w:r w:rsidRPr="000D0619">
        <w:rPr>
          <w:rFonts w:ascii="Times New Roman" w:hAnsi="Times New Roman"/>
          <w:sz w:val="28"/>
          <w:szCs w:val="28"/>
        </w:rPr>
        <w:t>быть гибким</w:t>
      </w:r>
      <w:r w:rsidR="004D2C9E">
        <w:rPr>
          <w:rFonts w:ascii="Times New Roman" w:hAnsi="Times New Roman"/>
          <w:sz w:val="28"/>
          <w:szCs w:val="28"/>
        </w:rPr>
        <w:t>»</w:t>
      </w:r>
      <w:r w:rsidRPr="000D0619">
        <w:rPr>
          <w:rFonts w:ascii="Times New Roman" w:hAnsi="Times New Roman"/>
          <w:sz w:val="28"/>
          <w:szCs w:val="28"/>
        </w:rPr>
        <w:t>. При внесении изменений в Программу в случаях, предусмотренных действующей системой государственного планирования,</w:t>
      </w:r>
      <w:r w:rsidR="004A2912">
        <w:rPr>
          <w:rFonts w:ascii="Times New Roman" w:hAnsi="Times New Roman"/>
          <w:sz w:val="28"/>
          <w:szCs w:val="28"/>
        </w:rPr>
        <w:t xml:space="preserve"> может применяться Agile-подход;</w:t>
      </w:r>
    </w:p>
    <w:p w:rsidR="0068434D" w:rsidRPr="000D0619"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4</w:t>
      </w:r>
      <w:r w:rsidR="004A2912">
        <w:rPr>
          <w:rFonts w:ascii="Times New Roman" w:hAnsi="Times New Roman"/>
          <w:sz w:val="28"/>
          <w:szCs w:val="28"/>
        </w:rPr>
        <w:t>)</w:t>
      </w:r>
      <w:r w:rsidR="00B963DF">
        <w:rPr>
          <w:rFonts w:ascii="Times New Roman" w:hAnsi="Times New Roman"/>
          <w:sz w:val="28"/>
          <w:szCs w:val="28"/>
        </w:rPr>
        <w:t> </w:t>
      </w:r>
      <w:r w:rsidR="004D2C9E">
        <w:rPr>
          <w:rFonts w:ascii="Times New Roman" w:hAnsi="Times New Roman"/>
          <w:sz w:val="28"/>
          <w:szCs w:val="28"/>
        </w:rPr>
        <w:t>«</w:t>
      </w:r>
      <w:r w:rsidRPr="000D0619">
        <w:rPr>
          <w:rFonts w:ascii="Times New Roman" w:hAnsi="Times New Roman"/>
          <w:sz w:val="28"/>
          <w:szCs w:val="28"/>
        </w:rPr>
        <w:t>партнерство с бизнесом</w:t>
      </w:r>
      <w:r w:rsidR="004D2C9E">
        <w:rPr>
          <w:rFonts w:ascii="Times New Roman" w:hAnsi="Times New Roman"/>
          <w:sz w:val="28"/>
          <w:szCs w:val="28"/>
        </w:rPr>
        <w:t>»</w:t>
      </w:r>
      <w:r w:rsidRPr="000D0619">
        <w:rPr>
          <w:rFonts w:ascii="Times New Roman" w:hAnsi="Times New Roman"/>
          <w:sz w:val="28"/>
          <w:szCs w:val="28"/>
        </w:rPr>
        <w:t xml:space="preserve">. Эффективная реализация Программы невозможна без активной роли частного сектора. Государство будет вовлекать </w:t>
      </w:r>
      <w:r w:rsidR="00D7737C">
        <w:rPr>
          <w:rFonts w:ascii="Times New Roman" w:hAnsi="Times New Roman"/>
          <w:sz w:val="28"/>
          <w:szCs w:val="28"/>
        </w:rPr>
        <w:t>бизнес</w:t>
      </w:r>
      <w:r w:rsidRPr="000D0619">
        <w:rPr>
          <w:rFonts w:ascii="Times New Roman" w:hAnsi="Times New Roman"/>
          <w:sz w:val="28"/>
          <w:szCs w:val="28"/>
        </w:rPr>
        <w:t xml:space="preserve"> </w:t>
      </w:r>
      <w:r w:rsidR="00C11D9F">
        <w:rPr>
          <w:rFonts w:ascii="Times New Roman" w:hAnsi="Times New Roman"/>
          <w:sz w:val="28"/>
          <w:szCs w:val="28"/>
        </w:rPr>
        <w:t>в</w:t>
      </w:r>
      <w:r w:rsidRPr="000D0619">
        <w:rPr>
          <w:rFonts w:ascii="Times New Roman" w:hAnsi="Times New Roman"/>
          <w:sz w:val="28"/>
          <w:szCs w:val="28"/>
        </w:rPr>
        <w:t xml:space="preserve"> решени</w:t>
      </w:r>
      <w:r w:rsidR="00C11D9F">
        <w:rPr>
          <w:rFonts w:ascii="Times New Roman" w:hAnsi="Times New Roman"/>
          <w:sz w:val="28"/>
          <w:szCs w:val="28"/>
        </w:rPr>
        <w:t>е</w:t>
      </w:r>
      <w:r w:rsidRPr="000D0619">
        <w:rPr>
          <w:rFonts w:ascii="Times New Roman" w:hAnsi="Times New Roman"/>
          <w:sz w:val="28"/>
          <w:szCs w:val="28"/>
        </w:rPr>
        <w:t xml:space="preserve"> специфических проблем (областей неэффективности), которые логично решать усилиями частного сектора. Для реализации эффективного взаимодействия необходимо уточнить инструменты вовлечения и создания мотивации для экономических субъектов, чтобы они плодотворно сотрудничали с государством. В этой связи будут созданы особые условия для привлечения инвестиций в </w:t>
      </w:r>
      <w:r w:rsidR="00C11D9F">
        <w:rPr>
          <w:rFonts w:ascii="Times New Roman" w:hAnsi="Times New Roman"/>
          <w:sz w:val="28"/>
          <w:szCs w:val="28"/>
        </w:rPr>
        <w:t>«</w:t>
      </w:r>
      <w:r w:rsidRPr="000D0619">
        <w:rPr>
          <w:rFonts w:ascii="Times New Roman" w:hAnsi="Times New Roman"/>
          <w:sz w:val="28"/>
          <w:szCs w:val="28"/>
        </w:rPr>
        <w:t>цифровые проекты</w:t>
      </w:r>
      <w:r w:rsidR="00C11D9F">
        <w:rPr>
          <w:rFonts w:ascii="Times New Roman" w:hAnsi="Times New Roman"/>
          <w:sz w:val="28"/>
          <w:szCs w:val="28"/>
        </w:rPr>
        <w:t>»</w:t>
      </w:r>
      <w:r w:rsidRPr="000D0619">
        <w:rPr>
          <w:rFonts w:ascii="Times New Roman" w:hAnsi="Times New Roman"/>
          <w:sz w:val="28"/>
          <w:szCs w:val="28"/>
        </w:rPr>
        <w:t>, т</w:t>
      </w:r>
      <w:r w:rsidR="00C11D9F">
        <w:rPr>
          <w:rFonts w:ascii="Times New Roman" w:hAnsi="Times New Roman"/>
          <w:sz w:val="28"/>
          <w:szCs w:val="28"/>
        </w:rPr>
        <w:t>.</w:t>
      </w:r>
      <w:r w:rsidRPr="000D0619">
        <w:rPr>
          <w:rFonts w:ascii="Times New Roman" w:hAnsi="Times New Roman"/>
          <w:sz w:val="28"/>
          <w:szCs w:val="28"/>
        </w:rPr>
        <w:t>е</w:t>
      </w:r>
      <w:r w:rsidR="00C11D9F">
        <w:rPr>
          <w:rFonts w:ascii="Times New Roman" w:hAnsi="Times New Roman"/>
          <w:sz w:val="28"/>
          <w:szCs w:val="28"/>
        </w:rPr>
        <w:t>.</w:t>
      </w:r>
      <w:r w:rsidRPr="000D0619">
        <w:rPr>
          <w:rFonts w:ascii="Times New Roman" w:hAnsi="Times New Roman"/>
          <w:sz w:val="28"/>
          <w:szCs w:val="28"/>
        </w:rPr>
        <w:t xml:space="preserve"> максимальное снижение издержек для циф</w:t>
      </w:r>
      <w:r w:rsidR="004A2912">
        <w:rPr>
          <w:rFonts w:ascii="Times New Roman" w:hAnsi="Times New Roman"/>
          <w:sz w:val="28"/>
          <w:szCs w:val="28"/>
        </w:rPr>
        <w:t>ровой трансформации предприятий;</w:t>
      </w:r>
    </w:p>
    <w:p w:rsidR="0068434D" w:rsidRPr="0068434D" w:rsidRDefault="0068434D" w:rsidP="004D2C9E">
      <w:pPr>
        <w:spacing w:after="0" w:line="240" w:lineRule="auto"/>
        <w:ind w:firstLine="709"/>
        <w:jc w:val="both"/>
        <w:rPr>
          <w:rFonts w:ascii="Times New Roman" w:hAnsi="Times New Roman"/>
          <w:sz w:val="28"/>
          <w:szCs w:val="28"/>
        </w:rPr>
      </w:pPr>
      <w:r w:rsidRPr="000D0619">
        <w:rPr>
          <w:rFonts w:ascii="Times New Roman" w:hAnsi="Times New Roman"/>
          <w:sz w:val="28"/>
          <w:szCs w:val="28"/>
        </w:rPr>
        <w:t>5</w:t>
      </w:r>
      <w:r w:rsidR="004A2912">
        <w:rPr>
          <w:rFonts w:ascii="Times New Roman" w:hAnsi="Times New Roman"/>
          <w:sz w:val="28"/>
          <w:szCs w:val="28"/>
        </w:rPr>
        <w:t>)</w:t>
      </w:r>
      <w:r w:rsidR="00B963DF">
        <w:rPr>
          <w:rFonts w:ascii="Times New Roman" w:hAnsi="Times New Roman"/>
          <w:sz w:val="28"/>
          <w:szCs w:val="28"/>
        </w:rPr>
        <w:t> </w:t>
      </w:r>
      <w:r w:rsidR="004D2C9E">
        <w:rPr>
          <w:rFonts w:ascii="Times New Roman" w:hAnsi="Times New Roman"/>
          <w:sz w:val="28"/>
          <w:szCs w:val="28"/>
        </w:rPr>
        <w:t>«</w:t>
      </w:r>
      <w:r w:rsidRPr="000D0619">
        <w:rPr>
          <w:rFonts w:ascii="Times New Roman" w:hAnsi="Times New Roman"/>
          <w:sz w:val="28"/>
          <w:szCs w:val="28"/>
        </w:rPr>
        <w:t>адаптация регулирования</w:t>
      </w:r>
      <w:r w:rsidR="004D2C9E">
        <w:rPr>
          <w:rFonts w:ascii="Times New Roman" w:hAnsi="Times New Roman"/>
          <w:sz w:val="28"/>
          <w:szCs w:val="28"/>
        </w:rPr>
        <w:t>»</w:t>
      </w:r>
      <w:r w:rsidRPr="000D0619">
        <w:rPr>
          <w:rFonts w:ascii="Times New Roman" w:hAnsi="Times New Roman"/>
          <w:sz w:val="28"/>
          <w:szCs w:val="28"/>
        </w:rPr>
        <w:t xml:space="preserve">. В результате реализации Программы появятся различные вопросы, которые потребуют изменения регулирования и стандартов (например, вопросы использования </w:t>
      </w:r>
      <w:r w:rsidR="004D2C9E">
        <w:rPr>
          <w:rFonts w:ascii="Times New Roman" w:hAnsi="Times New Roman"/>
          <w:sz w:val="28"/>
          <w:szCs w:val="28"/>
        </w:rPr>
        <w:t>«</w:t>
      </w:r>
      <w:r w:rsidRPr="000D0619">
        <w:rPr>
          <w:rFonts w:ascii="Times New Roman" w:hAnsi="Times New Roman"/>
          <w:sz w:val="28"/>
          <w:szCs w:val="28"/>
        </w:rPr>
        <w:t>больших данных</w:t>
      </w:r>
      <w:r w:rsidR="004D2C9E">
        <w:rPr>
          <w:rFonts w:ascii="Times New Roman" w:hAnsi="Times New Roman"/>
          <w:sz w:val="28"/>
          <w:szCs w:val="28"/>
        </w:rPr>
        <w:t>»</w:t>
      </w:r>
      <w:r w:rsidRPr="000D0619">
        <w:rPr>
          <w:rFonts w:ascii="Times New Roman" w:hAnsi="Times New Roman"/>
          <w:sz w:val="28"/>
          <w:szCs w:val="28"/>
        </w:rPr>
        <w:t xml:space="preserve"> или стандарты IoT</w:t>
      </w:r>
      <w:r w:rsidR="00C949D3">
        <w:rPr>
          <w:rFonts w:ascii="Times New Roman" w:hAnsi="Times New Roman"/>
          <w:sz w:val="28"/>
          <w:szCs w:val="28"/>
        </w:rPr>
        <w:t xml:space="preserve"> – </w:t>
      </w:r>
      <w:r w:rsidR="00C949D3" w:rsidRPr="00C949D3">
        <w:rPr>
          <w:rFonts w:ascii="Times New Roman" w:hAnsi="Times New Roman"/>
          <w:sz w:val="28"/>
          <w:szCs w:val="28"/>
        </w:rPr>
        <w:t>концепция вычислительной сети физических предметов «вещей»)</w:t>
      </w:r>
      <w:r w:rsidRPr="000D0619">
        <w:rPr>
          <w:rFonts w:ascii="Times New Roman" w:hAnsi="Times New Roman"/>
          <w:sz w:val="28"/>
          <w:szCs w:val="28"/>
        </w:rPr>
        <w:t>. Государство проявит собственную инициативу по принятию наиболее прогрессивного законодательства, чтобы создать условия для рывка, в том числе по сравнению со странами, находящимися на схожем этапе цифрового развития.</w:t>
      </w:r>
    </w:p>
    <w:p w:rsidR="0068434D" w:rsidRPr="005733FE" w:rsidRDefault="0068434D" w:rsidP="004D2C9E">
      <w:pPr>
        <w:pStyle w:val="4"/>
      </w:pPr>
      <w:r w:rsidRPr="005733FE">
        <w:t>Российская Федерация</w:t>
      </w:r>
    </w:p>
    <w:p w:rsidR="0068434D" w:rsidRPr="00D1641F" w:rsidRDefault="0068434D" w:rsidP="004D2C9E">
      <w:pPr>
        <w:spacing w:after="0" w:line="240" w:lineRule="auto"/>
        <w:ind w:firstLine="709"/>
        <w:jc w:val="both"/>
        <w:rPr>
          <w:rFonts w:ascii="Times New Roman" w:hAnsi="Times New Roman"/>
          <w:color w:val="000000"/>
          <w:sz w:val="28"/>
          <w:szCs w:val="28"/>
        </w:rPr>
      </w:pPr>
      <w:r w:rsidRPr="00D1641F">
        <w:rPr>
          <w:rFonts w:ascii="Times New Roman" w:hAnsi="Times New Roman"/>
          <w:color w:val="000000"/>
          <w:sz w:val="28"/>
          <w:szCs w:val="28"/>
        </w:rPr>
        <w:t>Правительственной комиссией по использованию информационных</w:t>
      </w:r>
      <w:r w:rsidRPr="00B623C6">
        <w:rPr>
          <w:rFonts w:ascii="Times New Roman" w:hAnsi="Times New Roman"/>
          <w:color w:val="000000"/>
          <w:sz w:val="28"/>
          <w:szCs w:val="28"/>
        </w:rPr>
        <w:t xml:space="preserve"> </w:t>
      </w:r>
      <w:r w:rsidRPr="00D1641F">
        <w:rPr>
          <w:rFonts w:ascii="Times New Roman" w:hAnsi="Times New Roman"/>
          <w:color w:val="000000"/>
          <w:sz w:val="28"/>
          <w:szCs w:val="28"/>
        </w:rPr>
        <w:t xml:space="preserve">технологий для улучшения качества жизни и условий ведения предпринимательской деятельности </w:t>
      </w:r>
      <w:r w:rsidR="00D7737C" w:rsidRPr="00D7737C">
        <w:rPr>
          <w:rFonts w:ascii="Times New Roman" w:hAnsi="Times New Roman"/>
          <w:color w:val="000000"/>
          <w:sz w:val="28"/>
          <w:szCs w:val="28"/>
        </w:rPr>
        <w:t xml:space="preserve">18 декабря 2017 года </w:t>
      </w:r>
      <w:r w:rsidRPr="00D1641F">
        <w:rPr>
          <w:rFonts w:ascii="Times New Roman" w:hAnsi="Times New Roman"/>
          <w:color w:val="000000"/>
          <w:sz w:val="28"/>
          <w:szCs w:val="28"/>
        </w:rPr>
        <w:t xml:space="preserve">утверждены </w:t>
      </w:r>
      <w:r w:rsidR="00655B0D">
        <w:rPr>
          <w:rFonts w:ascii="Times New Roman" w:hAnsi="Times New Roman"/>
          <w:color w:val="000000"/>
          <w:sz w:val="28"/>
          <w:szCs w:val="28"/>
        </w:rPr>
        <w:t>п</w:t>
      </w:r>
      <w:r w:rsidRPr="00D1641F">
        <w:rPr>
          <w:rFonts w:ascii="Times New Roman" w:hAnsi="Times New Roman"/>
          <w:color w:val="000000"/>
          <w:sz w:val="28"/>
          <w:szCs w:val="28"/>
        </w:rPr>
        <w:t xml:space="preserve">ланы мероприятий по направлениям </w:t>
      </w:r>
      <w:r w:rsidR="004D2C9E">
        <w:rPr>
          <w:rFonts w:ascii="Times New Roman" w:hAnsi="Times New Roman"/>
          <w:color w:val="000000"/>
          <w:sz w:val="28"/>
          <w:szCs w:val="28"/>
        </w:rPr>
        <w:t>«</w:t>
      </w:r>
      <w:r w:rsidRPr="00D1641F">
        <w:rPr>
          <w:rFonts w:ascii="Times New Roman" w:hAnsi="Times New Roman"/>
          <w:color w:val="000000"/>
          <w:sz w:val="28"/>
          <w:szCs w:val="28"/>
        </w:rPr>
        <w:t>Нормативное регулирование</w:t>
      </w:r>
      <w:r w:rsidR="004D2C9E">
        <w:rPr>
          <w:rFonts w:ascii="Times New Roman" w:hAnsi="Times New Roman"/>
          <w:color w:val="000000"/>
          <w:sz w:val="28"/>
          <w:szCs w:val="28"/>
        </w:rPr>
        <w:t>»</w:t>
      </w:r>
      <w:r w:rsidRPr="00D1641F">
        <w:rPr>
          <w:rFonts w:ascii="Times New Roman" w:hAnsi="Times New Roman"/>
          <w:color w:val="000000"/>
          <w:sz w:val="28"/>
          <w:szCs w:val="28"/>
        </w:rPr>
        <w:t xml:space="preserve">, </w:t>
      </w:r>
      <w:r w:rsidR="004D2C9E">
        <w:rPr>
          <w:rFonts w:ascii="Times New Roman" w:hAnsi="Times New Roman"/>
          <w:color w:val="000000"/>
          <w:sz w:val="28"/>
          <w:szCs w:val="28"/>
        </w:rPr>
        <w:t>«</w:t>
      </w:r>
      <w:r w:rsidRPr="00D1641F">
        <w:rPr>
          <w:rFonts w:ascii="Times New Roman" w:hAnsi="Times New Roman"/>
          <w:color w:val="000000"/>
          <w:sz w:val="28"/>
          <w:szCs w:val="28"/>
        </w:rPr>
        <w:t>Формирование исследовательских компетенций и технологических заделов</w:t>
      </w:r>
      <w:r w:rsidR="004D2C9E">
        <w:rPr>
          <w:rFonts w:ascii="Times New Roman" w:hAnsi="Times New Roman"/>
          <w:color w:val="000000"/>
          <w:sz w:val="28"/>
          <w:szCs w:val="28"/>
        </w:rPr>
        <w:t>»</w:t>
      </w:r>
      <w:r w:rsidRPr="00D1641F">
        <w:rPr>
          <w:rFonts w:ascii="Times New Roman" w:hAnsi="Times New Roman"/>
          <w:color w:val="000000"/>
          <w:sz w:val="28"/>
          <w:szCs w:val="28"/>
        </w:rPr>
        <w:t xml:space="preserve">, </w:t>
      </w:r>
      <w:r w:rsidR="004D2C9E">
        <w:rPr>
          <w:rFonts w:ascii="Times New Roman" w:hAnsi="Times New Roman"/>
          <w:color w:val="000000"/>
          <w:sz w:val="28"/>
          <w:szCs w:val="28"/>
        </w:rPr>
        <w:t>«</w:t>
      </w:r>
      <w:r w:rsidRPr="00D1641F">
        <w:rPr>
          <w:rFonts w:ascii="Times New Roman" w:hAnsi="Times New Roman"/>
          <w:color w:val="000000"/>
          <w:sz w:val="28"/>
          <w:szCs w:val="28"/>
        </w:rPr>
        <w:t>Информационная инфраструктура</w:t>
      </w:r>
      <w:r w:rsidR="004D2C9E">
        <w:rPr>
          <w:rFonts w:ascii="Times New Roman" w:hAnsi="Times New Roman"/>
          <w:color w:val="000000"/>
          <w:sz w:val="28"/>
          <w:szCs w:val="28"/>
        </w:rPr>
        <w:t>»</w:t>
      </w:r>
      <w:r w:rsidRPr="00D1641F">
        <w:rPr>
          <w:rFonts w:ascii="Times New Roman" w:hAnsi="Times New Roman"/>
          <w:color w:val="000000"/>
          <w:sz w:val="28"/>
          <w:szCs w:val="28"/>
        </w:rPr>
        <w:t xml:space="preserve">, </w:t>
      </w:r>
      <w:r w:rsidR="004D2C9E">
        <w:rPr>
          <w:rFonts w:ascii="Times New Roman" w:hAnsi="Times New Roman"/>
          <w:color w:val="000000"/>
          <w:sz w:val="28"/>
          <w:szCs w:val="28"/>
        </w:rPr>
        <w:t>«</w:t>
      </w:r>
      <w:r w:rsidRPr="00D1641F">
        <w:rPr>
          <w:rFonts w:ascii="Times New Roman" w:hAnsi="Times New Roman"/>
          <w:color w:val="000000"/>
          <w:sz w:val="28"/>
          <w:szCs w:val="28"/>
        </w:rPr>
        <w:t>Информационная безопасность</w:t>
      </w:r>
      <w:r w:rsidR="004D2C9E">
        <w:rPr>
          <w:rFonts w:ascii="Times New Roman" w:hAnsi="Times New Roman"/>
          <w:color w:val="000000"/>
          <w:sz w:val="28"/>
          <w:szCs w:val="28"/>
        </w:rPr>
        <w:t>»</w:t>
      </w:r>
      <w:r w:rsidRPr="00D1641F">
        <w:rPr>
          <w:rFonts w:ascii="Times New Roman" w:hAnsi="Times New Roman"/>
          <w:color w:val="000000"/>
          <w:sz w:val="28"/>
          <w:szCs w:val="28"/>
        </w:rPr>
        <w:t xml:space="preserve"> программы </w:t>
      </w:r>
      <w:r w:rsidR="004D2C9E">
        <w:rPr>
          <w:rFonts w:ascii="Times New Roman" w:hAnsi="Times New Roman"/>
          <w:color w:val="000000"/>
          <w:sz w:val="28"/>
          <w:szCs w:val="28"/>
        </w:rPr>
        <w:t>«</w:t>
      </w:r>
      <w:r w:rsidRPr="00D1641F">
        <w:rPr>
          <w:rFonts w:ascii="Times New Roman" w:hAnsi="Times New Roman"/>
          <w:color w:val="000000"/>
          <w:sz w:val="28"/>
          <w:szCs w:val="28"/>
        </w:rPr>
        <w:t>Цифровая экономика Российской Федерации</w:t>
      </w:r>
      <w:r w:rsidR="004D2C9E">
        <w:rPr>
          <w:rFonts w:ascii="Times New Roman" w:hAnsi="Times New Roman"/>
          <w:color w:val="000000"/>
          <w:sz w:val="28"/>
          <w:szCs w:val="28"/>
        </w:rPr>
        <w:t>»</w:t>
      </w:r>
      <w:r w:rsidRPr="00D1641F">
        <w:rPr>
          <w:rFonts w:ascii="Times New Roman" w:hAnsi="Times New Roman"/>
          <w:color w:val="000000"/>
          <w:sz w:val="28"/>
          <w:szCs w:val="28"/>
        </w:rPr>
        <w:t>, а 9 февраля 2018</w:t>
      </w:r>
      <w:r w:rsidR="000C007B">
        <w:rPr>
          <w:rFonts w:ascii="Times New Roman" w:hAnsi="Times New Roman"/>
          <w:color w:val="000000"/>
          <w:sz w:val="28"/>
          <w:szCs w:val="28"/>
        </w:rPr>
        <w:t> </w:t>
      </w:r>
      <w:r w:rsidR="00DC7EB9">
        <w:rPr>
          <w:rFonts w:ascii="Times New Roman" w:hAnsi="Times New Roman"/>
          <w:color w:val="000000"/>
          <w:sz w:val="28"/>
          <w:szCs w:val="28"/>
        </w:rPr>
        <w:t>года</w:t>
      </w:r>
      <w:r w:rsidRPr="00D1641F">
        <w:rPr>
          <w:rFonts w:ascii="Times New Roman" w:hAnsi="Times New Roman"/>
          <w:color w:val="000000"/>
          <w:sz w:val="28"/>
          <w:szCs w:val="28"/>
        </w:rPr>
        <w:t xml:space="preserve"> утвержден План мероприятий по направлению </w:t>
      </w:r>
      <w:r w:rsidR="004D2C9E">
        <w:rPr>
          <w:rFonts w:ascii="Times New Roman" w:hAnsi="Times New Roman"/>
          <w:color w:val="000000"/>
          <w:sz w:val="28"/>
          <w:szCs w:val="28"/>
        </w:rPr>
        <w:t>«</w:t>
      </w:r>
      <w:r w:rsidRPr="00D1641F">
        <w:rPr>
          <w:rFonts w:ascii="Times New Roman" w:hAnsi="Times New Roman"/>
          <w:color w:val="000000"/>
          <w:sz w:val="28"/>
          <w:szCs w:val="28"/>
        </w:rPr>
        <w:t>Кадры и образование</w:t>
      </w:r>
      <w:r w:rsidR="004D2C9E">
        <w:rPr>
          <w:rFonts w:ascii="Times New Roman" w:hAnsi="Times New Roman"/>
          <w:color w:val="000000"/>
          <w:sz w:val="28"/>
          <w:szCs w:val="28"/>
        </w:rPr>
        <w:t>»</w:t>
      </w:r>
      <w:r w:rsidRPr="00D1641F">
        <w:rPr>
          <w:rFonts w:ascii="Times New Roman" w:hAnsi="Times New Roman"/>
          <w:color w:val="000000"/>
          <w:sz w:val="28"/>
          <w:szCs w:val="28"/>
        </w:rPr>
        <w:t>.</w:t>
      </w:r>
    </w:p>
    <w:p w:rsidR="0068434D" w:rsidRDefault="0068434D" w:rsidP="004D2C9E">
      <w:pPr>
        <w:spacing w:after="0" w:line="240" w:lineRule="auto"/>
        <w:ind w:firstLine="709"/>
        <w:jc w:val="both"/>
        <w:rPr>
          <w:rFonts w:ascii="Times New Roman" w:hAnsi="Times New Roman"/>
          <w:color w:val="000000"/>
          <w:sz w:val="28"/>
          <w:szCs w:val="28"/>
        </w:rPr>
      </w:pPr>
      <w:r w:rsidRPr="00D1641F">
        <w:rPr>
          <w:rFonts w:ascii="Times New Roman" w:hAnsi="Times New Roman"/>
          <w:color w:val="000000"/>
          <w:sz w:val="28"/>
          <w:szCs w:val="28"/>
        </w:rPr>
        <w:t>Реализация указанных программных документов находится на начальном этапе, а в целом, в зависимости от соответствующего направления, общий срок реализации мероприятий составляет 3 или 6 лет.</w:t>
      </w:r>
    </w:p>
    <w:p w:rsidR="0068434D" w:rsidRPr="001514AC" w:rsidRDefault="000C007B" w:rsidP="000C007B">
      <w:pPr>
        <w:pStyle w:val="a7"/>
        <w:autoSpaceDE w:val="0"/>
        <w:autoSpaceDN w:val="0"/>
        <w:adjustRightInd w:val="0"/>
        <w:spacing w:after="0" w:line="240" w:lineRule="auto"/>
        <w:ind w:left="0" w:firstLine="709"/>
        <w:jc w:val="both"/>
        <w:rPr>
          <w:rFonts w:ascii="Times New Roman" w:hAnsi="Times New Roman"/>
          <w:color w:val="000000"/>
          <w:sz w:val="28"/>
          <w:szCs w:val="28"/>
        </w:rPr>
      </w:pPr>
      <w:r w:rsidRPr="000C007B">
        <w:rPr>
          <w:rFonts w:ascii="Times New Roman" w:hAnsi="Times New Roman"/>
          <w:color w:val="000000"/>
          <w:sz w:val="28"/>
          <w:szCs w:val="28"/>
        </w:rPr>
        <w:t>1.</w:t>
      </w:r>
      <w:r>
        <w:rPr>
          <w:rFonts w:ascii="Times New Roman" w:hAnsi="Times New Roman"/>
          <w:i/>
          <w:color w:val="000000"/>
          <w:sz w:val="28"/>
          <w:szCs w:val="28"/>
        </w:rPr>
        <w:t> </w:t>
      </w:r>
      <w:r w:rsidR="0068434D" w:rsidRPr="003972D8">
        <w:rPr>
          <w:rFonts w:ascii="Times New Roman" w:hAnsi="Times New Roman"/>
          <w:i/>
          <w:color w:val="000000"/>
          <w:sz w:val="28"/>
          <w:szCs w:val="28"/>
        </w:rPr>
        <w:t>Нормативное регулирование</w:t>
      </w:r>
      <w:r w:rsidR="0068434D" w:rsidRPr="001514AC">
        <w:rPr>
          <w:rFonts w:ascii="Times New Roman" w:hAnsi="Times New Roman"/>
          <w:color w:val="000000"/>
          <w:sz w:val="28"/>
          <w:szCs w:val="28"/>
        </w:rPr>
        <w:t xml:space="preserve"> предполагает формирование регуляторной среды, обеспечивающей благоприятный правовой режим для возникновения, развития и использования цифровых технологий.</w:t>
      </w:r>
    </w:p>
    <w:p w:rsidR="0068434D" w:rsidRPr="009A41D5"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9A41D5">
        <w:rPr>
          <w:rFonts w:ascii="Times New Roman" w:hAnsi="Times New Roman"/>
          <w:color w:val="000000"/>
          <w:sz w:val="28"/>
          <w:szCs w:val="28"/>
        </w:rPr>
        <w:t>Целями направления программы определен</w:t>
      </w:r>
      <w:r w:rsidR="008E1E23">
        <w:rPr>
          <w:rFonts w:ascii="Times New Roman" w:hAnsi="Times New Roman"/>
          <w:color w:val="000000"/>
          <w:sz w:val="28"/>
          <w:szCs w:val="28"/>
        </w:rPr>
        <w:t>ы</w:t>
      </w:r>
      <w:r w:rsidRPr="009A41D5">
        <w:rPr>
          <w:rFonts w:ascii="Times New Roman" w:hAnsi="Times New Roman"/>
          <w:color w:val="000000"/>
          <w:sz w:val="28"/>
          <w:szCs w:val="28"/>
        </w:rPr>
        <w:t>:</w:t>
      </w:r>
      <w:r w:rsidR="004D2C9E">
        <w:rPr>
          <w:rFonts w:ascii="Times New Roman" w:hAnsi="Times New Roman"/>
          <w:color w:val="000000"/>
          <w:sz w:val="28"/>
          <w:szCs w:val="28"/>
        </w:rPr>
        <w:t xml:space="preserve"> </w:t>
      </w:r>
      <w:r w:rsidRPr="009A41D5">
        <w:rPr>
          <w:rFonts w:ascii="Times New Roman" w:hAnsi="Times New Roman"/>
          <w:color w:val="000000"/>
          <w:sz w:val="28"/>
          <w:szCs w:val="28"/>
        </w:rPr>
        <w:t>снятие ключевых правовых ограничений и создание отдельных правовых институтов, направленных на решение первоочередных задач формирования цифровой экономики;</w:t>
      </w:r>
      <w:r w:rsidR="004D2C9E">
        <w:rPr>
          <w:rFonts w:ascii="Times New Roman" w:hAnsi="Times New Roman"/>
          <w:color w:val="000000"/>
          <w:sz w:val="28"/>
          <w:szCs w:val="28"/>
        </w:rPr>
        <w:t xml:space="preserve"> </w:t>
      </w:r>
      <w:r w:rsidRPr="009A41D5">
        <w:rPr>
          <w:rFonts w:ascii="Times New Roman" w:hAnsi="Times New Roman"/>
          <w:color w:val="000000"/>
          <w:sz w:val="28"/>
          <w:szCs w:val="28"/>
        </w:rPr>
        <w:t>создание постоянно действующего механизма управления изменениями и компетенциями (знаниями) в области регулирования цифровой экономики.</w:t>
      </w:r>
    </w:p>
    <w:p w:rsidR="0068434D" w:rsidRPr="009A41D5"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9A41D5">
        <w:rPr>
          <w:rFonts w:ascii="Times New Roman" w:hAnsi="Times New Roman"/>
          <w:color w:val="000000"/>
          <w:sz w:val="28"/>
          <w:szCs w:val="28"/>
        </w:rPr>
        <w:t xml:space="preserve">В результате реализации Плана мероприятий по направлению </w:t>
      </w:r>
      <w:r w:rsidR="004D2C9E">
        <w:rPr>
          <w:rFonts w:ascii="Times New Roman" w:hAnsi="Times New Roman"/>
          <w:color w:val="000000"/>
          <w:sz w:val="28"/>
          <w:szCs w:val="28"/>
        </w:rPr>
        <w:t>«</w:t>
      </w:r>
      <w:r w:rsidRPr="009A41D5">
        <w:rPr>
          <w:rFonts w:ascii="Times New Roman" w:hAnsi="Times New Roman"/>
          <w:color w:val="000000"/>
          <w:sz w:val="28"/>
          <w:szCs w:val="28"/>
        </w:rPr>
        <w:t>Нормативное регулирование</w:t>
      </w:r>
      <w:r w:rsidR="004D2C9E">
        <w:rPr>
          <w:rFonts w:ascii="Times New Roman" w:hAnsi="Times New Roman"/>
          <w:color w:val="000000"/>
          <w:sz w:val="28"/>
          <w:szCs w:val="28"/>
        </w:rPr>
        <w:t>»</w:t>
      </w:r>
      <w:r w:rsidRPr="009A41D5">
        <w:rPr>
          <w:rFonts w:ascii="Times New Roman" w:hAnsi="Times New Roman"/>
          <w:color w:val="000000"/>
          <w:sz w:val="28"/>
          <w:szCs w:val="28"/>
        </w:rPr>
        <w:t xml:space="preserve"> ожидаются следующие результаты:</w:t>
      </w:r>
    </w:p>
    <w:p w:rsidR="0068434D" w:rsidRPr="009A41D5"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9A41D5">
        <w:rPr>
          <w:rFonts w:ascii="Times New Roman" w:hAnsi="Times New Roman"/>
          <w:color w:val="000000"/>
          <w:sz w:val="28"/>
          <w:szCs w:val="28"/>
        </w:rPr>
        <w:t>обеспечен</w:t>
      </w:r>
      <w:r w:rsidR="00D7737C">
        <w:rPr>
          <w:rFonts w:ascii="Times New Roman" w:hAnsi="Times New Roman"/>
          <w:color w:val="000000"/>
          <w:sz w:val="28"/>
          <w:szCs w:val="28"/>
        </w:rPr>
        <w:t>ие</w:t>
      </w:r>
      <w:r w:rsidRPr="009A41D5">
        <w:rPr>
          <w:rFonts w:ascii="Times New Roman" w:hAnsi="Times New Roman"/>
          <w:color w:val="000000"/>
          <w:sz w:val="28"/>
          <w:szCs w:val="28"/>
        </w:rPr>
        <w:t xml:space="preserve"> правовы</w:t>
      </w:r>
      <w:r w:rsidR="00D7737C">
        <w:rPr>
          <w:rFonts w:ascii="Times New Roman" w:hAnsi="Times New Roman"/>
          <w:color w:val="000000"/>
          <w:sz w:val="28"/>
          <w:szCs w:val="28"/>
        </w:rPr>
        <w:t>х</w:t>
      </w:r>
      <w:r w:rsidRPr="009A41D5">
        <w:rPr>
          <w:rFonts w:ascii="Times New Roman" w:hAnsi="Times New Roman"/>
          <w:color w:val="000000"/>
          <w:sz w:val="28"/>
          <w:szCs w:val="28"/>
        </w:rPr>
        <w:t xml:space="preserve"> услови</w:t>
      </w:r>
      <w:r w:rsidR="00D7737C">
        <w:rPr>
          <w:rFonts w:ascii="Times New Roman" w:hAnsi="Times New Roman"/>
          <w:color w:val="000000"/>
          <w:sz w:val="28"/>
          <w:szCs w:val="28"/>
        </w:rPr>
        <w:t>й</w:t>
      </w:r>
      <w:r w:rsidRPr="009A41D5">
        <w:rPr>
          <w:rFonts w:ascii="Times New Roman" w:hAnsi="Times New Roman"/>
          <w:color w:val="000000"/>
          <w:sz w:val="28"/>
          <w:szCs w:val="28"/>
        </w:rPr>
        <w:t xml:space="preserve"> для формирования единой цифровой среды доверия;</w:t>
      </w:r>
    </w:p>
    <w:p w:rsidR="0068434D" w:rsidRPr="009A41D5"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9A41D5">
        <w:rPr>
          <w:rFonts w:ascii="Times New Roman" w:hAnsi="Times New Roman"/>
          <w:color w:val="000000"/>
          <w:sz w:val="28"/>
          <w:szCs w:val="28"/>
        </w:rPr>
        <w:t>создан</w:t>
      </w:r>
      <w:r w:rsidR="00D7737C">
        <w:rPr>
          <w:rFonts w:ascii="Times New Roman" w:hAnsi="Times New Roman"/>
          <w:color w:val="000000"/>
          <w:sz w:val="28"/>
          <w:szCs w:val="28"/>
        </w:rPr>
        <w:t>ие</w:t>
      </w:r>
      <w:r w:rsidRPr="009A41D5">
        <w:rPr>
          <w:rFonts w:ascii="Times New Roman" w:hAnsi="Times New Roman"/>
          <w:color w:val="000000"/>
          <w:sz w:val="28"/>
          <w:szCs w:val="28"/>
        </w:rPr>
        <w:t xml:space="preserve"> правовы</w:t>
      </w:r>
      <w:r w:rsidR="00D7737C">
        <w:rPr>
          <w:rFonts w:ascii="Times New Roman" w:hAnsi="Times New Roman"/>
          <w:color w:val="000000"/>
          <w:sz w:val="28"/>
          <w:szCs w:val="28"/>
        </w:rPr>
        <w:t>х</w:t>
      </w:r>
      <w:r w:rsidRPr="009A41D5">
        <w:rPr>
          <w:rFonts w:ascii="Times New Roman" w:hAnsi="Times New Roman"/>
          <w:color w:val="000000"/>
          <w:sz w:val="28"/>
          <w:szCs w:val="28"/>
        </w:rPr>
        <w:t xml:space="preserve"> услови</w:t>
      </w:r>
      <w:r w:rsidR="00D7737C">
        <w:rPr>
          <w:rFonts w:ascii="Times New Roman" w:hAnsi="Times New Roman"/>
          <w:color w:val="000000"/>
          <w:sz w:val="28"/>
          <w:szCs w:val="28"/>
        </w:rPr>
        <w:t>й</w:t>
      </w:r>
      <w:r w:rsidRPr="009A41D5">
        <w:rPr>
          <w:rFonts w:ascii="Times New Roman" w:hAnsi="Times New Roman"/>
          <w:color w:val="000000"/>
          <w:sz w:val="28"/>
          <w:szCs w:val="28"/>
        </w:rPr>
        <w:t xml:space="preserve"> для формирования сферы электронного гражданского оборота;</w:t>
      </w:r>
    </w:p>
    <w:p w:rsidR="0068434D" w:rsidRPr="009A41D5" w:rsidRDefault="00266D7D"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обеспечение благоприятных</w:t>
      </w:r>
      <w:r w:rsidR="00257FC0">
        <w:rPr>
          <w:rFonts w:ascii="Times New Roman" w:hAnsi="Times New Roman"/>
          <w:color w:val="000000"/>
          <w:sz w:val="28"/>
          <w:szCs w:val="28"/>
        </w:rPr>
        <w:t xml:space="preserve"> </w:t>
      </w:r>
      <w:r w:rsidR="00D7737C">
        <w:rPr>
          <w:rFonts w:ascii="Times New Roman" w:hAnsi="Times New Roman"/>
          <w:color w:val="000000"/>
          <w:sz w:val="28"/>
          <w:szCs w:val="28"/>
        </w:rPr>
        <w:t>правовых</w:t>
      </w:r>
      <w:r w:rsidR="0068434D" w:rsidRPr="009A41D5">
        <w:rPr>
          <w:rFonts w:ascii="Times New Roman" w:hAnsi="Times New Roman"/>
          <w:color w:val="000000"/>
          <w:sz w:val="28"/>
          <w:szCs w:val="28"/>
        </w:rPr>
        <w:t xml:space="preserve"> услови</w:t>
      </w:r>
      <w:r w:rsidR="00D7737C">
        <w:rPr>
          <w:rFonts w:ascii="Times New Roman" w:hAnsi="Times New Roman"/>
          <w:color w:val="000000"/>
          <w:sz w:val="28"/>
          <w:szCs w:val="28"/>
        </w:rPr>
        <w:t>й</w:t>
      </w:r>
      <w:r w:rsidR="0068434D" w:rsidRPr="009A41D5">
        <w:rPr>
          <w:rFonts w:ascii="Times New Roman" w:hAnsi="Times New Roman"/>
          <w:color w:val="000000"/>
          <w:sz w:val="28"/>
          <w:szCs w:val="28"/>
        </w:rPr>
        <w:t xml:space="preserve"> для сбора, хранения и обработки данных;</w:t>
      </w:r>
    </w:p>
    <w:p w:rsidR="0068434D" w:rsidRPr="009A41D5" w:rsidRDefault="00266D7D"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создание</w:t>
      </w:r>
      <w:r w:rsidR="0068434D" w:rsidRPr="009A41D5">
        <w:rPr>
          <w:rFonts w:ascii="Times New Roman" w:hAnsi="Times New Roman"/>
          <w:color w:val="000000"/>
          <w:sz w:val="28"/>
          <w:szCs w:val="28"/>
        </w:rPr>
        <w:t xml:space="preserve"> правовы</w:t>
      </w:r>
      <w:r>
        <w:rPr>
          <w:rFonts w:ascii="Times New Roman" w:hAnsi="Times New Roman"/>
          <w:color w:val="000000"/>
          <w:sz w:val="28"/>
          <w:szCs w:val="28"/>
        </w:rPr>
        <w:t>х</w:t>
      </w:r>
      <w:r w:rsidR="0068434D" w:rsidRPr="009A41D5">
        <w:rPr>
          <w:rFonts w:ascii="Times New Roman" w:hAnsi="Times New Roman"/>
          <w:color w:val="000000"/>
          <w:sz w:val="28"/>
          <w:szCs w:val="28"/>
        </w:rPr>
        <w:t xml:space="preserve"> услови</w:t>
      </w:r>
      <w:r>
        <w:rPr>
          <w:rFonts w:ascii="Times New Roman" w:hAnsi="Times New Roman"/>
          <w:color w:val="000000"/>
          <w:sz w:val="28"/>
          <w:szCs w:val="28"/>
        </w:rPr>
        <w:t>й</w:t>
      </w:r>
      <w:r w:rsidR="0068434D" w:rsidRPr="009A41D5">
        <w:rPr>
          <w:rFonts w:ascii="Times New Roman" w:hAnsi="Times New Roman"/>
          <w:color w:val="000000"/>
          <w:sz w:val="28"/>
          <w:szCs w:val="28"/>
        </w:rPr>
        <w:t xml:space="preserve"> для наиболее эффективного использования результатов интеллектуальной деятельности в условиях цифровой экономики;</w:t>
      </w:r>
    </w:p>
    <w:p w:rsidR="0068434D" w:rsidRPr="009A41D5"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9A41D5">
        <w:rPr>
          <w:rFonts w:ascii="Times New Roman" w:hAnsi="Times New Roman"/>
          <w:color w:val="000000"/>
          <w:sz w:val="28"/>
          <w:szCs w:val="28"/>
        </w:rPr>
        <w:t>определен</w:t>
      </w:r>
      <w:r w:rsidR="00266D7D">
        <w:rPr>
          <w:rFonts w:ascii="Times New Roman" w:hAnsi="Times New Roman"/>
          <w:color w:val="000000"/>
          <w:sz w:val="28"/>
          <w:szCs w:val="28"/>
        </w:rPr>
        <w:t>ие</w:t>
      </w:r>
      <w:r w:rsidRPr="009A41D5">
        <w:rPr>
          <w:rFonts w:ascii="Times New Roman" w:hAnsi="Times New Roman"/>
          <w:color w:val="000000"/>
          <w:sz w:val="28"/>
          <w:szCs w:val="28"/>
        </w:rPr>
        <w:t xml:space="preserve"> первоочередны</w:t>
      </w:r>
      <w:r w:rsidR="00266D7D">
        <w:rPr>
          <w:rFonts w:ascii="Times New Roman" w:hAnsi="Times New Roman"/>
          <w:color w:val="000000"/>
          <w:sz w:val="28"/>
          <w:szCs w:val="28"/>
        </w:rPr>
        <w:t>х</w:t>
      </w:r>
      <w:r w:rsidRPr="009A41D5">
        <w:rPr>
          <w:rFonts w:ascii="Times New Roman" w:hAnsi="Times New Roman"/>
          <w:color w:val="000000"/>
          <w:sz w:val="28"/>
          <w:szCs w:val="28"/>
        </w:rPr>
        <w:t xml:space="preserve"> базовы</w:t>
      </w:r>
      <w:r w:rsidR="00266D7D">
        <w:rPr>
          <w:rFonts w:ascii="Times New Roman" w:hAnsi="Times New Roman"/>
          <w:color w:val="000000"/>
          <w:sz w:val="28"/>
          <w:szCs w:val="28"/>
        </w:rPr>
        <w:t>х</w:t>
      </w:r>
      <w:r w:rsidRPr="009A41D5">
        <w:rPr>
          <w:rFonts w:ascii="Times New Roman" w:hAnsi="Times New Roman"/>
          <w:color w:val="000000"/>
          <w:sz w:val="28"/>
          <w:szCs w:val="28"/>
        </w:rPr>
        <w:t xml:space="preserve"> поняти</w:t>
      </w:r>
      <w:r w:rsidR="00266D7D">
        <w:rPr>
          <w:rFonts w:ascii="Times New Roman" w:hAnsi="Times New Roman"/>
          <w:color w:val="000000"/>
          <w:sz w:val="28"/>
          <w:szCs w:val="28"/>
        </w:rPr>
        <w:t>й</w:t>
      </w:r>
      <w:r w:rsidRPr="009A41D5">
        <w:rPr>
          <w:rFonts w:ascii="Times New Roman" w:hAnsi="Times New Roman"/>
          <w:color w:val="000000"/>
          <w:sz w:val="28"/>
          <w:szCs w:val="28"/>
        </w:rPr>
        <w:t xml:space="preserve"> и институт</w:t>
      </w:r>
      <w:r w:rsidR="00266D7D">
        <w:rPr>
          <w:rFonts w:ascii="Times New Roman" w:hAnsi="Times New Roman"/>
          <w:color w:val="000000"/>
          <w:sz w:val="28"/>
          <w:szCs w:val="28"/>
        </w:rPr>
        <w:t>ов</w:t>
      </w:r>
      <w:r w:rsidRPr="009A41D5">
        <w:rPr>
          <w:rFonts w:ascii="Times New Roman" w:hAnsi="Times New Roman"/>
          <w:color w:val="000000"/>
          <w:sz w:val="28"/>
          <w:szCs w:val="28"/>
        </w:rPr>
        <w:t>, необходимы</w:t>
      </w:r>
      <w:r w:rsidR="00266D7D">
        <w:rPr>
          <w:rFonts w:ascii="Times New Roman" w:hAnsi="Times New Roman"/>
          <w:color w:val="000000"/>
          <w:sz w:val="28"/>
          <w:szCs w:val="28"/>
        </w:rPr>
        <w:t>х</w:t>
      </w:r>
      <w:r w:rsidRPr="009A41D5">
        <w:rPr>
          <w:rFonts w:ascii="Times New Roman" w:hAnsi="Times New Roman"/>
          <w:color w:val="000000"/>
          <w:sz w:val="28"/>
          <w:szCs w:val="28"/>
        </w:rPr>
        <w:t xml:space="preserve"> для формирования законодательства в сфере киберфизических систем и искусственного интеллекта;</w:t>
      </w:r>
    </w:p>
    <w:p w:rsidR="0068434D" w:rsidRPr="009A41D5"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9A41D5">
        <w:rPr>
          <w:rFonts w:ascii="Times New Roman" w:hAnsi="Times New Roman"/>
          <w:color w:val="000000"/>
          <w:sz w:val="28"/>
          <w:szCs w:val="28"/>
        </w:rPr>
        <w:t>обеспечен</w:t>
      </w:r>
      <w:r w:rsidR="00266D7D">
        <w:rPr>
          <w:rFonts w:ascii="Times New Roman" w:hAnsi="Times New Roman"/>
          <w:color w:val="000000"/>
          <w:sz w:val="28"/>
          <w:szCs w:val="28"/>
        </w:rPr>
        <w:t>ие</w:t>
      </w:r>
      <w:r w:rsidRPr="009A41D5">
        <w:rPr>
          <w:rFonts w:ascii="Times New Roman" w:hAnsi="Times New Roman"/>
          <w:color w:val="000000"/>
          <w:sz w:val="28"/>
          <w:szCs w:val="28"/>
        </w:rPr>
        <w:t xml:space="preserve"> правовы</w:t>
      </w:r>
      <w:r w:rsidR="00266D7D">
        <w:rPr>
          <w:rFonts w:ascii="Times New Roman" w:hAnsi="Times New Roman"/>
          <w:color w:val="000000"/>
          <w:sz w:val="28"/>
          <w:szCs w:val="28"/>
        </w:rPr>
        <w:t>х</w:t>
      </w:r>
      <w:r w:rsidRPr="009A41D5">
        <w:rPr>
          <w:rFonts w:ascii="Times New Roman" w:hAnsi="Times New Roman"/>
          <w:color w:val="000000"/>
          <w:sz w:val="28"/>
          <w:szCs w:val="28"/>
        </w:rPr>
        <w:t xml:space="preserve"> услови</w:t>
      </w:r>
      <w:r w:rsidR="00266D7D">
        <w:rPr>
          <w:rFonts w:ascii="Times New Roman" w:hAnsi="Times New Roman"/>
          <w:color w:val="000000"/>
          <w:sz w:val="28"/>
          <w:szCs w:val="28"/>
        </w:rPr>
        <w:t>й</w:t>
      </w:r>
      <w:r w:rsidRPr="009A41D5">
        <w:rPr>
          <w:rFonts w:ascii="Times New Roman" w:hAnsi="Times New Roman"/>
          <w:color w:val="000000"/>
          <w:sz w:val="28"/>
          <w:szCs w:val="28"/>
        </w:rPr>
        <w:t xml:space="preserve"> для внедрения и использования инновационных технологий на финансовом рынке;</w:t>
      </w:r>
    </w:p>
    <w:p w:rsidR="0068434D" w:rsidRPr="009A41D5"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9A41D5">
        <w:rPr>
          <w:rFonts w:ascii="Times New Roman" w:hAnsi="Times New Roman"/>
          <w:color w:val="000000"/>
          <w:sz w:val="28"/>
          <w:szCs w:val="28"/>
        </w:rPr>
        <w:t>принят</w:t>
      </w:r>
      <w:r w:rsidR="00266D7D">
        <w:rPr>
          <w:rFonts w:ascii="Times New Roman" w:hAnsi="Times New Roman"/>
          <w:color w:val="000000"/>
          <w:sz w:val="28"/>
          <w:szCs w:val="28"/>
        </w:rPr>
        <w:t>ие</w:t>
      </w:r>
      <w:r w:rsidRPr="009A41D5">
        <w:rPr>
          <w:rFonts w:ascii="Times New Roman" w:hAnsi="Times New Roman"/>
          <w:color w:val="000000"/>
          <w:sz w:val="28"/>
          <w:szCs w:val="28"/>
        </w:rPr>
        <w:t xml:space="preserve"> нормативны</w:t>
      </w:r>
      <w:r w:rsidR="00266D7D">
        <w:rPr>
          <w:rFonts w:ascii="Times New Roman" w:hAnsi="Times New Roman"/>
          <w:color w:val="000000"/>
          <w:sz w:val="28"/>
          <w:szCs w:val="28"/>
        </w:rPr>
        <w:t>х</w:t>
      </w:r>
      <w:r w:rsidRPr="009A41D5">
        <w:rPr>
          <w:rFonts w:ascii="Times New Roman" w:hAnsi="Times New Roman"/>
          <w:color w:val="000000"/>
          <w:sz w:val="28"/>
          <w:szCs w:val="28"/>
        </w:rPr>
        <w:t xml:space="preserve"> правовы</w:t>
      </w:r>
      <w:r w:rsidR="00266D7D">
        <w:rPr>
          <w:rFonts w:ascii="Times New Roman" w:hAnsi="Times New Roman"/>
          <w:color w:val="000000"/>
          <w:sz w:val="28"/>
          <w:szCs w:val="28"/>
        </w:rPr>
        <w:t>х</w:t>
      </w:r>
      <w:r w:rsidRPr="009A41D5">
        <w:rPr>
          <w:rFonts w:ascii="Times New Roman" w:hAnsi="Times New Roman"/>
          <w:color w:val="000000"/>
          <w:sz w:val="28"/>
          <w:szCs w:val="28"/>
        </w:rPr>
        <w:t xml:space="preserve"> акт</w:t>
      </w:r>
      <w:r w:rsidR="00266D7D">
        <w:rPr>
          <w:rFonts w:ascii="Times New Roman" w:hAnsi="Times New Roman"/>
          <w:color w:val="000000"/>
          <w:sz w:val="28"/>
          <w:szCs w:val="28"/>
        </w:rPr>
        <w:t>ов</w:t>
      </w:r>
      <w:r w:rsidRPr="009A41D5">
        <w:rPr>
          <w:rFonts w:ascii="Times New Roman" w:hAnsi="Times New Roman"/>
          <w:color w:val="000000"/>
          <w:sz w:val="28"/>
          <w:szCs w:val="28"/>
        </w:rPr>
        <w:t xml:space="preserve"> в целях стимулирования развития цифровой экономики;</w:t>
      </w:r>
    </w:p>
    <w:p w:rsidR="0068434D" w:rsidRPr="009A41D5"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9A41D5">
        <w:rPr>
          <w:rFonts w:ascii="Times New Roman" w:hAnsi="Times New Roman"/>
          <w:color w:val="000000"/>
          <w:sz w:val="28"/>
          <w:szCs w:val="28"/>
        </w:rPr>
        <w:t>реализ</w:t>
      </w:r>
      <w:r w:rsidR="00266D7D">
        <w:rPr>
          <w:rFonts w:ascii="Times New Roman" w:hAnsi="Times New Roman"/>
          <w:color w:val="000000"/>
          <w:sz w:val="28"/>
          <w:szCs w:val="28"/>
        </w:rPr>
        <w:t>ация</w:t>
      </w:r>
      <w:r w:rsidRPr="009A41D5">
        <w:rPr>
          <w:rFonts w:ascii="Times New Roman" w:hAnsi="Times New Roman"/>
          <w:color w:val="000000"/>
          <w:sz w:val="28"/>
          <w:szCs w:val="28"/>
        </w:rPr>
        <w:t xml:space="preserve"> комплекс</w:t>
      </w:r>
      <w:r w:rsidR="00266D7D">
        <w:rPr>
          <w:rFonts w:ascii="Times New Roman" w:hAnsi="Times New Roman"/>
          <w:color w:val="000000"/>
          <w:sz w:val="28"/>
          <w:szCs w:val="28"/>
        </w:rPr>
        <w:t>а</w:t>
      </w:r>
      <w:r w:rsidRPr="009A41D5">
        <w:rPr>
          <w:rFonts w:ascii="Times New Roman" w:hAnsi="Times New Roman"/>
          <w:color w:val="000000"/>
          <w:sz w:val="28"/>
          <w:szCs w:val="28"/>
        </w:rPr>
        <w:t xml:space="preserve"> мер по совершенствованию механизмов стандартизации;</w:t>
      </w:r>
    </w:p>
    <w:p w:rsidR="0068434D" w:rsidRPr="009A41D5" w:rsidRDefault="00266D7D" w:rsidP="00B963DF">
      <w:pPr>
        <w:autoSpaceDE w:val="0"/>
        <w:autoSpaceDN w:val="0"/>
        <w:adjustRightInd w:val="0"/>
        <w:spacing w:after="0" w:line="315" w:lineRule="exact"/>
        <w:ind w:firstLine="709"/>
        <w:jc w:val="both"/>
        <w:rPr>
          <w:rFonts w:ascii="Times New Roman" w:hAnsi="Times New Roman"/>
          <w:color w:val="000000"/>
          <w:sz w:val="28"/>
          <w:szCs w:val="28"/>
        </w:rPr>
      </w:pPr>
      <w:r>
        <w:rPr>
          <w:rFonts w:ascii="Times New Roman" w:hAnsi="Times New Roman"/>
          <w:color w:val="000000"/>
          <w:sz w:val="28"/>
          <w:szCs w:val="28"/>
        </w:rPr>
        <w:t>создание</w:t>
      </w:r>
      <w:r w:rsidR="0068434D" w:rsidRPr="009A41D5">
        <w:rPr>
          <w:rFonts w:ascii="Times New Roman" w:hAnsi="Times New Roman"/>
          <w:color w:val="000000"/>
          <w:sz w:val="28"/>
          <w:szCs w:val="28"/>
        </w:rPr>
        <w:t xml:space="preserve"> правовы</w:t>
      </w:r>
      <w:r>
        <w:rPr>
          <w:rFonts w:ascii="Times New Roman" w:hAnsi="Times New Roman"/>
          <w:color w:val="000000"/>
          <w:sz w:val="28"/>
          <w:szCs w:val="28"/>
        </w:rPr>
        <w:t>х условий</w:t>
      </w:r>
      <w:r w:rsidR="0068434D" w:rsidRPr="009A41D5">
        <w:rPr>
          <w:rFonts w:ascii="Times New Roman" w:hAnsi="Times New Roman"/>
          <w:color w:val="000000"/>
          <w:sz w:val="28"/>
          <w:szCs w:val="28"/>
        </w:rPr>
        <w:t xml:space="preserve"> в сфере судопроизводства и нотариата в связи с развитием цифровой экономики;</w:t>
      </w:r>
    </w:p>
    <w:p w:rsidR="0068434D" w:rsidRPr="009A41D5" w:rsidRDefault="00266D7D" w:rsidP="00B963DF">
      <w:pPr>
        <w:autoSpaceDE w:val="0"/>
        <w:autoSpaceDN w:val="0"/>
        <w:adjustRightInd w:val="0"/>
        <w:spacing w:after="0" w:line="315"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обеспечение </w:t>
      </w:r>
      <w:r w:rsidR="0068434D" w:rsidRPr="009A41D5">
        <w:rPr>
          <w:rFonts w:ascii="Times New Roman" w:hAnsi="Times New Roman"/>
          <w:color w:val="000000"/>
          <w:sz w:val="28"/>
          <w:szCs w:val="28"/>
        </w:rPr>
        <w:t>правовы</w:t>
      </w:r>
      <w:r>
        <w:rPr>
          <w:rFonts w:ascii="Times New Roman" w:hAnsi="Times New Roman"/>
          <w:color w:val="000000"/>
          <w:sz w:val="28"/>
          <w:szCs w:val="28"/>
        </w:rPr>
        <w:t>х</w:t>
      </w:r>
      <w:r w:rsidR="0068434D" w:rsidRPr="009A41D5">
        <w:rPr>
          <w:rFonts w:ascii="Times New Roman" w:hAnsi="Times New Roman"/>
          <w:color w:val="000000"/>
          <w:sz w:val="28"/>
          <w:szCs w:val="28"/>
        </w:rPr>
        <w:t xml:space="preserve"> условия для внедрения новых правил сбора отчетности, в том числе статистической информации;</w:t>
      </w:r>
    </w:p>
    <w:p w:rsidR="0068434D" w:rsidRPr="009A41D5"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9A41D5">
        <w:rPr>
          <w:rFonts w:ascii="Times New Roman" w:hAnsi="Times New Roman"/>
          <w:color w:val="000000"/>
          <w:sz w:val="28"/>
          <w:szCs w:val="28"/>
        </w:rPr>
        <w:t>определен</w:t>
      </w:r>
      <w:r w:rsidR="00266D7D">
        <w:rPr>
          <w:rFonts w:ascii="Times New Roman" w:hAnsi="Times New Roman"/>
          <w:color w:val="000000"/>
          <w:sz w:val="28"/>
          <w:szCs w:val="28"/>
        </w:rPr>
        <w:t>ие</w:t>
      </w:r>
      <w:r w:rsidRPr="009A41D5">
        <w:rPr>
          <w:rFonts w:ascii="Times New Roman" w:hAnsi="Times New Roman"/>
          <w:color w:val="000000"/>
          <w:sz w:val="28"/>
          <w:szCs w:val="28"/>
        </w:rPr>
        <w:t xml:space="preserve"> позици</w:t>
      </w:r>
      <w:r w:rsidR="00266D7D">
        <w:rPr>
          <w:rFonts w:ascii="Times New Roman" w:hAnsi="Times New Roman"/>
          <w:color w:val="000000"/>
          <w:sz w:val="28"/>
          <w:szCs w:val="28"/>
        </w:rPr>
        <w:t>и</w:t>
      </w:r>
      <w:r w:rsidRPr="009A41D5">
        <w:rPr>
          <w:rFonts w:ascii="Times New Roman" w:hAnsi="Times New Roman"/>
          <w:color w:val="000000"/>
          <w:sz w:val="28"/>
          <w:szCs w:val="28"/>
        </w:rPr>
        <w:t xml:space="preserve"> Российской Федерации по вопросам, способствующим развитию цифровой экономики и гармонизации подходов в этой сфере на пространстве ЕАЭС.</w:t>
      </w:r>
    </w:p>
    <w:p w:rsidR="0068434D" w:rsidRPr="009A41D5"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9A41D5">
        <w:rPr>
          <w:rFonts w:ascii="Times New Roman" w:hAnsi="Times New Roman"/>
          <w:color w:val="000000"/>
          <w:sz w:val="28"/>
          <w:szCs w:val="28"/>
        </w:rPr>
        <w:t>Для достижения каждого из указанных результатов определен</w:t>
      </w:r>
      <w:r w:rsidR="008E1E23">
        <w:rPr>
          <w:rFonts w:ascii="Times New Roman" w:hAnsi="Times New Roman"/>
          <w:color w:val="000000"/>
          <w:sz w:val="28"/>
          <w:szCs w:val="28"/>
        </w:rPr>
        <w:t>ы</w:t>
      </w:r>
      <w:r w:rsidRPr="009A41D5">
        <w:rPr>
          <w:rFonts w:ascii="Times New Roman" w:hAnsi="Times New Roman"/>
          <w:color w:val="000000"/>
          <w:sz w:val="28"/>
          <w:szCs w:val="28"/>
        </w:rPr>
        <w:t xml:space="preserve"> широкий перечень мероприятий, включающих прежде всего принятие необходимых нормативных правовых актов, контрольные сроки каждого из мероприятий, конкретные исполнители (как органы федеральной исполнительной власти, так организации</w:t>
      </w:r>
      <w:r w:rsidR="00266D7D">
        <w:rPr>
          <w:rFonts w:ascii="Times New Roman" w:hAnsi="Times New Roman"/>
          <w:color w:val="000000"/>
          <w:sz w:val="28"/>
          <w:szCs w:val="28"/>
        </w:rPr>
        <w:t>-</w:t>
      </w:r>
      <w:r w:rsidRPr="009A41D5">
        <w:rPr>
          <w:rFonts w:ascii="Times New Roman" w:hAnsi="Times New Roman"/>
          <w:color w:val="000000"/>
          <w:sz w:val="28"/>
          <w:szCs w:val="28"/>
        </w:rPr>
        <w:t>исполнители</w:t>
      </w:r>
      <w:r w:rsidR="00266D7D">
        <w:rPr>
          <w:rFonts w:ascii="Times New Roman" w:hAnsi="Times New Roman"/>
          <w:color w:val="000000"/>
          <w:sz w:val="28"/>
          <w:szCs w:val="28"/>
        </w:rPr>
        <w:t>)</w:t>
      </w:r>
      <w:r w:rsidRPr="009A41D5">
        <w:rPr>
          <w:rFonts w:ascii="Times New Roman" w:hAnsi="Times New Roman"/>
          <w:color w:val="000000"/>
          <w:sz w:val="28"/>
          <w:szCs w:val="28"/>
        </w:rPr>
        <w:t>, а также предусмотрены контрольные мероприятия.</w:t>
      </w:r>
    </w:p>
    <w:p w:rsidR="0068434D" w:rsidRPr="009A41D5"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9A41D5">
        <w:rPr>
          <w:rFonts w:ascii="Times New Roman" w:hAnsi="Times New Roman"/>
          <w:color w:val="000000"/>
          <w:sz w:val="28"/>
          <w:szCs w:val="28"/>
        </w:rPr>
        <w:t xml:space="preserve">Предусмотренные в соответствующих планах мероприятия должны быть реализованы в </w:t>
      </w:r>
      <w:r w:rsidR="00266D7D">
        <w:rPr>
          <w:rFonts w:ascii="Times New Roman" w:hAnsi="Times New Roman"/>
          <w:color w:val="000000"/>
          <w:sz w:val="28"/>
          <w:szCs w:val="28"/>
        </w:rPr>
        <w:t>трех</w:t>
      </w:r>
      <w:r w:rsidRPr="009A41D5">
        <w:rPr>
          <w:rFonts w:ascii="Times New Roman" w:hAnsi="Times New Roman"/>
          <w:color w:val="000000"/>
          <w:sz w:val="28"/>
          <w:szCs w:val="28"/>
        </w:rPr>
        <w:t>летний период (2018</w:t>
      </w:r>
      <w:r w:rsidR="00F9318B">
        <w:rPr>
          <w:rFonts w:ascii="Times New Roman" w:hAnsi="Times New Roman"/>
          <w:color w:val="000000"/>
          <w:sz w:val="28"/>
          <w:szCs w:val="28"/>
        </w:rPr>
        <w:t>–</w:t>
      </w:r>
      <w:r w:rsidRPr="009A41D5">
        <w:rPr>
          <w:rFonts w:ascii="Times New Roman" w:hAnsi="Times New Roman"/>
          <w:color w:val="000000"/>
          <w:sz w:val="28"/>
          <w:szCs w:val="28"/>
        </w:rPr>
        <w:t>2020</w:t>
      </w:r>
      <w:r w:rsidR="008E1E23">
        <w:rPr>
          <w:rFonts w:ascii="Times New Roman" w:hAnsi="Times New Roman"/>
          <w:color w:val="000000"/>
          <w:sz w:val="28"/>
          <w:szCs w:val="28"/>
        </w:rPr>
        <w:t xml:space="preserve"> годы</w:t>
      </w:r>
      <w:r w:rsidRPr="009A41D5">
        <w:rPr>
          <w:rFonts w:ascii="Times New Roman" w:hAnsi="Times New Roman"/>
          <w:color w:val="000000"/>
          <w:sz w:val="28"/>
          <w:szCs w:val="28"/>
        </w:rPr>
        <w:t>), при этом основная масса мероприятий</w:t>
      </w:r>
      <w:r w:rsidR="00F9318B">
        <w:rPr>
          <w:rFonts w:ascii="Times New Roman" w:hAnsi="Times New Roman"/>
          <w:color w:val="000000"/>
          <w:sz w:val="28"/>
          <w:szCs w:val="28"/>
        </w:rPr>
        <w:t xml:space="preserve"> – </w:t>
      </w:r>
      <w:r w:rsidRPr="009A41D5">
        <w:rPr>
          <w:rFonts w:ascii="Times New Roman" w:hAnsi="Times New Roman"/>
          <w:color w:val="000000"/>
          <w:sz w:val="28"/>
          <w:szCs w:val="28"/>
        </w:rPr>
        <w:t>уже в период 2018</w:t>
      </w:r>
      <w:r w:rsidR="00F9318B">
        <w:rPr>
          <w:rFonts w:ascii="Times New Roman" w:hAnsi="Times New Roman"/>
          <w:color w:val="000000"/>
          <w:sz w:val="28"/>
          <w:szCs w:val="28"/>
        </w:rPr>
        <w:t>–</w:t>
      </w:r>
      <w:r w:rsidRPr="009A41D5">
        <w:rPr>
          <w:rFonts w:ascii="Times New Roman" w:hAnsi="Times New Roman"/>
          <w:color w:val="000000"/>
          <w:sz w:val="28"/>
          <w:szCs w:val="28"/>
        </w:rPr>
        <w:t>2019 г</w:t>
      </w:r>
      <w:r w:rsidR="00DC7EB9">
        <w:rPr>
          <w:rFonts w:ascii="Times New Roman" w:hAnsi="Times New Roman"/>
          <w:color w:val="000000"/>
          <w:sz w:val="28"/>
          <w:szCs w:val="28"/>
        </w:rPr>
        <w:t>од</w:t>
      </w:r>
      <w:r w:rsidR="008E1E23">
        <w:rPr>
          <w:rFonts w:ascii="Times New Roman" w:hAnsi="Times New Roman"/>
          <w:color w:val="000000"/>
          <w:sz w:val="28"/>
          <w:szCs w:val="28"/>
        </w:rPr>
        <w:t>ов</w:t>
      </w:r>
      <w:r w:rsidRPr="009A41D5">
        <w:rPr>
          <w:rFonts w:ascii="Times New Roman" w:hAnsi="Times New Roman"/>
          <w:color w:val="000000"/>
          <w:sz w:val="28"/>
          <w:szCs w:val="28"/>
        </w:rPr>
        <w:t>.</w:t>
      </w:r>
    </w:p>
    <w:p w:rsidR="0068434D" w:rsidRPr="009A41D5"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9A41D5">
        <w:rPr>
          <w:rFonts w:ascii="Times New Roman" w:hAnsi="Times New Roman"/>
          <w:color w:val="000000"/>
          <w:sz w:val="28"/>
          <w:szCs w:val="28"/>
        </w:rPr>
        <w:t xml:space="preserve">В План включены направления: идентификация в цифровой среде; унификация квалифицированной электронной подписи и ее визуализация; определение процедур обращения электронных документов; определение сделок и договоров в электронной форме; установление принципов обращения информации и прав на данные; адаптация антимонопольного законодательства к потребностям цифровой экономики; правовое определение краудфандинга; национальная стандартизация в области информационной безопасности, в области </w:t>
      </w:r>
      <w:r w:rsidR="004D2C9E">
        <w:rPr>
          <w:rFonts w:ascii="Times New Roman" w:hAnsi="Times New Roman"/>
          <w:color w:val="000000"/>
          <w:sz w:val="28"/>
          <w:szCs w:val="28"/>
        </w:rPr>
        <w:t>«</w:t>
      </w:r>
      <w:r w:rsidRPr="009A41D5">
        <w:rPr>
          <w:rFonts w:ascii="Times New Roman" w:hAnsi="Times New Roman"/>
          <w:color w:val="000000"/>
          <w:sz w:val="28"/>
          <w:szCs w:val="28"/>
        </w:rPr>
        <w:t>умные города</w:t>
      </w:r>
      <w:r w:rsidR="004D2C9E">
        <w:rPr>
          <w:rFonts w:ascii="Times New Roman" w:hAnsi="Times New Roman"/>
          <w:color w:val="000000"/>
          <w:sz w:val="28"/>
          <w:szCs w:val="28"/>
        </w:rPr>
        <w:t>»</w:t>
      </w:r>
      <w:r w:rsidRPr="009A41D5">
        <w:rPr>
          <w:rFonts w:ascii="Times New Roman" w:hAnsi="Times New Roman"/>
          <w:color w:val="000000"/>
          <w:sz w:val="28"/>
          <w:szCs w:val="28"/>
        </w:rPr>
        <w:t xml:space="preserve">, </w:t>
      </w:r>
      <w:r w:rsidR="004D2C9E">
        <w:rPr>
          <w:rFonts w:ascii="Times New Roman" w:hAnsi="Times New Roman"/>
          <w:color w:val="000000"/>
          <w:sz w:val="28"/>
          <w:szCs w:val="28"/>
        </w:rPr>
        <w:t>«</w:t>
      </w:r>
      <w:r w:rsidRPr="009A41D5">
        <w:rPr>
          <w:rFonts w:ascii="Times New Roman" w:hAnsi="Times New Roman"/>
          <w:color w:val="000000"/>
          <w:sz w:val="28"/>
          <w:szCs w:val="28"/>
        </w:rPr>
        <w:t>искусственный интеллект</w:t>
      </w:r>
      <w:r w:rsidR="004D2C9E">
        <w:rPr>
          <w:rFonts w:ascii="Times New Roman" w:hAnsi="Times New Roman"/>
          <w:color w:val="000000"/>
          <w:sz w:val="28"/>
          <w:szCs w:val="28"/>
        </w:rPr>
        <w:t>»</w:t>
      </w:r>
      <w:r w:rsidRPr="009A41D5">
        <w:rPr>
          <w:rFonts w:ascii="Times New Roman" w:hAnsi="Times New Roman"/>
          <w:color w:val="000000"/>
          <w:sz w:val="28"/>
          <w:szCs w:val="28"/>
        </w:rPr>
        <w:t xml:space="preserve"> и киберфизических систем; определение электронного судопроизводства и нотариата, а также другие.</w:t>
      </w:r>
    </w:p>
    <w:p w:rsidR="0068434D" w:rsidRPr="009A41D5"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9A41D5">
        <w:rPr>
          <w:rFonts w:ascii="Times New Roman" w:hAnsi="Times New Roman"/>
          <w:color w:val="000000"/>
          <w:sz w:val="28"/>
          <w:szCs w:val="28"/>
        </w:rPr>
        <w:t>Отдел</w:t>
      </w:r>
      <w:r>
        <w:rPr>
          <w:rFonts w:ascii="Times New Roman" w:hAnsi="Times New Roman"/>
          <w:color w:val="000000"/>
          <w:sz w:val="28"/>
          <w:szCs w:val="28"/>
        </w:rPr>
        <w:t>ьный блок мероприятий посвящен</w:t>
      </w:r>
      <w:r w:rsidRPr="009A41D5">
        <w:rPr>
          <w:rFonts w:ascii="Times New Roman" w:hAnsi="Times New Roman"/>
          <w:color w:val="000000"/>
          <w:sz w:val="28"/>
          <w:szCs w:val="28"/>
        </w:rPr>
        <w:t xml:space="preserve"> совершенствованию антимонопольного законодательства</w:t>
      </w:r>
      <w:r>
        <w:rPr>
          <w:rFonts w:ascii="Times New Roman" w:hAnsi="Times New Roman"/>
          <w:color w:val="000000"/>
          <w:sz w:val="28"/>
          <w:szCs w:val="28"/>
        </w:rPr>
        <w:t xml:space="preserve"> в части его адаптации к условиям цифровой экономики</w:t>
      </w:r>
      <w:r w:rsidRPr="009A41D5">
        <w:rPr>
          <w:rFonts w:ascii="Times New Roman" w:hAnsi="Times New Roman"/>
          <w:color w:val="000000"/>
          <w:sz w:val="28"/>
          <w:szCs w:val="28"/>
        </w:rPr>
        <w:t xml:space="preserve">. </w:t>
      </w:r>
    </w:p>
    <w:p w:rsidR="0068434D" w:rsidRPr="009A41D5"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9A41D5">
        <w:rPr>
          <w:rFonts w:ascii="Times New Roman" w:hAnsi="Times New Roman"/>
          <w:color w:val="000000"/>
          <w:sz w:val="28"/>
          <w:szCs w:val="28"/>
        </w:rPr>
        <w:t xml:space="preserve">Ожидается, что до конца 2018 года в Российской Федерации будет принят федеральный закон, направленный на адаптацию антимонопольного законодательства к потребностям цифровой экономики. </w:t>
      </w:r>
      <w:r>
        <w:rPr>
          <w:rFonts w:ascii="Times New Roman" w:hAnsi="Times New Roman"/>
          <w:color w:val="000000"/>
          <w:sz w:val="28"/>
          <w:szCs w:val="28"/>
        </w:rPr>
        <w:t>Н</w:t>
      </w:r>
      <w:r w:rsidRPr="009A41D5">
        <w:rPr>
          <w:rFonts w:ascii="Times New Roman" w:hAnsi="Times New Roman"/>
          <w:color w:val="000000"/>
          <w:sz w:val="28"/>
          <w:szCs w:val="28"/>
        </w:rPr>
        <w:t xml:space="preserve">а этапе разработки Плана участники предварительно определили, что </w:t>
      </w:r>
      <w:r>
        <w:rPr>
          <w:rFonts w:ascii="Times New Roman" w:hAnsi="Times New Roman"/>
          <w:color w:val="000000"/>
          <w:sz w:val="28"/>
          <w:szCs w:val="28"/>
        </w:rPr>
        <w:t>в рамках данного мероприятия должны быть проработаны следующие аспекты</w:t>
      </w:r>
      <w:r w:rsidRPr="009A41D5">
        <w:rPr>
          <w:rFonts w:ascii="Times New Roman" w:hAnsi="Times New Roman"/>
          <w:color w:val="000000"/>
          <w:sz w:val="28"/>
          <w:szCs w:val="28"/>
        </w:rPr>
        <w:t>:</w:t>
      </w:r>
    </w:p>
    <w:p w:rsidR="0068434D" w:rsidRPr="009A41D5"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9A41D5">
        <w:rPr>
          <w:rFonts w:ascii="Times New Roman" w:hAnsi="Times New Roman"/>
          <w:color w:val="000000"/>
          <w:sz w:val="28"/>
          <w:szCs w:val="28"/>
        </w:rPr>
        <w:t>дополнени</w:t>
      </w:r>
      <w:r w:rsidR="008E1E23">
        <w:rPr>
          <w:rFonts w:ascii="Times New Roman" w:hAnsi="Times New Roman"/>
          <w:color w:val="000000"/>
          <w:sz w:val="28"/>
          <w:szCs w:val="28"/>
        </w:rPr>
        <w:t>е</w:t>
      </w:r>
      <w:r w:rsidRPr="009A41D5">
        <w:rPr>
          <w:rFonts w:ascii="Times New Roman" w:hAnsi="Times New Roman"/>
          <w:color w:val="000000"/>
          <w:sz w:val="28"/>
          <w:szCs w:val="28"/>
        </w:rPr>
        <w:t xml:space="preserve"> и уточнени</w:t>
      </w:r>
      <w:r w:rsidR="008E1E23">
        <w:rPr>
          <w:rFonts w:ascii="Times New Roman" w:hAnsi="Times New Roman"/>
          <w:color w:val="000000"/>
          <w:sz w:val="28"/>
          <w:szCs w:val="28"/>
        </w:rPr>
        <w:t>е</w:t>
      </w:r>
      <w:r w:rsidRPr="009A41D5">
        <w:rPr>
          <w:rFonts w:ascii="Times New Roman" w:hAnsi="Times New Roman"/>
          <w:color w:val="000000"/>
          <w:sz w:val="28"/>
          <w:szCs w:val="28"/>
        </w:rPr>
        <w:t xml:space="preserve"> терминологического аппарата и базовых понятий конкурентного законодательства;</w:t>
      </w:r>
    </w:p>
    <w:p w:rsidR="0068434D" w:rsidRPr="009A41D5"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9A41D5">
        <w:rPr>
          <w:rFonts w:ascii="Times New Roman" w:hAnsi="Times New Roman"/>
          <w:color w:val="000000"/>
          <w:sz w:val="28"/>
          <w:szCs w:val="28"/>
        </w:rPr>
        <w:t>выработк</w:t>
      </w:r>
      <w:r w:rsidR="008E1E23">
        <w:rPr>
          <w:rFonts w:ascii="Times New Roman" w:hAnsi="Times New Roman"/>
          <w:color w:val="000000"/>
          <w:sz w:val="28"/>
          <w:szCs w:val="28"/>
        </w:rPr>
        <w:t>а</w:t>
      </w:r>
      <w:r w:rsidRPr="009A41D5">
        <w:rPr>
          <w:rFonts w:ascii="Times New Roman" w:hAnsi="Times New Roman"/>
          <w:color w:val="000000"/>
          <w:sz w:val="28"/>
          <w:szCs w:val="28"/>
        </w:rPr>
        <w:t xml:space="preserve"> подходов в отношении особенностей рассмотрения дел в сфере злоупотребления доминирующим положением, антиконкурентных соглашений (согласованных действий) и незаконной координации в сфере цифровых технологий, включая деятельность с использованием цифровых алгоритмов и платформ;</w:t>
      </w:r>
    </w:p>
    <w:p w:rsidR="0068434D" w:rsidRPr="009A41D5" w:rsidRDefault="0068434D" w:rsidP="00B963DF">
      <w:pPr>
        <w:autoSpaceDE w:val="0"/>
        <w:autoSpaceDN w:val="0"/>
        <w:adjustRightInd w:val="0"/>
        <w:spacing w:after="0" w:line="315" w:lineRule="exact"/>
        <w:ind w:firstLine="709"/>
        <w:jc w:val="both"/>
        <w:rPr>
          <w:rFonts w:ascii="Times New Roman" w:hAnsi="Times New Roman"/>
          <w:color w:val="000000"/>
          <w:sz w:val="28"/>
          <w:szCs w:val="28"/>
        </w:rPr>
      </w:pPr>
      <w:r w:rsidRPr="009A41D5">
        <w:rPr>
          <w:rFonts w:ascii="Times New Roman" w:hAnsi="Times New Roman"/>
          <w:color w:val="000000"/>
          <w:sz w:val="28"/>
          <w:szCs w:val="28"/>
        </w:rPr>
        <w:t>определени</w:t>
      </w:r>
      <w:r w:rsidR="008E1E23">
        <w:rPr>
          <w:rFonts w:ascii="Times New Roman" w:hAnsi="Times New Roman"/>
          <w:color w:val="000000"/>
          <w:sz w:val="28"/>
          <w:szCs w:val="28"/>
        </w:rPr>
        <w:t>е</w:t>
      </w:r>
      <w:r w:rsidRPr="009A41D5">
        <w:rPr>
          <w:rFonts w:ascii="Times New Roman" w:hAnsi="Times New Roman"/>
          <w:color w:val="000000"/>
          <w:sz w:val="28"/>
          <w:szCs w:val="28"/>
        </w:rPr>
        <w:t xml:space="preserve"> правил проведения контроля экономической концентрации в условиях цифровой экономики с учетом эффектов для инновационного развития; правил определения географических и товарных границ рынков в условиях цифровой экономики;</w:t>
      </w:r>
    </w:p>
    <w:p w:rsidR="0068434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9A41D5">
        <w:rPr>
          <w:rFonts w:ascii="Times New Roman" w:hAnsi="Times New Roman"/>
          <w:color w:val="000000"/>
          <w:sz w:val="28"/>
          <w:szCs w:val="28"/>
        </w:rPr>
        <w:t>выявлени</w:t>
      </w:r>
      <w:r w:rsidR="008E1E23">
        <w:rPr>
          <w:rFonts w:ascii="Times New Roman" w:hAnsi="Times New Roman"/>
          <w:color w:val="000000"/>
          <w:sz w:val="28"/>
          <w:szCs w:val="28"/>
        </w:rPr>
        <w:t>е</w:t>
      </w:r>
      <w:r w:rsidRPr="009A41D5">
        <w:rPr>
          <w:rFonts w:ascii="Times New Roman" w:hAnsi="Times New Roman"/>
          <w:color w:val="000000"/>
          <w:sz w:val="28"/>
          <w:szCs w:val="28"/>
        </w:rPr>
        <w:t xml:space="preserve"> типовых случаев злоупотребления правами на результаты интеллектуальной деятельности путем ограничения конкуренции; внесени</w:t>
      </w:r>
      <w:r w:rsidR="008E1E23">
        <w:rPr>
          <w:rFonts w:ascii="Times New Roman" w:hAnsi="Times New Roman"/>
          <w:color w:val="000000"/>
          <w:sz w:val="28"/>
          <w:szCs w:val="28"/>
        </w:rPr>
        <w:t>е</w:t>
      </w:r>
      <w:r w:rsidRPr="009A41D5">
        <w:rPr>
          <w:rFonts w:ascii="Times New Roman" w:hAnsi="Times New Roman"/>
          <w:color w:val="000000"/>
          <w:sz w:val="28"/>
          <w:szCs w:val="28"/>
        </w:rPr>
        <w:t xml:space="preserve"> изменений в нормативные правовые акты в области применения антимонопольного законодательства к отношениям, связанным с использованием объектов</w:t>
      </w:r>
      <w:r>
        <w:rPr>
          <w:rFonts w:ascii="Times New Roman" w:hAnsi="Times New Roman"/>
          <w:color w:val="000000"/>
          <w:sz w:val="28"/>
          <w:szCs w:val="28"/>
        </w:rPr>
        <w:t xml:space="preserve"> интеллектуальной собственности.</w:t>
      </w:r>
    </w:p>
    <w:p w:rsidR="0068434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C007B">
        <w:rPr>
          <w:rFonts w:ascii="Times New Roman" w:hAnsi="Times New Roman"/>
          <w:color w:val="000000"/>
          <w:sz w:val="28"/>
          <w:szCs w:val="28"/>
        </w:rPr>
        <w:t>2.</w:t>
      </w:r>
      <w:r w:rsidR="000C007B">
        <w:rPr>
          <w:rFonts w:ascii="Times New Roman" w:hAnsi="Times New Roman"/>
          <w:i/>
          <w:color w:val="000000"/>
          <w:sz w:val="28"/>
          <w:szCs w:val="28"/>
        </w:rPr>
        <w:t> </w:t>
      </w:r>
      <w:r w:rsidRPr="003972D8">
        <w:rPr>
          <w:rFonts w:ascii="Times New Roman" w:hAnsi="Times New Roman"/>
          <w:i/>
          <w:color w:val="000000"/>
          <w:sz w:val="28"/>
          <w:szCs w:val="28"/>
        </w:rPr>
        <w:t>Формирование исследовательских компетенций и технических заделов</w:t>
      </w:r>
      <w:r>
        <w:rPr>
          <w:rFonts w:ascii="Times New Roman" w:hAnsi="Times New Roman"/>
          <w:color w:val="000000"/>
          <w:sz w:val="28"/>
          <w:szCs w:val="28"/>
        </w:rPr>
        <w:t xml:space="preserve"> предусматривает с</w:t>
      </w:r>
      <w:r w:rsidRPr="001514AC">
        <w:rPr>
          <w:rFonts w:ascii="Times New Roman" w:hAnsi="Times New Roman"/>
          <w:color w:val="000000"/>
          <w:sz w:val="28"/>
          <w:szCs w:val="28"/>
        </w:rPr>
        <w:t>оздание системы поддержки поисковых, прикладных исследований в области цифровой экономики, обеспечивающей технологическую независимость, национальную безопасность и конкурентоспособность на мировых рынках</w:t>
      </w:r>
      <w:r>
        <w:rPr>
          <w:rFonts w:ascii="Times New Roman" w:hAnsi="Times New Roman"/>
          <w:color w:val="000000"/>
          <w:sz w:val="28"/>
          <w:szCs w:val="28"/>
        </w:rPr>
        <w:t>.</w:t>
      </w:r>
    </w:p>
    <w:p w:rsidR="0068434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В качестве реализации ожидается, что будет сформирован спрос на продукцию российского происхождения в части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технологий со стороны широкого круга субъектов экономики, компании-лидеры обеспечат значимый вклад в реализацию повестки цифровой трансформации экономики Р</w:t>
      </w:r>
      <w:r w:rsidR="00BA6809">
        <w:rPr>
          <w:rFonts w:ascii="Times New Roman" w:hAnsi="Times New Roman"/>
          <w:color w:val="000000"/>
          <w:sz w:val="28"/>
          <w:szCs w:val="28"/>
        </w:rPr>
        <w:t>оссийской Федерации</w:t>
      </w:r>
      <w:r w:rsidRPr="00AD7ED9">
        <w:rPr>
          <w:rFonts w:ascii="Times New Roman" w:hAnsi="Times New Roman"/>
          <w:color w:val="000000"/>
          <w:sz w:val="28"/>
          <w:szCs w:val="28"/>
        </w:rPr>
        <w:t xml:space="preserve">, а также будет интенсифицирован спрос на исследования и разработки в области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технологий цифровой экономики и др.</w:t>
      </w:r>
    </w:p>
    <w:p w:rsidR="0068434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C007B">
        <w:rPr>
          <w:rFonts w:ascii="Times New Roman" w:hAnsi="Times New Roman"/>
          <w:color w:val="000000"/>
          <w:sz w:val="28"/>
          <w:szCs w:val="28"/>
        </w:rPr>
        <w:t>3.</w:t>
      </w:r>
      <w:r w:rsidR="000C007B">
        <w:rPr>
          <w:rFonts w:ascii="Times New Roman" w:hAnsi="Times New Roman"/>
          <w:i/>
          <w:color w:val="000000"/>
          <w:sz w:val="28"/>
          <w:szCs w:val="28"/>
        </w:rPr>
        <w:t> </w:t>
      </w:r>
      <w:r w:rsidRPr="003972D8">
        <w:rPr>
          <w:rFonts w:ascii="Times New Roman" w:hAnsi="Times New Roman"/>
          <w:i/>
          <w:color w:val="000000"/>
          <w:sz w:val="28"/>
          <w:szCs w:val="28"/>
        </w:rPr>
        <w:t>Информационная инфраструктура</w:t>
      </w:r>
      <w:r>
        <w:rPr>
          <w:rFonts w:ascii="Times New Roman" w:hAnsi="Times New Roman"/>
          <w:color w:val="000000"/>
          <w:sz w:val="28"/>
          <w:szCs w:val="28"/>
        </w:rPr>
        <w:t xml:space="preserve"> направлена на с</w:t>
      </w:r>
      <w:r w:rsidRPr="001514AC">
        <w:rPr>
          <w:rFonts w:ascii="Times New Roman" w:hAnsi="Times New Roman"/>
          <w:color w:val="000000"/>
          <w:sz w:val="28"/>
          <w:szCs w:val="28"/>
        </w:rPr>
        <w:t xml:space="preserve">оздание отечественных сетей связи, </w:t>
      </w:r>
      <w:r w:rsidR="004F0292">
        <w:rPr>
          <w:rFonts w:ascii="Times New Roman" w:hAnsi="Times New Roman"/>
          <w:color w:val="000000"/>
          <w:sz w:val="28"/>
          <w:szCs w:val="28"/>
        </w:rPr>
        <w:t>центров обработки данных (ЦОД)</w:t>
      </w:r>
      <w:r w:rsidRPr="001514AC">
        <w:rPr>
          <w:rFonts w:ascii="Times New Roman" w:hAnsi="Times New Roman"/>
          <w:color w:val="000000"/>
          <w:sz w:val="28"/>
          <w:szCs w:val="28"/>
        </w:rPr>
        <w:t>, обеспечение доступа к создаваемым цифровым данным и внедрение цифровых платформ</w:t>
      </w:r>
      <w:r>
        <w:rPr>
          <w:rFonts w:ascii="Times New Roman" w:hAnsi="Times New Roman"/>
          <w:color w:val="000000"/>
          <w:sz w:val="28"/>
          <w:szCs w:val="28"/>
        </w:rPr>
        <w:t>.</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 xml:space="preserve">Среди целей направления Плана мероприятий </w:t>
      </w:r>
      <w:r w:rsidR="004D2C9E">
        <w:rPr>
          <w:rFonts w:ascii="Times New Roman" w:hAnsi="Times New Roman"/>
          <w:color w:val="000000"/>
          <w:sz w:val="28"/>
          <w:szCs w:val="28"/>
        </w:rPr>
        <w:t>«</w:t>
      </w:r>
      <w:r w:rsidRPr="000F0B2D">
        <w:rPr>
          <w:rFonts w:ascii="Times New Roman" w:hAnsi="Times New Roman"/>
          <w:color w:val="000000"/>
          <w:sz w:val="28"/>
          <w:szCs w:val="28"/>
        </w:rPr>
        <w:t>Информационная инфраструктура</w:t>
      </w:r>
      <w:r w:rsidR="004D2C9E">
        <w:rPr>
          <w:rFonts w:ascii="Times New Roman" w:hAnsi="Times New Roman"/>
          <w:color w:val="000000"/>
          <w:sz w:val="28"/>
          <w:szCs w:val="28"/>
        </w:rPr>
        <w:t>»</w:t>
      </w:r>
      <w:r w:rsidRPr="000F0B2D">
        <w:rPr>
          <w:rFonts w:ascii="Times New Roman" w:hAnsi="Times New Roman"/>
          <w:color w:val="000000"/>
          <w:sz w:val="28"/>
          <w:szCs w:val="28"/>
        </w:rPr>
        <w:t xml:space="preserve"> определены следующие:</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сети связи удовлетворяют потребности экономики по сбору и передаче данных граждан, бизнеса и власти с учетом технических требований, предъявляемых цифровыми технологиями</w:t>
      </w:r>
      <w:r w:rsidR="00DC7EB9">
        <w:rPr>
          <w:rFonts w:ascii="Times New Roman" w:hAnsi="Times New Roman"/>
          <w:color w:val="000000"/>
          <w:sz w:val="28"/>
          <w:szCs w:val="28"/>
        </w:rPr>
        <w:t>;</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отечественная инфраструктура хранения и обработки данных обеспечивает предоставление гражданам, бизнесу и власти доступных, устойчивых, безопасных и экономически эффективных услуг, в том числе позволяет экспортировать услуги по хранению и обработке данных</w:t>
      </w:r>
      <w:r w:rsidR="00DC7EB9">
        <w:rPr>
          <w:rFonts w:ascii="Times New Roman" w:hAnsi="Times New Roman"/>
          <w:color w:val="000000"/>
          <w:sz w:val="28"/>
          <w:szCs w:val="28"/>
        </w:rPr>
        <w:t>;</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разработаны и функционируют цифровые платформы работы с данными для обеспечения потребностей граждан, бизнеса и власти.</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При этом ожидается, что в результате выполне</w:t>
      </w:r>
      <w:r>
        <w:rPr>
          <w:rFonts w:ascii="Times New Roman" w:hAnsi="Times New Roman"/>
          <w:color w:val="000000"/>
          <w:sz w:val="28"/>
          <w:szCs w:val="28"/>
        </w:rPr>
        <w:t>ния предусмотренных мероприятий будут достигнуты определенные показатели</w:t>
      </w:r>
      <w:r w:rsidRPr="000F0B2D">
        <w:rPr>
          <w:rFonts w:ascii="Times New Roman" w:hAnsi="Times New Roman"/>
          <w:color w:val="000000"/>
          <w:sz w:val="28"/>
          <w:szCs w:val="28"/>
        </w:rPr>
        <w:t>:</w:t>
      </w:r>
    </w:p>
    <w:p w:rsidR="0068434D" w:rsidRPr="000F0B2D" w:rsidRDefault="0068434D" w:rsidP="00544A93">
      <w:pPr>
        <w:pStyle w:val="22"/>
        <w:spacing w:line="315" w:lineRule="exact"/>
      </w:pPr>
      <w:r w:rsidRPr="000F0B2D">
        <w:t xml:space="preserve">в рамках достижения цели </w:t>
      </w:r>
      <w:r w:rsidR="004D2C9E">
        <w:t>«</w:t>
      </w:r>
      <w:r w:rsidRPr="000F0B2D">
        <w:t>Сети связи удовлетворяют потребности экономики по сбору и передаче данных граждан, бизнеса и власти с учетом технических требований, предъявляемых цифровыми технологиями</w:t>
      </w:r>
      <w:r w:rsidR="004D2C9E">
        <w:t>»</w:t>
      </w:r>
      <w:r w:rsidRPr="000F0B2D">
        <w:t xml:space="preserve"> будет достигнуто: дол</w:t>
      </w:r>
      <w:r w:rsidR="008E1E23">
        <w:t>и домохозяйств</w:t>
      </w:r>
      <w:r w:rsidRPr="000F0B2D">
        <w:t xml:space="preserve"> </w:t>
      </w:r>
      <w:r w:rsidR="008E1E23">
        <w:t>и</w:t>
      </w:r>
      <w:r w:rsidRPr="000F0B2D">
        <w:t xml:space="preserve"> лечебно-профилактических организаций с числом автоматизированных рабочих мест более 5, образовательных учреждений, органов государственной власти, органов местного самоуправления, у которых есть широкополосный доступ к Интернет</w:t>
      </w:r>
      <w:r w:rsidR="008E1E23">
        <w:t>у</w:t>
      </w:r>
      <w:r w:rsidRPr="000F0B2D">
        <w:t xml:space="preserve"> (не менее 100 Мбит/с), а также создан дополнительный механизм стимулирования инвестиционной активности операторов для развития сетей связи на основе передовых технологий;</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 xml:space="preserve">в рамках достижения цели </w:t>
      </w:r>
      <w:r w:rsidR="004D2C9E">
        <w:rPr>
          <w:rFonts w:ascii="Times New Roman" w:hAnsi="Times New Roman"/>
          <w:color w:val="000000"/>
          <w:sz w:val="28"/>
          <w:szCs w:val="28"/>
        </w:rPr>
        <w:t>«</w:t>
      </w:r>
      <w:r w:rsidRPr="000F0B2D">
        <w:rPr>
          <w:rFonts w:ascii="Times New Roman" w:hAnsi="Times New Roman"/>
          <w:color w:val="000000"/>
          <w:sz w:val="28"/>
          <w:szCs w:val="28"/>
        </w:rPr>
        <w:t>Отечественная инфраструктура хранения и обработки данных обеспечивает предоставление гражданам, бизнесу и власти доступных, устойчивых, безопасных и экономически эффективных услуг, в том числе позволяет экспортировать. услуги по хранению и обработке данных</w:t>
      </w:r>
      <w:r w:rsidR="004D2C9E">
        <w:rPr>
          <w:rFonts w:ascii="Times New Roman" w:hAnsi="Times New Roman"/>
          <w:color w:val="000000"/>
          <w:sz w:val="28"/>
          <w:szCs w:val="28"/>
        </w:rPr>
        <w:t>»</w:t>
      </w:r>
      <w:r w:rsidRPr="000F0B2D">
        <w:rPr>
          <w:rFonts w:ascii="Times New Roman" w:hAnsi="Times New Roman"/>
          <w:color w:val="000000"/>
          <w:sz w:val="28"/>
          <w:szCs w:val="28"/>
        </w:rPr>
        <w:t xml:space="preserve"> будет обеспечено наличие опорных центров обработки данных в федеральных округах, а также достигнуты запланированные параметры доли России в мировом объеме оказания услуг по хранению и обработке данных, доли информационных систем и ресурсов органов государственной власти и местного самоуправления, перенесенных в государственную единую </w:t>
      </w:r>
      <w:r w:rsidR="008E1E23">
        <w:rPr>
          <w:rFonts w:ascii="Times New Roman" w:hAnsi="Times New Roman"/>
          <w:color w:val="000000"/>
          <w:sz w:val="28"/>
          <w:szCs w:val="28"/>
        </w:rPr>
        <w:t>«</w:t>
      </w:r>
      <w:r w:rsidRPr="000F0B2D">
        <w:rPr>
          <w:rFonts w:ascii="Times New Roman" w:hAnsi="Times New Roman"/>
          <w:color w:val="000000"/>
          <w:sz w:val="28"/>
          <w:szCs w:val="28"/>
        </w:rPr>
        <w:t>облачную</w:t>
      </w:r>
      <w:r w:rsidR="008E1E23">
        <w:rPr>
          <w:rFonts w:ascii="Times New Roman" w:hAnsi="Times New Roman"/>
          <w:color w:val="000000"/>
          <w:sz w:val="28"/>
          <w:szCs w:val="28"/>
        </w:rPr>
        <w:t>»</w:t>
      </w:r>
      <w:r w:rsidRPr="000F0B2D">
        <w:rPr>
          <w:rFonts w:ascii="Times New Roman" w:hAnsi="Times New Roman"/>
          <w:color w:val="000000"/>
          <w:sz w:val="28"/>
          <w:szCs w:val="28"/>
        </w:rPr>
        <w:t xml:space="preserve"> платформу, доли сертифицированных ЦОД, предоставляющих услуги органам государственной власти;</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 xml:space="preserve">в рамках достижения цели </w:t>
      </w:r>
      <w:r w:rsidR="004D2C9E">
        <w:rPr>
          <w:rFonts w:ascii="Times New Roman" w:hAnsi="Times New Roman"/>
          <w:color w:val="000000"/>
          <w:sz w:val="28"/>
          <w:szCs w:val="28"/>
        </w:rPr>
        <w:t>«</w:t>
      </w:r>
      <w:r w:rsidRPr="000F0B2D">
        <w:rPr>
          <w:rFonts w:ascii="Times New Roman" w:hAnsi="Times New Roman"/>
          <w:color w:val="000000"/>
          <w:sz w:val="28"/>
          <w:szCs w:val="28"/>
        </w:rPr>
        <w:t>Разработаны и функционируют цифровые платформы работы с данными для обеспечения потребностей граждан, бизнеса и власти</w:t>
      </w:r>
      <w:r w:rsidR="004D2C9E">
        <w:rPr>
          <w:rFonts w:ascii="Times New Roman" w:hAnsi="Times New Roman"/>
          <w:color w:val="000000"/>
          <w:sz w:val="28"/>
          <w:szCs w:val="28"/>
        </w:rPr>
        <w:t>»</w:t>
      </w:r>
      <w:r w:rsidRPr="000F0B2D">
        <w:rPr>
          <w:rFonts w:ascii="Times New Roman" w:hAnsi="Times New Roman"/>
          <w:color w:val="000000"/>
          <w:sz w:val="28"/>
          <w:szCs w:val="28"/>
        </w:rPr>
        <w:t xml:space="preserve"> ожида</w:t>
      </w:r>
      <w:r w:rsidR="00FB00CF">
        <w:rPr>
          <w:rFonts w:ascii="Times New Roman" w:hAnsi="Times New Roman"/>
          <w:color w:val="000000"/>
          <w:sz w:val="28"/>
          <w:szCs w:val="28"/>
        </w:rPr>
        <w:t>ют</w:t>
      </w:r>
      <w:r w:rsidR="000A1BBC">
        <w:rPr>
          <w:rFonts w:ascii="Times New Roman" w:hAnsi="Times New Roman"/>
          <w:color w:val="000000"/>
          <w:sz w:val="28"/>
          <w:szCs w:val="28"/>
        </w:rPr>
        <w:t>ся</w:t>
      </w:r>
      <w:r w:rsidRPr="000F0B2D">
        <w:rPr>
          <w:rFonts w:ascii="Times New Roman" w:hAnsi="Times New Roman"/>
          <w:color w:val="000000"/>
          <w:sz w:val="28"/>
          <w:szCs w:val="28"/>
        </w:rPr>
        <w:t xml:space="preserve"> реализация не менее 10 цифровых инфраструктурных платформ для основных предметных областей экономики, достижение запланированных параметров доли отраслей экономики, цифровые платформы которых интегрированы с отечественными платформами, обеспечивающими единую доверенную среду для работы с данными, доли экономически освоенных территорий Российской Федерации, на которых создана единая государственная среда передачи навигационной и логистической информации, доли</w:t>
      </w:r>
      <w:r w:rsidR="004D2C9E">
        <w:rPr>
          <w:rFonts w:ascii="Times New Roman" w:hAnsi="Times New Roman"/>
          <w:color w:val="000000"/>
          <w:sz w:val="28"/>
          <w:szCs w:val="28"/>
        </w:rPr>
        <w:t xml:space="preserve"> </w:t>
      </w:r>
      <w:r w:rsidRPr="000F0B2D">
        <w:rPr>
          <w:rFonts w:ascii="Times New Roman" w:hAnsi="Times New Roman"/>
          <w:color w:val="000000"/>
          <w:sz w:val="28"/>
          <w:szCs w:val="28"/>
        </w:rPr>
        <w:t xml:space="preserve">российских данных дистанционного зондирования земли в общем объеме данных </w:t>
      </w:r>
      <w:r w:rsidR="000A1BBC" w:rsidRPr="000A1BBC">
        <w:rPr>
          <w:rFonts w:ascii="Times New Roman" w:hAnsi="Times New Roman"/>
          <w:color w:val="000000"/>
          <w:sz w:val="28"/>
          <w:szCs w:val="28"/>
        </w:rPr>
        <w:t>дистанционного зондирования земли</w:t>
      </w:r>
      <w:r w:rsidRPr="000A1BBC">
        <w:rPr>
          <w:rFonts w:ascii="Times New Roman" w:hAnsi="Times New Roman"/>
          <w:color w:val="000000"/>
          <w:sz w:val="28"/>
          <w:szCs w:val="28"/>
        </w:rPr>
        <w:t>,</w:t>
      </w:r>
      <w:r w:rsidRPr="000F0B2D">
        <w:rPr>
          <w:rFonts w:ascii="Times New Roman" w:hAnsi="Times New Roman"/>
          <w:color w:val="000000"/>
          <w:sz w:val="28"/>
          <w:szCs w:val="28"/>
        </w:rPr>
        <w:t xml:space="preserve"> используемых в российс</w:t>
      </w:r>
      <w:r>
        <w:rPr>
          <w:rFonts w:ascii="Times New Roman" w:hAnsi="Times New Roman"/>
          <w:color w:val="000000"/>
          <w:sz w:val="28"/>
          <w:szCs w:val="28"/>
        </w:rPr>
        <w:t>ких геоинформационных системах.</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Реализация большинства мероприятий предусмотрена в период 2018</w:t>
      </w:r>
      <w:r w:rsidR="00F9318B">
        <w:rPr>
          <w:rFonts w:ascii="Times New Roman" w:hAnsi="Times New Roman"/>
          <w:color w:val="000000"/>
          <w:sz w:val="28"/>
          <w:szCs w:val="28"/>
        </w:rPr>
        <w:t>–</w:t>
      </w:r>
      <w:r w:rsidRPr="000F0B2D">
        <w:rPr>
          <w:rFonts w:ascii="Times New Roman" w:hAnsi="Times New Roman"/>
          <w:color w:val="000000"/>
          <w:sz w:val="28"/>
          <w:szCs w:val="28"/>
        </w:rPr>
        <w:t>2024</w:t>
      </w:r>
      <w:r w:rsidR="00DC7EB9">
        <w:rPr>
          <w:rFonts w:ascii="Times New Roman" w:hAnsi="Times New Roman"/>
          <w:color w:val="000000"/>
          <w:sz w:val="28"/>
          <w:szCs w:val="28"/>
        </w:rPr>
        <w:t xml:space="preserve"> </w:t>
      </w:r>
      <w:r w:rsidRPr="000F0B2D">
        <w:rPr>
          <w:rFonts w:ascii="Times New Roman" w:hAnsi="Times New Roman"/>
          <w:color w:val="000000"/>
          <w:sz w:val="28"/>
          <w:szCs w:val="28"/>
        </w:rPr>
        <w:t>г</w:t>
      </w:r>
      <w:r w:rsidR="00DC7EB9">
        <w:rPr>
          <w:rFonts w:ascii="Times New Roman" w:hAnsi="Times New Roman"/>
          <w:color w:val="000000"/>
          <w:sz w:val="28"/>
          <w:szCs w:val="28"/>
        </w:rPr>
        <w:t>од</w:t>
      </w:r>
      <w:r w:rsidR="00FB00CF">
        <w:rPr>
          <w:rFonts w:ascii="Times New Roman" w:hAnsi="Times New Roman"/>
          <w:color w:val="000000"/>
          <w:sz w:val="28"/>
          <w:szCs w:val="28"/>
        </w:rPr>
        <w:t>ов.</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 xml:space="preserve">В результате выполнения </w:t>
      </w:r>
      <w:r w:rsidR="00FB00CF">
        <w:rPr>
          <w:rFonts w:ascii="Times New Roman" w:hAnsi="Times New Roman"/>
          <w:color w:val="000000"/>
          <w:sz w:val="28"/>
          <w:szCs w:val="28"/>
        </w:rPr>
        <w:t xml:space="preserve">Программы </w:t>
      </w:r>
      <w:r w:rsidRPr="000F0B2D">
        <w:rPr>
          <w:rFonts w:ascii="Times New Roman" w:hAnsi="Times New Roman"/>
          <w:color w:val="000000"/>
          <w:sz w:val="28"/>
          <w:szCs w:val="28"/>
        </w:rPr>
        <w:t>ожида</w:t>
      </w:r>
      <w:r w:rsidR="00FB00CF">
        <w:rPr>
          <w:rFonts w:ascii="Times New Roman" w:hAnsi="Times New Roman"/>
          <w:color w:val="000000"/>
          <w:sz w:val="28"/>
          <w:szCs w:val="28"/>
        </w:rPr>
        <w:t>ю</w:t>
      </w:r>
      <w:r w:rsidRPr="000F0B2D">
        <w:rPr>
          <w:rFonts w:ascii="Times New Roman" w:hAnsi="Times New Roman"/>
          <w:color w:val="000000"/>
          <w:sz w:val="28"/>
          <w:szCs w:val="28"/>
        </w:rPr>
        <w:t xml:space="preserve">тся создание системы сертификации ЦОД на добровольной основе; выполнение работ по развитию информационных систем государственной цифровой платформы предоставления гражданам государственных и муниципальных услуг в электронном виде; осуществление перехода на предоставление возможности обращения пользователей в службу технической и информационной поддержки для всех систем государственной цифровой платформы предоставления гражданам государственных и муниципальных услуг в электронном виде с помощью </w:t>
      </w:r>
      <w:r w:rsidR="00FB00CF" w:rsidRPr="00FB00CF">
        <w:rPr>
          <w:rFonts w:ascii="Times New Roman" w:hAnsi="Times New Roman"/>
          <w:color w:val="000000"/>
          <w:sz w:val="28"/>
          <w:szCs w:val="28"/>
        </w:rPr>
        <w:t xml:space="preserve">Автоматизированной омниканальной системы взаимодействия с пользователями </w:t>
      </w:r>
      <w:r w:rsidRPr="000F0B2D">
        <w:rPr>
          <w:rFonts w:ascii="Times New Roman" w:hAnsi="Times New Roman"/>
          <w:color w:val="000000"/>
          <w:sz w:val="28"/>
          <w:szCs w:val="28"/>
        </w:rPr>
        <w:t>и др.</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 xml:space="preserve">Учитывая роль цифровой трансформации для многих отраслей, в первую очередь для рынка связи, и для экономики в целом, становление </w:t>
      </w:r>
      <w:r w:rsidR="007420AA">
        <w:rPr>
          <w:rFonts w:ascii="Times New Roman" w:hAnsi="Times New Roman"/>
          <w:color w:val="000000"/>
          <w:sz w:val="28"/>
          <w:szCs w:val="28"/>
        </w:rPr>
        <w:t>«</w:t>
      </w:r>
      <w:r w:rsidRPr="000F0B2D">
        <w:rPr>
          <w:rFonts w:ascii="Times New Roman" w:hAnsi="Times New Roman"/>
          <w:color w:val="000000"/>
          <w:sz w:val="28"/>
          <w:szCs w:val="28"/>
        </w:rPr>
        <w:t>цифровых</w:t>
      </w:r>
      <w:r w:rsidR="007420AA">
        <w:rPr>
          <w:rFonts w:ascii="Times New Roman" w:hAnsi="Times New Roman"/>
          <w:color w:val="000000"/>
          <w:sz w:val="28"/>
          <w:szCs w:val="28"/>
        </w:rPr>
        <w:t>»</w:t>
      </w:r>
      <w:r w:rsidRPr="000F0B2D">
        <w:rPr>
          <w:rFonts w:ascii="Times New Roman" w:hAnsi="Times New Roman"/>
          <w:color w:val="000000"/>
          <w:sz w:val="28"/>
          <w:szCs w:val="28"/>
        </w:rPr>
        <w:t xml:space="preserve"> отношений обязано происходить в условиях конкуренции за счет качественных инициатив и последующей реализации потребительского потенциала, в том числе с учетом принципов технологической нейтральности. Поэтому реализация мероприятий, предусмотренных Планом </w:t>
      </w:r>
      <w:r w:rsidR="004D2C9E">
        <w:rPr>
          <w:rFonts w:ascii="Times New Roman" w:hAnsi="Times New Roman"/>
          <w:color w:val="000000"/>
          <w:sz w:val="28"/>
          <w:szCs w:val="28"/>
        </w:rPr>
        <w:t>«</w:t>
      </w:r>
      <w:r w:rsidRPr="000F0B2D">
        <w:rPr>
          <w:rFonts w:ascii="Times New Roman" w:hAnsi="Times New Roman"/>
          <w:color w:val="000000"/>
          <w:sz w:val="28"/>
          <w:szCs w:val="28"/>
        </w:rPr>
        <w:t>Информационная инфраструктура</w:t>
      </w:r>
      <w:r w:rsidR="004D2C9E">
        <w:rPr>
          <w:rFonts w:ascii="Times New Roman" w:hAnsi="Times New Roman"/>
          <w:color w:val="000000"/>
          <w:sz w:val="28"/>
          <w:szCs w:val="28"/>
        </w:rPr>
        <w:t>»</w:t>
      </w:r>
      <w:r w:rsidR="00BA6809">
        <w:rPr>
          <w:rFonts w:ascii="Times New Roman" w:hAnsi="Times New Roman"/>
          <w:color w:val="000000"/>
          <w:sz w:val="28"/>
          <w:szCs w:val="28"/>
        </w:rPr>
        <w:t>,</w:t>
      </w:r>
      <w:r w:rsidRPr="000F0B2D">
        <w:rPr>
          <w:rFonts w:ascii="Times New Roman" w:hAnsi="Times New Roman"/>
          <w:color w:val="000000"/>
          <w:sz w:val="28"/>
          <w:szCs w:val="28"/>
        </w:rPr>
        <w:t xml:space="preserve"> имеет важнейшее значение для развития цифровой экономики и дальнейшей информатизации общества. В этой связи первостепенное значение имеет создание для хозяйствующих субъектов благоприятных и равных условий как к участию в формировании такой инфраструктуры, так и к дальнейшему доступу к ней. </w:t>
      </w:r>
    </w:p>
    <w:p w:rsidR="0068434D" w:rsidRPr="000F0B2D" w:rsidRDefault="0068434D" w:rsidP="00544A93">
      <w:pPr>
        <w:autoSpaceDE w:val="0"/>
        <w:autoSpaceDN w:val="0"/>
        <w:adjustRightInd w:val="0"/>
        <w:spacing w:after="0" w:line="315" w:lineRule="exact"/>
        <w:ind w:firstLine="709"/>
        <w:jc w:val="both"/>
        <w:rPr>
          <w:rFonts w:ascii="Times New Roman" w:hAnsi="Times New Roman"/>
          <w:color w:val="000000"/>
          <w:sz w:val="28"/>
          <w:szCs w:val="28"/>
        </w:rPr>
      </w:pPr>
      <w:r w:rsidRPr="000F0B2D">
        <w:rPr>
          <w:rFonts w:ascii="Times New Roman" w:hAnsi="Times New Roman"/>
          <w:color w:val="000000"/>
          <w:sz w:val="28"/>
          <w:szCs w:val="28"/>
        </w:rPr>
        <w:t>Формируя мероприятия, направленные на создание информационной инфраструктуры</w:t>
      </w:r>
      <w:r>
        <w:rPr>
          <w:rFonts w:ascii="Times New Roman" w:hAnsi="Times New Roman"/>
          <w:color w:val="000000"/>
          <w:sz w:val="28"/>
          <w:szCs w:val="28"/>
        </w:rPr>
        <w:t>,</w:t>
      </w:r>
      <w:r w:rsidRPr="000F0B2D">
        <w:rPr>
          <w:rFonts w:ascii="Times New Roman" w:hAnsi="Times New Roman"/>
          <w:color w:val="000000"/>
          <w:sz w:val="28"/>
          <w:szCs w:val="28"/>
        </w:rPr>
        <w:t xml:space="preserve"> следует исходить из того, что реализация таких мероприятий не должна накладывать на участников рынка необоснованные требования, создавать административные и экономические барьеры для развития, а также создавать условия для искажения конкуренции.</w:t>
      </w:r>
    </w:p>
    <w:p w:rsidR="0068434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0F0B2D">
        <w:rPr>
          <w:rFonts w:ascii="Times New Roman" w:hAnsi="Times New Roman"/>
          <w:color w:val="000000"/>
          <w:sz w:val="28"/>
          <w:szCs w:val="28"/>
        </w:rPr>
        <w:t xml:space="preserve">Тем </w:t>
      </w:r>
      <w:r>
        <w:rPr>
          <w:rFonts w:ascii="Times New Roman" w:hAnsi="Times New Roman"/>
          <w:color w:val="000000"/>
          <w:sz w:val="28"/>
          <w:szCs w:val="28"/>
        </w:rPr>
        <w:t>не менее отдельные мероприятия</w:t>
      </w:r>
      <w:r w:rsidRPr="000F0B2D">
        <w:rPr>
          <w:rFonts w:ascii="Times New Roman" w:hAnsi="Times New Roman"/>
          <w:color w:val="000000"/>
          <w:sz w:val="28"/>
          <w:szCs w:val="28"/>
        </w:rPr>
        <w:t xml:space="preserve">, по мнению ФАС России, </w:t>
      </w:r>
      <w:r>
        <w:rPr>
          <w:rFonts w:ascii="Times New Roman" w:hAnsi="Times New Roman"/>
          <w:color w:val="000000"/>
          <w:sz w:val="28"/>
          <w:szCs w:val="28"/>
        </w:rPr>
        <w:t xml:space="preserve">не отвечают принципам развития конкуренции в условиях технологически нейтрального регулирования, </w:t>
      </w:r>
      <w:r w:rsidRPr="000F0B2D">
        <w:rPr>
          <w:rFonts w:ascii="Times New Roman" w:hAnsi="Times New Roman"/>
          <w:color w:val="000000"/>
          <w:sz w:val="28"/>
          <w:szCs w:val="28"/>
        </w:rPr>
        <w:t xml:space="preserve">могут привести к </w:t>
      </w:r>
      <w:r>
        <w:rPr>
          <w:rFonts w:ascii="Times New Roman" w:hAnsi="Times New Roman"/>
          <w:color w:val="000000"/>
          <w:sz w:val="28"/>
          <w:szCs w:val="28"/>
        </w:rPr>
        <w:t>ограничению конкуренции, формированию дополнительных административных и (или) экономических барьеров, в которых отсутствует объективная необходимость.</w:t>
      </w:r>
      <w:r w:rsidR="00BA6809">
        <w:rPr>
          <w:rFonts w:ascii="Times New Roman" w:hAnsi="Times New Roman"/>
          <w:color w:val="000000"/>
          <w:sz w:val="28"/>
          <w:szCs w:val="28"/>
        </w:rPr>
        <w:t xml:space="preserve"> </w:t>
      </w:r>
      <w:r>
        <w:rPr>
          <w:rFonts w:ascii="Times New Roman" w:hAnsi="Times New Roman"/>
          <w:color w:val="000000"/>
          <w:sz w:val="28"/>
          <w:szCs w:val="28"/>
        </w:rPr>
        <w:t>Так, Планом предусмотрены мероприятия, дублирующие друг друга с точки зрения их функционального назначения (прежде всего это касается предоставления широкополосного доступа к Интернет</w:t>
      </w:r>
      <w:r w:rsidR="007420AA">
        <w:rPr>
          <w:rFonts w:ascii="Times New Roman" w:hAnsi="Times New Roman"/>
          <w:color w:val="000000"/>
          <w:sz w:val="28"/>
          <w:szCs w:val="28"/>
        </w:rPr>
        <w:t>у</w:t>
      </w:r>
      <w:r>
        <w:rPr>
          <w:rFonts w:ascii="Times New Roman" w:hAnsi="Times New Roman"/>
          <w:color w:val="000000"/>
          <w:sz w:val="28"/>
          <w:szCs w:val="28"/>
        </w:rPr>
        <w:t xml:space="preserve"> для различных групп потребителей).</w:t>
      </w:r>
    </w:p>
    <w:p w:rsidR="0068434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Планом предусмотрены мероприятия, прямо или косвенно предполагающие оказание услуг связи единственным поставщиком на конкурентных рынках без</w:t>
      </w:r>
      <w:r w:rsidR="007420AA">
        <w:rPr>
          <w:rFonts w:ascii="Times New Roman" w:hAnsi="Times New Roman"/>
          <w:color w:val="000000"/>
          <w:sz w:val="28"/>
          <w:szCs w:val="28"/>
        </w:rPr>
        <w:t xml:space="preserve"> проведения конкурсных процедур, а также </w:t>
      </w:r>
      <w:r>
        <w:rPr>
          <w:rFonts w:ascii="Times New Roman" w:hAnsi="Times New Roman"/>
          <w:color w:val="000000"/>
          <w:sz w:val="28"/>
          <w:szCs w:val="28"/>
        </w:rPr>
        <w:t>предполагающие необоснованную централизацию закупок и выбора исполнителя по оказанию услуг связи.</w:t>
      </w:r>
    </w:p>
    <w:p w:rsidR="0068434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0F0B2D">
        <w:rPr>
          <w:rFonts w:ascii="Times New Roman" w:hAnsi="Times New Roman"/>
          <w:color w:val="000000"/>
          <w:sz w:val="28"/>
          <w:szCs w:val="28"/>
        </w:rPr>
        <w:t>В свою очередь</w:t>
      </w:r>
      <w:r w:rsidR="007420AA">
        <w:rPr>
          <w:rFonts w:ascii="Times New Roman" w:hAnsi="Times New Roman"/>
          <w:color w:val="000000"/>
          <w:sz w:val="28"/>
          <w:szCs w:val="28"/>
        </w:rPr>
        <w:t>,</w:t>
      </w:r>
      <w:r w:rsidRPr="000F0B2D">
        <w:rPr>
          <w:rFonts w:ascii="Times New Roman" w:hAnsi="Times New Roman"/>
          <w:color w:val="000000"/>
          <w:sz w:val="28"/>
          <w:szCs w:val="28"/>
        </w:rPr>
        <w:t xml:space="preserve"> мероприятие по модернизации механизма оказания универсальных услуг связи как наиболее востребованное и направленное на развитие инфраструктуры</w:t>
      </w:r>
      <w:r w:rsidR="005A627A">
        <w:rPr>
          <w:rFonts w:ascii="Times New Roman" w:hAnsi="Times New Roman"/>
          <w:color w:val="000000"/>
          <w:sz w:val="28"/>
          <w:szCs w:val="28"/>
        </w:rPr>
        <w:t xml:space="preserve"> </w:t>
      </w:r>
      <w:r w:rsidRPr="000F0B2D">
        <w:rPr>
          <w:rFonts w:ascii="Times New Roman" w:hAnsi="Times New Roman"/>
          <w:color w:val="000000"/>
          <w:sz w:val="28"/>
          <w:szCs w:val="28"/>
        </w:rPr>
        <w:t>в План мероприятий не вошло. В любом случае мероприятия, направленные на создание преференций в части формирования информационной инфраструктуры, должны быть исключены из данного Плана.</w:t>
      </w:r>
    </w:p>
    <w:p w:rsidR="0068434D" w:rsidRPr="001514AC"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0C007B">
        <w:rPr>
          <w:rFonts w:ascii="Times New Roman" w:hAnsi="Times New Roman"/>
          <w:color w:val="000000"/>
          <w:sz w:val="28"/>
          <w:szCs w:val="28"/>
        </w:rPr>
        <w:t>4.</w:t>
      </w:r>
      <w:r w:rsidR="000C007B">
        <w:rPr>
          <w:rFonts w:ascii="Times New Roman" w:hAnsi="Times New Roman"/>
          <w:i/>
          <w:color w:val="000000"/>
          <w:sz w:val="28"/>
          <w:szCs w:val="28"/>
        </w:rPr>
        <w:t> </w:t>
      </w:r>
      <w:r w:rsidRPr="003972D8">
        <w:rPr>
          <w:rFonts w:ascii="Times New Roman" w:hAnsi="Times New Roman"/>
          <w:i/>
          <w:color w:val="000000"/>
          <w:sz w:val="28"/>
          <w:szCs w:val="28"/>
        </w:rPr>
        <w:t>Информационная безопасность</w:t>
      </w:r>
      <w:r>
        <w:rPr>
          <w:rFonts w:ascii="Times New Roman" w:hAnsi="Times New Roman"/>
          <w:color w:val="000000"/>
          <w:sz w:val="28"/>
          <w:szCs w:val="28"/>
        </w:rPr>
        <w:t xml:space="preserve"> имеет своей целью о</w:t>
      </w:r>
      <w:r w:rsidRPr="001514AC">
        <w:rPr>
          <w:rFonts w:ascii="Times New Roman" w:hAnsi="Times New Roman"/>
          <w:color w:val="000000"/>
          <w:sz w:val="28"/>
          <w:szCs w:val="28"/>
        </w:rPr>
        <w:t>беспечение безопасности данных цифровой экономики, инфраструктуры, институтов, граждан</w:t>
      </w:r>
      <w:r>
        <w:rPr>
          <w:rFonts w:ascii="Times New Roman" w:hAnsi="Times New Roman"/>
          <w:color w:val="000000"/>
          <w:sz w:val="28"/>
          <w:szCs w:val="28"/>
        </w:rPr>
        <w:t>.</w:t>
      </w:r>
    </w:p>
    <w:p w:rsidR="0068434D" w:rsidRPr="00B854E1" w:rsidRDefault="0068434D" w:rsidP="00015C15">
      <w:pPr>
        <w:pStyle w:val="22"/>
      </w:pPr>
      <w:r w:rsidRPr="00B854E1">
        <w:t xml:space="preserve">План мероприятий </w:t>
      </w:r>
      <w:r w:rsidR="004D2C9E">
        <w:t>«</w:t>
      </w:r>
      <w:r w:rsidR="005A627A">
        <w:t>И</w:t>
      </w:r>
      <w:r w:rsidRPr="00B854E1">
        <w:t>нформационная безопасность</w:t>
      </w:r>
      <w:r w:rsidR="004D2C9E">
        <w:t>»</w:t>
      </w:r>
      <w:r w:rsidRPr="00B854E1">
        <w:t xml:space="preserve"> направлен на обеспечение единства, устойчивости и безопасности информационно-телекоммуникационной инфраструктуры Российской Федерации на всех уровнях информационного пространства, обеспечение организационной и правовой защиты личности, бизнеса и государственных интересов при взаимодействии в условиях цифровой экономики, а также на создание условий для лидирующих позиций России в области экспорта услуг и технологий информационной безопасности, а также учет национальных интересов в международных документах по вопросам информационной безопасности. Реализация данного Плана предполагается в </w:t>
      </w:r>
      <w:r w:rsidR="007420AA">
        <w:t xml:space="preserve">период </w:t>
      </w:r>
      <w:r w:rsidRPr="00B854E1">
        <w:t>2018</w:t>
      </w:r>
      <w:r w:rsidR="00F9318B">
        <w:t>–</w:t>
      </w:r>
      <w:r w:rsidRPr="00B854E1">
        <w:t>2024</w:t>
      </w:r>
      <w:r w:rsidR="00F9318B">
        <w:t> год</w:t>
      </w:r>
      <w:r w:rsidR="007420AA">
        <w:t>ов</w:t>
      </w:r>
      <w:r w:rsidRPr="00B854E1">
        <w:t xml:space="preserve"> с конкретными ежегодными показателями, при этом в качестве показателей, индикаторов и единиц измерения определены:</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 xml:space="preserve">доля внутреннего сетевого трафика </w:t>
      </w:r>
      <w:r w:rsidR="005A627A">
        <w:rPr>
          <w:rFonts w:ascii="Times New Roman" w:hAnsi="Times New Roman"/>
          <w:color w:val="000000"/>
          <w:sz w:val="28"/>
          <w:szCs w:val="28"/>
        </w:rPr>
        <w:t>р</w:t>
      </w:r>
      <w:r w:rsidRPr="00B854E1">
        <w:rPr>
          <w:rFonts w:ascii="Times New Roman" w:hAnsi="Times New Roman"/>
          <w:color w:val="000000"/>
          <w:sz w:val="28"/>
          <w:szCs w:val="28"/>
        </w:rPr>
        <w:t>оссийского сегмента Интернет</w:t>
      </w:r>
      <w:r w:rsidR="007420AA">
        <w:rPr>
          <w:rFonts w:ascii="Times New Roman" w:hAnsi="Times New Roman"/>
          <w:color w:val="000000"/>
          <w:sz w:val="28"/>
          <w:szCs w:val="28"/>
        </w:rPr>
        <w:t>а</w:t>
      </w:r>
      <w:r w:rsidRPr="00B854E1">
        <w:rPr>
          <w:rFonts w:ascii="Times New Roman" w:hAnsi="Times New Roman"/>
          <w:color w:val="000000"/>
          <w:sz w:val="28"/>
          <w:szCs w:val="28"/>
        </w:rPr>
        <w:t>, маршрутизируемая через иностранные серверы;</w:t>
      </w:r>
    </w:p>
    <w:p w:rsidR="0068434D" w:rsidRPr="00B963DF" w:rsidRDefault="0068434D" w:rsidP="004D2C9E">
      <w:pPr>
        <w:autoSpaceDE w:val="0"/>
        <w:autoSpaceDN w:val="0"/>
        <w:adjustRightInd w:val="0"/>
        <w:spacing w:after="0" w:line="240" w:lineRule="auto"/>
        <w:ind w:firstLine="709"/>
        <w:jc w:val="both"/>
        <w:rPr>
          <w:rFonts w:ascii="Times New Roman" w:hAnsi="Times New Roman"/>
          <w:color w:val="000000"/>
          <w:spacing w:val="-4"/>
          <w:sz w:val="28"/>
          <w:szCs w:val="28"/>
        </w:rPr>
      </w:pPr>
      <w:r w:rsidRPr="00B854E1">
        <w:rPr>
          <w:rFonts w:ascii="Times New Roman" w:hAnsi="Times New Roman"/>
          <w:color w:val="000000"/>
          <w:sz w:val="28"/>
          <w:szCs w:val="28"/>
        </w:rPr>
        <w:t xml:space="preserve">стоимостная доля закупаемого федеральными органами исполнительной власти, органами исполнительной власти субъектов, государственными корпорациями, компаниями с государственным участием компьютерного, </w:t>
      </w:r>
      <w:r w:rsidRPr="00B963DF">
        <w:rPr>
          <w:rFonts w:ascii="Times New Roman" w:hAnsi="Times New Roman"/>
          <w:color w:val="000000"/>
          <w:spacing w:val="-4"/>
          <w:sz w:val="28"/>
          <w:szCs w:val="28"/>
        </w:rPr>
        <w:t>серверного и телекоммуникационного оборудования иностранного производства;</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стоимостная доля закупаемого и (или) арендуемого федеральными органами исполнительной власти, органами исполнительной власти субъектов, государственными корпорациями, компаниями с государственным участием иностранного программного обеспечения;</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доля субъектов информационного взаимодействия (органов государственной власти и местного самоуправления, компаний с государственным участием и (или) относящихся к информационной инфраструктуре), использующих стандарты безопасного информационного взаимодействия в киберфизических системах;</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доля субъектов информационного взаимодействия (органов государственной власти и местного самоуправления, компаний с государственным участием и (или) относящихся к информационной инфраструктуре), использующих стандарты безопасного информационного взаимодействия в части интернета вещей;</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доля граждан, повысивших грамотность в сфере информационной безопасности, медиапотребления и использования интернет-сервисов;</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доля населения, использовавшего средства защиты информации по субъектам Российской Федерации (в процентах от общей численности населения, использовавшего Интернет в течение последних 12 месяцев, соответствующего субъекта Российской Федерации);</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запуск в эксплуатацию информационных и технических ресурсов, предусмотренных подпрограммой;</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доля хозяйствующих субъектов, использующих национальную платежную систему;</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средний срок простоя государственных информационных систем в результате компьютерных атак;</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принятие стандартов, регламентов и типовых форм, предусмотренных подпрограммой;</w:t>
      </w:r>
    </w:p>
    <w:p w:rsidR="0068434D" w:rsidRPr="00B854E1"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доля субъектов, использующих стандарты безопасного информационного взаимодействия государственных и общественных институтов.</w:t>
      </w:r>
    </w:p>
    <w:p w:rsidR="0068434D" w:rsidRPr="00B854E1" w:rsidRDefault="00032601" w:rsidP="004D2C9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качестве результатов П</w:t>
      </w:r>
      <w:r w:rsidR="0068434D" w:rsidRPr="00B854E1">
        <w:rPr>
          <w:rFonts w:ascii="Times New Roman" w:hAnsi="Times New Roman"/>
          <w:color w:val="000000"/>
          <w:sz w:val="28"/>
          <w:szCs w:val="28"/>
        </w:rPr>
        <w:t>рограммы ожидается создание системы стимулов для приобретения и использования компьютерного, серверного и телекоммуникационного оборудования российского производства; принятие национальных ст</w:t>
      </w:r>
      <w:r>
        <w:rPr>
          <w:rFonts w:ascii="Times New Roman" w:hAnsi="Times New Roman"/>
          <w:color w:val="000000"/>
          <w:sz w:val="28"/>
          <w:szCs w:val="28"/>
        </w:rPr>
        <w:t>андартов киберфизических систем</w:t>
      </w:r>
      <w:r w:rsidR="000A1BBC">
        <w:rPr>
          <w:rFonts w:ascii="Times New Roman" w:hAnsi="Times New Roman"/>
          <w:color w:val="000000"/>
          <w:sz w:val="28"/>
          <w:szCs w:val="28"/>
        </w:rPr>
        <w:t>, включая стандарт</w:t>
      </w:r>
      <w:r w:rsidR="00636F0D">
        <w:rPr>
          <w:rFonts w:ascii="Times New Roman" w:hAnsi="Times New Roman"/>
          <w:color w:val="000000"/>
          <w:sz w:val="28"/>
          <w:szCs w:val="28"/>
        </w:rPr>
        <w:t xml:space="preserve"> </w:t>
      </w:r>
      <w:r w:rsidR="000A1BBC">
        <w:rPr>
          <w:rFonts w:ascii="Times New Roman" w:hAnsi="Times New Roman"/>
          <w:color w:val="000000"/>
          <w:sz w:val="28"/>
          <w:szCs w:val="28"/>
        </w:rPr>
        <w:t xml:space="preserve">«интернет вещей» </w:t>
      </w:r>
      <w:r w:rsidR="000A1BBC">
        <w:rPr>
          <w:rFonts w:ascii="Times New Roman" w:hAnsi="Times New Roman"/>
          <w:color w:val="000000"/>
          <w:sz w:val="28"/>
          <w:szCs w:val="28"/>
          <w:lang w:val="en-US"/>
        </w:rPr>
        <w:t>IoT</w:t>
      </w:r>
      <w:r w:rsidR="0068434D" w:rsidRPr="00B854E1">
        <w:rPr>
          <w:rFonts w:ascii="Times New Roman" w:hAnsi="Times New Roman"/>
          <w:color w:val="000000"/>
          <w:sz w:val="28"/>
          <w:szCs w:val="28"/>
        </w:rPr>
        <w:t>; появление системы мер поддержки российских производителей продуктов и услуг ИКТ, осуществляющих патен</w:t>
      </w:r>
      <w:r>
        <w:rPr>
          <w:rFonts w:ascii="Times New Roman" w:hAnsi="Times New Roman"/>
          <w:color w:val="000000"/>
          <w:sz w:val="28"/>
          <w:szCs w:val="28"/>
        </w:rPr>
        <w:t>тование продуктов за рубежом и т.д</w:t>
      </w:r>
      <w:r w:rsidR="0068434D" w:rsidRPr="00B854E1">
        <w:rPr>
          <w:rFonts w:ascii="Times New Roman" w:hAnsi="Times New Roman"/>
          <w:color w:val="000000"/>
          <w:sz w:val="28"/>
          <w:szCs w:val="28"/>
        </w:rPr>
        <w:t>.</w:t>
      </w:r>
    </w:p>
    <w:p w:rsidR="0068434D" w:rsidRPr="00A70114"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854E1">
        <w:rPr>
          <w:rFonts w:ascii="Times New Roman" w:hAnsi="Times New Roman"/>
          <w:color w:val="000000"/>
          <w:sz w:val="28"/>
          <w:szCs w:val="28"/>
        </w:rPr>
        <w:t xml:space="preserve">Принимая во внимание развитие услуг доступа в Интернет, перевод государственных услуг в электронную форму, развитие документооборота, </w:t>
      </w:r>
      <w:r w:rsidR="00032601">
        <w:rPr>
          <w:rFonts w:ascii="Times New Roman" w:hAnsi="Times New Roman"/>
          <w:color w:val="000000"/>
          <w:sz w:val="28"/>
          <w:szCs w:val="28"/>
        </w:rPr>
        <w:t>«</w:t>
      </w:r>
      <w:r w:rsidRPr="00B854E1">
        <w:rPr>
          <w:rFonts w:ascii="Times New Roman" w:hAnsi="Times New Roman"/>
          <w:color w:val="000000"/>
          <w:sz w:val="28"/>
          <w:szCs w:val="28"/>
        </w:rPr>
        <w:t>облачные</w:t>
      </w:r>
      <w:r w:rsidR="000A1BBC">
        <w:rPr>
          <w:rFonts w:ascii="Times New Roman" w:hAnsi="Times New Roman"/>
          <w:color w:val="000000"/>
          <w:sz w:val="28"/>
          <w:szCs w:val="28"/>
        </w:rPr>
        <w:t>»</w:t>
      </w:r>
      <w:r w:rsidRPr="00B854E1">
        <w:rPr>
          <w:rFonts w:ascii="Times New Roman" w:hAnsi="Times New Roman"/>
          <w:color w:val="000000"/>
          <w:sz w:val="28"/>
          <w:szCs w:val="28"/>
        </w:rPr>
        <w:t xml:space="preserve"> технологии и стремительное развитие цифров</w:t>
      </w:r>
      <w:r w:rsidR="00032601">
        <w:rPr>
          <w:rFonts w:ascii="Times New Roman" w:hAnsi="Times New Roman"/>
          <w:color w:val="000000"/>
          <w:sz w:val="28"/>
          <w:szCs w:val="28"/>
        </w:rPr>
        <w:t>ого</w:t>
      </w:r>
      <w:r w:rsidRPr="00B854E1">
        <w:rPr>
          <w:rFonts w:ascii="Times New Roman" w:hAnsi="Times New Roman"/>
          <w:color w:val="000000"/>
          <w:sz w:val="28"/>
          <w:szCs w:val="28"/>
        </w:rPr>
        <w:t xml:space="preserve"> рынк</w:t>
      </w:r>
      <w:r w:rsidR="00032601">
        <w:rPr>
          <w:rFonts w:ascii="Times New Roman" w:hAnsi="Times New Roman"/>
          <w:color w:val="000000"/>
          <w:sz w:val="28"/>
          <w:szCs w:val="28"/>
        </w:rPr>
        <w:t>а</w:t>
      </w:r>
      <w:r w:rsidRPr="00B854E1">
        <w:rPr>
          <w:rFonts w:ascii="Times New Roman" w:hAnsi="Times New Roman"/>
          <w:color w:val="000000"/>
          <w:sz w:val="28"/>
          <w:szCs w:val="28"/>
        </w:rPr>
        <w:t>, вопросы информационной безопасности занимают одно из важнейших мест в сфере государственной политики</w:t>
      </w:r>
      <w:r>
        <w:rPr>
          <w:rFonts w:ascii="Times New Roman" w:hAnsi="Times New Roman"/>
          <w:color w:val="000000"/>
          <w:sz w:val="28"/>
          <w:szCs w:val="28"/>
        </w:rPr>
        <w:t xml:space="preserve"> по развитию цифровой экономики</w:t>
      </w:r>
      <w:r w:rsidRPr="00A70114">
        <w:rPr>
          <w:rFonts w:ascii="Times New Roman" w:hAnsi="Times New Roman"/>
          <w:color w:val="000000"/>
          <w:sz w:val="28"/>
          <w:szCs w:val="28"/>
        </w:rPr>
        <w:t>.</w:t>
      </w:r>
    </w:p>
    <w:p w:rsidR="0068434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B963DF">
        <w:rPr>
          <w:rFonts w:ascii="Times New Roman" w:hAnsi="Times New Roman"/>
          <w:color w:val="000000"/>
          <w:spacing w:val="-4"/>
          <w:sz w:val="28"/>
          <w:szCs w:val="28"/>
        </w:rPr>
        <w:t>5.</w:t>
      </w:r>
      <w:r w:rsidR="00015C15" w:rsidRPr="00B963DF">
        <w:rPr>
          <w:rFonts w:ascii="Times New Roman" w:hAnsi="Times New Roman"/>
          <w:i/>
          <w:color w:val="000000"/>
          <w:spacing w:val="-4"/>
          <w:sz w:val="28"/>
          <w:szCs w:val="28"/>
        </w:rPr>
        <w:t> </w:t>
      </w:r>
      <w:r w:rsidRPr="00B963DF">
        <w:rPr>
          <w:rFonts w:ascii="Times New Roman" w:hAnsi="Times New Roman"/>
          <w:i/>
          <w:color w:val="000000"/>
          <w:spacing w:val="-4"/>
          <w:sz w:val="28"/>
          <w:szCs w:val="28"/>
        </w:rPr>
        <w:t>Кадры и образование</w:t>
      </w:r>
      <w:r w:rsidRPr="00B963DF">
        <w:rPr>
          <w:rFonts w:ascii="Times New Roman" w:hAnsi="Times New Roman"/>
          <w:color w:val="000000"/>
          <w:spacing w:val="-4"/>
          <w:sz w:val="28"/>
          <w:szCs w:val="28"/>
        </w:rPr>
        <w:t xml:space="preserve"> предусматривает подготовку кадров, модернизацию</w:t>
      </w:r>
      <w:r w:rsidRPr="006E53CE">
        <w:rPr>
          <w:rFonts w:ascii="Times New Roman" w:hAnsi="Times New Roman"/>
          <w:color w:val="000000"/>
          <w:sz w:val="28"/>
          <w:szCs w:val="28"/>
        </w:rPr>
        <w:t xml:space="preserve"> системы образования, создание рынка труда для цифровой экономики</w:t>
      </w:r>
      <w:r>
        <w:rPr>
          <w:rFonts w:ascii="Times New Roman" w:hAnsi="Times New Roman"/>
          <w:color w:val="000000"/>
          <w:sz w:val="28"/>
          <w:szCs w:val="28"/>
        </w:rPr>
        <w:t>.</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План мероприятий по направлению </w:t>
      </w:r>
      <w:r w:rsidR="004D2C9E">
        <w:rPr>
          <w:rFonts w:ascii="Times New Roman" w:hAnsi="Times New Roman"/>
          <w:color w:val="000000"/>
          <w:sz w:val="28"/>
          <w:szCs w:val="28"/>
        </w:rPr>
        <w:t>«</w:t>
      </w:r>
      <w:r w:rsidRPr="00AD7ED9">
        <w:rPr>
          <w:rFonts w:ascii="Times New Roman" w:hAnsi="Times New Roman"/>
          <w:color w:val="000000"/>
          <w:sz w:val="28"/>
          <w:szCs w:val="28"/>
        </w:rPr>
        <w:t>Формирование исследовательских компетенций и технологических заделов</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разработан на 6 лет (2018</w:t>
      </w:r>
      <w:r w:rsidR="00F9318B">
        <w:rPr>
          <w:rFonts w:ascii="Times New Roman" w:hAnsi="Times New Roman"/>
          <w:color w:val="000000"/>
          <w:sz w:val="28"/>
          <w:szCs w:val="28"/>
        </w:rPr>
        <w:t>–</w:t>
      </w:r>
      <w:r w:rsidRPr="00AD7ED9">
        <w:rPr>
          <w:rFonts w:ascii="Times New Roman" w:hAnsi="Times New Roman"/>
          <w:color w:val="000000"/>
          <w:sz w:val="28"/>
          <w:szCs w:val="28"/>
        </w:rPr>
        <w:t>2024</w:t>
      </w:r>
      <w:r w:rsidR="00F9318B">
        <w:rPr>
          <w:rFonts w:ascii="Times New Roman" w:hAnsi="Times New Roman"/>
          <w:color w:val="000000"/>
          <w:sz w:val="28"/>
          <w:szCs w:val="28"/>
        </w:rPr>
        <w:t> годы</w:t>
      </w:r>
      <w:r w:rsidRPr="00AD7ED9">
        <w:rPr>
          <w:rFonts w:ascii="Times New Roman" w:hAnsi="Times New Roman"/>
          <w:color w:val="000000"/>
          <w:sz w:val="28"/>
          <w:szCs w:val="28"/>
        </w:rPr>
        <w:t>) и направлен на достижение следующих результатов:</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определены сектора экономики с наиболее высоким потенциалом коммерциализации решений на базе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технологий в области цифровой экономики;</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запущена цифровая трансформация секторов российской экономики и отдельных ее субъектов;</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сформирован спрос на продукцию российского происхождения в части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технологий со стороны широкого круга субъектов экономики;</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обеспечена защита технологических решений иностранного происхождения, необходимых для развития в России приоритетных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технологий;</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разработаны и утверждены программы деятельности отобранных организаций-лидеров;</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сформированы условия для развития </w:t>
      </w:r>
      <w:r w:rsidR="00817CE6" w:rsidRPr="00817CE6">
        <w:rPr>
          <w:rFonts w:ascii="Times New Roman" w:hAnsi="Times New Roman"/>
          <w:color w:val="000000"/>
          <w:sz w:val="28"/>
          <w:szCs w:val="28"/>
        </w:rPr>
        <w:t xml:space="preserve">международного научно-технического развития </w:t>
      </w:r>
      <w:r w:rsidRPr="00AD7ED9">
        <w:rPr>
          <w:rFonts w:ascii="Times New Roman" w:hAnsi="Times New Roman"/>
          <w:color w:val="000000"/>
          <w:sz w:val="28"/>
          <w:szCs w:val="28"/>
        </w:rPr>
        <w:t xml:space="preserve">организаций-лидеров по приоритетным направлениям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00450AB0">
        <w:rPr>
          <w:rFonts w:ascii="Times New Roman" w:hAnsi="Times New Roman"/>
          <w:color w:val="000000"/>
          <w:sz w:val="28"/>
          <w:szCs w:val="28"/>
        </w:rPr>
        <w:t xml:space="preserve"> технологий цифровой экономики</w:t>
      </w:r>
      <w:r w:rsidRPr="00AD7ED9">
        <w:rPr>
          <w:rFonts w:ascii="Times New Roman" w:hAnsi="Times New Roman"/>
          <w:color w:val="000000"/>
          <w:sz w:val="28"/>
          <w:szCs w:val="28"/>
        </w:rPr>
        <w:t xml:space="preserve"> и начата реализация проектов в рамках </w:t>
      </w:r>
      <w:r w:rsidR="00817CE6" w:rsidRPr="00817CE6">
        <w:rPr>
          <w:rFonts w:ascii="Times New Roman" w:hAnsi="Times New Roman"/>
          <w:color w:val="000000"/>
          <w:sz w:val="28"/>
          <w:szCs w:val="28"/>
        </w:rPr>
        <w:t>международного научно-технического развития</w:t>
      </w:r>
      <w:r w:rsidRPr="00AD7ED9">
        <w:rPr>
          <w:rFonts w:ascii="Times New Roman" w:hAnsi="Times New Roman"/>
          <w:color w:val="000000"/>
          <w:sz w:val="28"/>
          <w:szCs w:val="28"/>
        </w:rPr>
        <w:t>;</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создана экосистема, стимулирующая развитие компаний-лидеров на рынках цифровой экономики;</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компании-лидеры обеспечивают значимый вклад в реализацию повестки цифровой трансформации экономики Российской Федерации согласно целям программы </w:t>
      </w:r>
      <w:r w:rsidR="004D2C9E">
        <w:rPr>
          <w:rFonts w:ascii="Times New Roman" w:hAnsi="Times New Roman"/>
          <w:color w:val="000000"/>
          <w:sz w:val="28"/>
          <w:szCs w:val="28"/>
        </w:rPr>
        <w:t>«</w:t>
      </w:r>
      <w:r w:rsidRPr="00AD7ED9">
        <w:rPr>
          <w:rFonts w:ascii="Times New Roman" w:hAnsi="Times New Roman"/>
          <w:color w:val="000000"/>
          <w:sz w:val="28"/>
          <w:szCs w:val="28"/>
        </w:rPr>
        <w:t>Цифровая экономика Российской Федерации</w:t>
      </w:r>
      <w:r w:rsidR="004D2C9E">
        <w:rPr>
          <w:rFonts w:ascii="Times New Roman" w:hAnsi="Times New Roman"/>
          <w:color w:val="000000"/>
          <w:sz w:val="28"/>
          <w:szCs w:val="28"/>
        </w:rPr>
        <w:t>»</w:t>
      </w:r>
      <w:r w:rsidRPr="00AD7ED9">
        <w:rPr>
          <w:rFonts w:ascii="Times New Roman" w:hAnsi="Times New Roman"/>
          <w:color w:val="000000"/>
          <w:sz w:val="28"/>
          <w:szCs w:val="28"/>
        </w:rPr>
        <w:t>;</w:t>
      </w:r>
    </w:p>
    <w:p w:rsidR="0068434D" w:rsidRPr="00B963DF" w:rsidRDefault="0068434D" w:rsidP="004D2C9E">
      <w:pPr>
        <w:autoSpaceDE w:val="0"/>
        <w:autoSpaceDN w:val="0"/>
        <w:adjustRightInd w:val="0"/>
        <w:spacing w:after="0" w:line="240" w:lineRule="auto"/>
        <w:ind w:firstLine="709"/>
        <w:jc w:val="both"/>
        <w:rPr>
          <w:rFonts w:ascii="Times New Roman" w:hAnsi="Times New Roman"/>
          <w:color w:val="000000"/>
          <w:spacing w:val="-2"/>
          <w:sz w:val="28"/>
          <w:szCs w:val="28"/>
        </w:rPr>
      </w:pPr>
      <w:r w:rsidRPr="00AD7ED9">
        <w:rPr>
          <w:rFonts w:ascii="Times New Roman" w:hAnsi="Times New Roman"/>
          <w:color w:val="000000"/>
          <w:sz w:val="28"/>
          <w:szCs w:val="28"/>
        </w:rPr>
        <w:t xml:space="preserve">принципы и инструменты развития цифровой экономики (цифровой </w:t>
      </w:r>
      <w:r w:rsidRPr="00B963DF">
        <w:rPr>
          <w:rFonts w:ascii="Times New Roman" w:hAnsi="Times New Roman"/>
          <w:color w:val="000000"/>
          <w:spacing w:val="-2"/>
          <w:sz w:val="28"/>
          <w:szCs w:val="28"/>
        </w:rPr>
        <w:t>трансформации) доведены до руководства ведущих государственных компаний;</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интенсифицирован спрос на исследования и разработки в области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технологий цифровой экономики;</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создан</w:t>
      </w:r>
      <w:r w:rsidR="00032601">
        <w:rPr>
          <w:rFonts w:ascii="Times New Roman" w:hAnsi="Times New Roman"/>
          <w:color w:val="000000"/>
          <w:sz w:val="28"/>
          <w:szCs w:val="28"/>
        </w:rPr>
        <w:t>ы</w:t>
      </w:r>
      <w:r w:rsidRPr="00AD7ED9">
        <w:rPr>
          <w:rFonts w:ascii="Times New Roman" w:hAnsi="Times New Roman"/>
          <w:color w:val="000000"/>
          <w:sz w:val="28"/>
          <w:szCs w:val="28"/>
        </w:rPr>
        <w:t xml:space="preserve"> не менее 3 аспирантских и магистерских школ по каждому направлению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технологий на базе ведущих вузов и научных организаций.</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Ожидается, что будет создана система мотивации граждан по освоению необходимых компетенций и участию в развитии цифровой экономике, система образования будет отвечать новым вызовам, содействовать всестороннему развитию обучающихся и готовить компетентные кадры, будут созданы ключевые условия для их подготовки, а работодатели будут содействовать развитию персонала.</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Для функционирования цифровой экономики определены приоритеты основных сквозных технологий: новые производственные технологии, большие данные, нейротехнологии и искусственный интеллект, системы распределенного реестра, квантовые технологии, промышленный интернет, компоненты робототехники и сенсорика, технологии беспроводной связи, технологии виртуальной и дополненной реальностей.</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План достижения показателей по данному направлению предусматривает ежегодные обязательные индикаторы и единицы измерения в отношении </w:t>
      </w:r>
      <w:r w:rsidR="00032601">
        <w:rPr>
          <w:rFonts w:ascii="Times New Roman" w:hAnsi="Times New Roman"/>
          <w:color w:val="000000"/>
          <w:sz w:val="28"/>
          <w:szCs w:val="28"/>
        </w:rPr>
        <w:t>количества</w:t>
      </w:r>
      <w:r w:rsidRPr="00AD7ED9">
        <w:rPr>
          <w:rFonts w:ascii="Times New Roman" w:hAnsi="Times New Roman"/>
          <w:color w:val="000000"/>
          <w:sz w:val="28"/>
          <w:szCs w:val="28"/>
        </w:rPr>
        <w:t>:</w:t>
      </w:r>
    </w:p>
    <w:p w:rsidR="0068434D" w:rsidRPr="00FA59CA" w:rsidRDefault="0068434D" w:rsidP="004D2C9E">
      <w:pPr>
        <w:autoSpaceDE w:val="0"/>
        <w:autoSpaceDN w:val="0"/>
        <w:adjustRightInd w:val="0"/>
        <w:spacing w:after="0" w:line="240" w:lineRule="auto"/>
        <w:ind w:firstLine="709"/>
        <w:jc w:val="both"/>
        <w:rPr>
          <w:rFonts w:ascii="Times New Roman" w:hAnsi="Times New Roman"/>
          <w:color w:val="000000"/>
          <w:spacing w:val="-2"/>
          <w:sz w:val="28"/>
          <w:szCs w:val="28"/>
        </w:rPr>
      </w:pPr>
      <w:r w:rsidRPr="00FA59CA">
        <w:rPr>
          <w:rFonts w:ascii="Times New Roman" w:hAnsi="Times New Roman"/>
          <w:color w:val="000000"/>
          <w:spacing w:val="-2"/>
          <w:sz w:val="28"/>
          <w:szCs w:val="28"/>
        </w:rPr>
        <w:t xml:space="preserve">центров компетенций по каждому из направлений </w:t>
      </w:r>
      <w:r w:rsidR="004D2C9E" w:rsidRPr="00FA59CA">
        <w:rPr>
          <w:rFonts w:ascii="Times New Roman" w:hAnsi="Times New Roman"/>
          <w:color w:val="000000"/>
          <w:spacing w:val="-2"/>
          <w:sz w:val="28"/>
          <w:szCs w:val="28"/>
        </w:rPr>
        <w:t>«</w:t>
      </w:r>
      <w:r w:rsidRPr="00FA59CA">
        <w:rPr>
          <w:rFonts w:ascii="Times New Roman" w:hAnsi="Times New Roman"/>
          <w:color w:val="000000"/>
          <w:spacing w:val="-2"/>
          <w:sz w:val="28"/>
          <w:szCs w:val="28"/>
        </w:rPr>
        <w:t>сквозных</w:t>
      </w:r>
      <w:r w:rsidR="004D2C9E" w:rsidRPr="00FA59CA">
        <w:rPr>
          <w:rFonts w:ascii="Times New Roman" w:hAnsi="Times New Roman"/>
          <w:color w:val="000000"/>
          <w:spacing w:val="-2"/>
          <w:sz w:val="28"/>
          <w:szCs w:val="28"/>
        </w:rPr>
        <w:t>»</w:t>
      </w:r>
      <w:r w:rsidRPr="00FA59CA">
        <w:rPr>
          <w:rFonts w:ascii="Times New Roman" w:hAnsi="Times New Roman"/>
          <w:color w:val="000000"/>
          <w:spacing w:val="-2"/>
          <w:sz w:val="28"/>
          <w:szCs w:val="28"/>
        </w:rPr>
        <w:t xml:space="preserve"> технологий;</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международных центров компетенций, являющихся партнерами цифровых платформ для исследований и разработок;</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российских организаций, участвующих в реализации крупных проект</w:t>
      </w:r>
      <w:r w:rsidR="00EC4A02">
        <w:rPr>
          <w:rFonts w:ascii="Times New Roman" w:hAnsi="Times New Roman"/>
          <w:color w:val="000000"/>
          <w:sz w:val="28"/>
          <w:szCs w:val="28"/>
        </w:rPr>
        <w:t>ов</w:t>
      </w:r>
      <w:r w:rsidRPr="00AD7ED9">
        <w:rPr>
          <w:rFonts w:ascii="Times New Roman" w:hAnsi="Times New Roman"/>
          <w:color w:val="000000"/>
          <w:sz w:val="28"/>
          <w:szCs w:val="28"/>
        </w:rPr>
        <w:t xml:space="preserve"> (объемом 3 </w:t>
      </w:r>
      <w:r w:rsidR="00015C15">
        <w:rPr>
          <w:rFonts w:ascii="Times New Roman" w:hAnsi="Times New Roman"/>
          <w:color w:val="000000"/>
          <w:sz w:val="28"/>
          <w:szCs w:val="28"/>
        </w:rPr>
        <w:t>млн</w:t>
      </w:r>
      <w:r w:rsidRPr="00AD7ED9">
        <w:rPr>
          <w:rFonts w:ascii="Times New Roman" w:hAnsi="Times New Roman"/>
          <w:color w:val="000000"/>
          <w:sz w:val="28"/>
          <w:szCs w:val="28"/>
        </w:rPr>
        <w:t xml:space="preserve"> долларов США) в приоритетных направлениях МНТС в области цифровой экономики;</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участников цифровых платформ для исследований и разработок;</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компаний</w:t>
      </w:r>
      <w:r w:rsidR="004A1A74">
        <w:rPr>
          <w:rFonts w:ascii="Times New Roman" w:hAnsi="Times New Roman"/>
          <w:color w:val="000000"/>
          <w:sz w:val="28"/>
          <w:szCs w:val="28"/>
        </w:rPr>
        <w:t>-</w:t>
      </w:r>
      <w:r w:rsidRPr="00AD7ED9">
        <w:rPr>
          <w:rFonts w:ascii="Times New Roman" w:hAnsi="Times New Roman"/>
          <w:color w:val="000000"/>
          <w:sz w:val="28"/>
          <w:szCs w:val="28"/>
        </w:rPr>
        <w:t>технологических лидеров, конкурентоспособных на глобальных рынках;</w:t>
      </w:r>
    </w:p>
    <w:p w:rsidR="0068434D" w:rsidRPr="00AD7ED9" w:rsidRDefault="0068434D" w:rsidP="00015C15">
      <w:pPr>
        <w:pStyle w:val="22"/>
      </w:pPr>
      <w:r w:rsidRPr="00AD7ED9">
        <w:t>реализованных проектов в области цифровой экономики (объемом не менее 100 млн рублей);</w:t>
      </w:r>
    </w:p>
    <w:p w:rsidR="0068434D" w:rsidRPr="00AD7ED9"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созданных аспирантских и магистерских школ по направлениям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технологий на базе ведущих вузов и научных организаций;</w:t>
      </w:r>
    </w:p>
    <w:p w:rsidR="0068434D" w:rsidRPr="00B40D1D" w:rsidRDefault="0068434D" w:rsidP="004D2C9E">
      <w:pPr>
        <w:autoSpaceDE w:val="0"/>
        <w:autoSpaceDN w:val="0"/>
        <w:adjustRightInd w:val="0"/>
        <w:spacing w:after="0" w:line="240" w:lineRule="auto"/>
        <w:ind w:firstLine="709"/>
        <w:jc w:val="both"/>
        <w:rPr>
          <w:rFonts w:ascii="Times New Roman" w:hAnsi="Times New Roman"/>
          <w:color w:val="000000"/>
          <w:sz w:val="28"/>
          <w:szCs w:val="28"/>
        </w:rPr>
      </w:pPr>
      <w:r w:rsidRPr="00AD7ED9">
        <w:rPr>
          <w:rFonts w:ascii="Times New Roman" w:hAnsi="Times New Roman"/>
          <w:color w:val="000000"/>
          <w:sz w:val="28"/>
          <w:szCs w:val="28"/>
        </w:rPr>
        <w:t xml:space="preserve">специалистов по направлениям </w:t>
      </w:r>
      <w:r w:rsidR="004D2C9E">
        <w:rPr>
          <w:rFonts w:ascii="Times New Roman" w:hAnsi="Times New Roman"/>
          <w:color w:val="000000"/>
          <w:sz w:val="28"/>
          <w:szCs w:val="28"/>
        </w:rPr>
        <w:t>«</w:t>
      </w:r>
      <w:r w:rsidRPr="00AD7ED9">
        <w:rPr>
          <w:rFonts w:ascii="Times New Roman" w:hAnsi="Times New Roman"/>
          <w:color w:val="000000"/>
          <w:sz w:val="28"/>
          <w:szCs w:val="28"/>
        </w:rPr>
        <w:t>сквозных</w:t>
      </w:r>
      <w:r w:rsidR="004D2C9E">
        <w:rPr>
          <w:rFonts w:ascii="Times New Roman" w:hAnsi="Times New Roman"/>
          <w:color w:val="000000"/>
          <w:sz w:val="28"/>
          <w:szCs w:val="28"/>
        </w:rPr>
        <w:t>»</w:t>
      </w:r>
      <w:r w:rsidRPr="00AD7ED9">
        <w:rPr>
          <w:rFonts w:ascii="Times New Roman" w:hAnsi="Times New Roman"/>
          <w:color w:val="000000"/>
          <w:sz w:val="28"/>
          <w:szCs w:val="28"/>
        </w:rPr>
        <w:t xml:space="preserve"> технологий, обученных за рубежом и вернувшихся в Россию.</w:t>
      </w:r>
    </w:p>
    <w:p w:rsidR="0068434D" w:rsidRPr="00123A7A" w:rsidRDefault="0068434D" w:rsidP="004D2C9E">
      <w:pPr>
        <w:pStyle w:val="4"/>
      </w:pPr>
      <w:r w:rsidRPr="00123A7A">
        <w:t xml:space="preserve">Евразийский экономический союз </w:t>
      </w:r>
    </w:p>
    <w:p w:rsidR="0068434D" w:rsidRPr="00123A7A" w:rsidRDefault="0068434D" w:rsidP="004D2C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Pr="00123A7A">
        <w:rPr>
          <w:rFonts w:ascii="Times New Roman" w:hAnsi="Times New Roman"/>
          <w:color w:val="000000"/>
          <w:sz w:val="28"/>
          <w:szCs w:val="28"/>
        </w:rPr>
        <w:t xml:space="preserve"> настоящее время в связи с вызовами цифровой экономики совместные ус</w:t>
      </w:r>
      <w:r>
        <w:rPr>
          <w:rFonts w:ascii="Times New Roman" w:hAnsi="Times New Roman"/>
          <w:color w:val="000000"/>
          <w:sz w:val="28"/>
          <w:szCs w:val="28"/>
        </w:rPr>
        <w:t>илия в соответствующей сфере</w:t>
      </w:r>
      <w:r w:rsidRPr="00123A7A">
        <w:rPr>
          <w:rFonts w:ascii="Times New Roman" w:hAnsi="Times New Roman"/>
          <w:color w:val="000000"/>
          <w:sz w:val="28"/>
          <w:szCs w:val="28"/>
        </w:rPr>
        <w:t xml:space="preserve"> предпринимают государства – члены ЕАЭС.</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Так, еще 31 мая 2016 года Высший Евразийский экономический совет утвердил Основные ориентиры макроэкономической политики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на 2016</w:t>
      </w:r>
      <w:r w:rsidR="00F9318B">
        <w:rPr>
          <w:rFonts w:ascii="Times New Roman" w:hAnsi="Times New Roman"/>
          <w:color w:val="000000"/>
          <w:sz w:val="28"/>
          <w:szCs w:val="28"/>
        </w:rPr>
        <w:t>–</w:t>
      </w:r>
      <w:r w:rsidRPr="00123A7A">
        <w:rPr>
          <w:rFonts w:ascii="Times New Roman" w:hAnsi="Times New Roman"/>
          <w:color w:val="000000"/>
          <w:sz w:val="28"/>
          <w:szCs w:val="28"/>
        </w:rPr>
        <w:t>2017 годы, определяющие наиболее важные для экономик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кратко- и среднесрочные задачи на 2016</w:t>
      </w:r>
      <w:r w:rsidR="00F9318B">
        <w:rPr>
          <w:rFonts w:ascii="Times New Roman" w:hAnsi="Times New Roman"/>
          <w:color w:val="000000"/>
          <w:sz w:val="28"/>
          <w:szCs w:val="28"/>
        </w:rPr>
        <w:t>–</w:t>
      </w:r>
      <w:r w:rsidRPr="00123A7A">
        <w:rPr>
          <w:rFonts w:ascii="Times New Roman" w:hAnsi="Times New Roman"/>
          <w:color w:val="000000"/>
          <w:sz w:val="28"/>
          <w:szCs w:val="28"/>
        </w:rPr>
        <w:t xml:space="preserve">2017 годы, содержащие рекомендации по их решению. </w:t>
      </w:r>
    </w:p>
    <w:p w:rsidR="0068434D" w:rsidRPr="00123A7A" w:rsidRDefault="0068434D" w:rsidP="004D2C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частности</w:t>
      </w:r>
      <w:r w:rsidR="004F0292">
        <w:rPr>
          <w:rFonts w:ascii="Times New Roman" w:hAnsi="Times New Roman"/>
          <w:color w:val="000000"/>
          <w:sz w:val="28"/>
          <w:szCs w:val="28"/>
        </w:rPr>
        <w:t>,</w:t>
      </w:r>
      <w:r w:rsidRPr="00123A7A">
        <w:rPr>
          <w:rFonts w:ascii="Times New Roman" w:hAnsi="Times New Roman"/>
          <w:color w:val="000000"/>
          <w:sz w:val="28"/>
          <w:szCs w:val="28"/>
        </w:rPr>
        <w:t xml:space="preserve"> было отмечено, что значительный стимул активизации экономической деятельности в государствах</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членах ЕАЭС могут придать развитие взаимной торговли и усиление взаимодействия в наиболее важных для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секторах экономики, в том числе за счет формирования и использования единого цифрового пространства. Для решения поставленных задач в 2016</w:t>
      </w:r>
      <w:r w:rsidR="00F9318B">
        <w:rPr>
          <w:rFonts w:ascii="Times New Roman" w:hAnsi="Times New Roman"/>
          <w:color w:val="000000"/>
          <w:sz w:val="28"/>
          <w:szCs w:val="28"/>
        </w:rPr>
        <w:t>–</w:t>
      </w:r>
      <w:r w:rsidRPr="00123A7A">
        <w:rPr>
          <w:rFonts w:ascii="Times New Roman" w:hAnsi="Times New Roman"/>
          <w:color w:val="000000"/>
          <w:sz w:val="28"/>
          <w:szCs w:val="28"/>
        </w:rPr>
        <w:t>2017 годах государствам-членам необходимо было реализовывать совместные меры в рамках ЕАЭС и национальные меры. Так, для активизации взаимной торговли и развития внутреннего рынка ЕАЭС следовало выработать предложения по формированию цифрового пространства ЕАЭС.</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 xml:space="preserve">26 декабря 2016 года в рамках заседания Высшего Евразийского экономического совета главы государств-членов подписали Заявление о цифровой повестке ЕАЭС, выражая уверенность в том, что ее реализация будет способствовать развитию добросовестной конкуренции и предпринимательства в рамках функционирования цифровой экономики, а также созданию условий для повышения эффективности экономических процессов и повышению конкурентоспособности хозяйствующих субъектов на внутренних и глобальных рынках. Одновременно с этим было принято Решение </w:t>
      </w:r>
      <w:r w:rsidR="00E720B2">
        <w:rPr>
          <w:rFonts w:ascii="Times New Roman" w:hAnsi="Times New Roman"/>
          <w:color w:val="000000"/>
          <w:sz w:val="28"/>
          <w:szCs w:val="28"/>
        </w:rPr>
        <w:t>№ </w:t>
      </w:r>
      <w:r w:rsidRPr="00123A7A">
        <w:rPr>
          <w:rFonts w:ascii="Times New Roman" w:hAnsi="Times New Roman"/>
          <w:color w:val="000000"/>
          <w:sz w:val="28"/>
          <w:szCs w:val="28"/>
        </w:rPr>
        <w:t xml:space="preserve">21 </w:t>
      </w:r>
      <w:r w:rsidR="00015C15">
        <w:rPr>
          <w:rFonts w:ascii="Times New Roman" w:hAnsi="Times New Roman"/>
          <w:color w:val="000000"/>
          <w:sz w:val="28"/>
          <w:szCs w:val="28"/>
        </w:rPr>
        <w:br/>
      </w:r>
      <w:r w:rsidR="004D2C9E">
        <w:rPr>
          <w:rFonts w:ascii="Times New Roman" w:hAnsi="Times New Roman"/>
          <w:color w:val="000000"/>
          <w:sz w:val="28"/>
          <w:szCs w:val="28"/>
        </w:rPr>
        <w:t>«</w:t>
      </w:r>
      <w:r w:rsidRPr="00123A7A">
        <w:rPr>
          <w:rFonts w:ascii="Times New Roman" w:hAnsi="Times New Roman"/>
          <w:color w:val="000000"/>
          <w:sz w:val="28"/>
          <w:szCs w:val="28"/>
        </w:rPr>
        <w:t>О формировании цифровой повестки ЕАЭС</w:t>
      </w:r>
      <w:r w:rsidR="004D2C9E">
        <w:rPr>
          <w:rFonts w:ascii="Times New Roman" w:hAnsi="Times New Roman"/>
          <w:color w:val="000000"/>
          <w:sz w:val="28"/>
          <w:szCs w:val="28"/>
        </w:rPr>
        <w:t>»</w:t>
      </w:r>
      <w:r w:rsidRPr="00123A7A">
        <w:rPr>
          <w:rFonts w:ascii="Times New Roman" w:hAnsi="Times New Roman"/>
          <w:color w:val="000000"/>
          <w:sz w:val="28"/>
          <w:szCs w:val="28"/>
        </w:rPr>
        <w:t xml:space="preserve">, которым дано поручение правительствам государств – членов ЕАЭС совместно с Евразийской экономической комиссией </w:t>
      </w:r>
      <w:r w:rsidR="004A1A74">
        <w:rPr>
          <w:rFonts w:ascii="Times New Roman" w:hAnsi="Times New Roman"/>
          <w:color w:val="000000"/>
          <w:sz w:val="28"/>
          <w:szCs w:val="28"/>
        </w:rPr>
        <w:t>(</w:t>
      </w:r>
      <w:r w:rsidR="00FF1151">
        <w:rPr>
          <w:rFonts w:ascii="Times New Roman" w:hAnsi="Times New Roman"/>
          <w:color w:val="000000"/>
          <w:sz w:val="28"/>
          <w:szCs w:val="28"/>
        </w:rPr>
        <w:t>ЕЭК</w:t>
      </w:r>
      <w:r w:rsidR="004A1A74">
        <w:rPr>
          <w:rFonts w:ascii="Times New Roman" w:hAnsi="Times New Roman"/>
          <w:color w:val="000000"/>
          <w:sz w:val="28"/>
          <w:szCs w:val="28"/>
        </w:rPr>
        <w:t>)</w:t>
      </w:r>
      <w:r w:rsidRPr="00123A7A">
        <w:rPr>
          <w:rFonts w:ascii="Times New Roman" w:hAnsi="Times New Roman"/>
          <w:color w:val="000000"/>
          <w:sz w:val="28"/>
          <w:szCs w:val="28"/>
        </w:rPr>
        <w:t xml:space="preserve"> в срок до 1 декабря 2017 года разработать и представить для рассмотрения Евразийским межправительственным советом основные направления реализации цифровой повестки ЕАЭС до 2025 года. 11</w:t>
      </w:r>
      <w:r w:rsidR="00903F7A">
        <w:rPr>
          <w:rFonts w:ascii="Times New Roman" w:hAnsi="Times New Roman"/>
          <w:color w:val="000000"/>
          <w:sz w:val="28"/>
          <w:szCs w:val="28"/>
        </w:rPr>
        <w:t> </w:t>
      </w:r>
      <w:r w:rsidRPr="00123A7A">
        <w:rPr>
          <w:rFonts w:ascii="Times New Roman" w:hAnsi="Times New Roman"/>
          <w:color w:val="000000"/>
          <w:sz w:val="28"/>
          <w:szCs w:val="28"/>
        </w:rPr>
        <w:t>октября 2017 года ЕЭК доложила главам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 xml:space="preserve">членов ЕАЭС о ходе реализации цифровой повестки. </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 xml:space="preserve">В условиях, когда мировая экономика находится на этапе глубоких структурных преобразований и развития цифровой экономики, когда происходит цифровая трансформация повседневной жизни, деловой среды и государственного управления, главы государств – членов ЕАЭС 11 октября 2017 года, приняв к сведению указанную информацию ЕЭК, утвердили Основные направления реализации цифровой повестки ЕАЭС до 2025 года Решением Высшего Евразийского экономического совета </w:t>
      </w:r>
      <w:r w:rsidR="00E720B2">
        <w:rPr>
          <w:rFonts w:ascii="Times New Roman" w:hAnsi="Times New Roman"/>
          <w:color w:val="000000"/>
          <w:sz w:val="28"/>
          <w:szCs w:val="28"/>
        </w:rPr>
        <w:t>№ </w:t>
      </w:r>
      <w:r w:rsidRPr="00123A7A">
        <w:rPr>
          <w:rFonts w:ascii="Times New Roman" w:hAnsi="Times New Roman"/>
          <w:color w:val="000000"/>
          <w:sz w:val="28"/>
          <w:szCs w:val="28"/>
        </w:rPr>
        <w:t>12 (далее – Основные направления).</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В Основных направлениях отмечается, что основным источником капитализации в цифровой экономике являются цифровые платформы и цифровые ресурсы. Сотрудничество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по развитию индустрии данных позволит не только нормализовать использование данных (от промышленных данных до данных об индивиде), но и создать условия для формирования новых сегментов цифровой экономики, новых практик оборота полезных данных с учетом требований законодательства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в соответствующих сферах.</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 xml:space="preserve">Цифровые активы могут строиться на основе новых бизнес-моделей и технологий (технологии обработки </w:t>
      </w:r>
      <w:r w:rsidR="004D2C9E">
        <w:rPr>
          <w:rFonts w:ascii="Times New Roman" w:hAnsi="Times New Roman"/>
          <w:color w:val="000000"/>
          <w:sz w:val="28"/>
          <w:szCs w:val="28"/>
        </w:rPr>
        <w:t>«</w:t>
      </w:r>
      <w:r w:rsidRPr="00123A7A">
        <w:rPr>
          <w:rFonts w:ascii="Times New Roman" w:hAnsi="Times New Roman"/>
          <w:color w:val="000000"/>
          <w:sz w:val="28"/>
          <w:szCs w:val="28"/>
        </w:rPr>
        <w:t>больших данных</w:t>
      </w:r>
      <w:r w:rsidR="004D2C9E">
        <w:rPr>
          <w:rFonts w:ascii="Times New Roman" w:hAnsi="Times New Roman"/>
          <w:color w:val="000000"/>
          <w:sz w:val="28"/>
          <w:szCs w:val="28"/>
        </w:rPr>
        <w:t>»</w:t>
      </w:r>
      <w:r w:rsidRPr="00123A7A">
        <w:rPr>
          <w:rFonts w:ascii="Times New Roman" w:hAnsi="Times New Roman"/>
          <w:color w:val="000000"/>
          <w:sz w:val="28"/>
          <w:szCs w:val="28"/>
        </w:rPr>
        <w:t xml:space="preserve">, искусственный интеллект, методы и технологии поддержки принятия решений на основе накопленных и </w:t>
      </w:r>
      <w:r w:rsidR="004D2C9E">
        <w:rPr>
          <w:rFonts w:ascii="Times New Roman" w:hAnsi="Times New Roman"/>
          <w:color w:val="000000"/>
          <w:sz w:val="28"/>
          <w:szCs w:val="28"/>
        </w:rPr>
        <w:t>«</w:t>
      </w:r>
      <w:r w:rsidRPr="00123A7A">
        <w:rPr>
          <w:rFonts w:ascii="Times New Roman" w:hAnsi="Times New Roman"/>
          <w:color w:val="000000"/>
          <w:sz w:val="28"/>
          <w:szCs w:val="28"/>
        </w:rPr>
        <w:t>исторических</w:t>
      </w:r>
      <w:r w:rsidR="004D2C9E">
        <w:rPr>
          <w:rFonts w:ascii="Times New Roman" w:hAnsi="Times New Roman"/>
          <w:color w:val="000000"/>
          <w:sz w:val="28"/>
          <w:szCs w:val="28"/>
        </w:rPr>
        <w:t>»</w:t>
      </w:r>
      <w:r w:rsidRPr="00123A7A">
        <w:rPr>
          <w:rFonts w:ascii="Times New Roman" w:hAnsi="Times New Roman"/>
          <w:color w:val="000000"/>
          <w:sz w:val="28"/>
          <w:szCs w:val="28"/>
        </w:rPr>
        <w:t xml:space="preserve"> данных и данных мониторинга управляемого объекта и др.), имеющих перспективу дальнейшего развития и возможность использования в реализации активов комплексных решений на базе нескольких технологий.</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Цифровые платформы являются основным элементом развития технологической деятельности в рамках всесторонней кооперации хозяйствующих субъектов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на основе сквозных процессов, что предполагает привлечение заинтересованных участников, функционирующих в различных традиционных и новых отраслях, на одной цифровой платформе, вокруг одних цифровых образов (объектов).</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Формирование цифровых платформ как вида цифровых активов резидентами государств-членов повышает их конкурентоспособность, позволяет постоянно получать их владельцам и юрисдикциям дополнительную интеллектуальную и материальную ценность и выгоду, накапливать компетенции для выхода на глобальные рынки. При этом в рамках интеграционного сотрудничества определились отрасли (промышленность, сельское хозяйство, транспорт, энергетика, торговля, фармацевтика и др.), в которых ведется сотрудничество и в каждой из которых возможны проработка комплекса инициатив, а также формирование кооперации из заинтересованных участников бизнес-сообществ</w:t>
      </w:r>
      <w:r w:rsidR="004A1A74">
        <w:rPr>
          <w:rFonts w:ascii="Times New Roman" w:hAnsi="Times New Roman"/>
          <w:color w:val="000000"/>
          <w:sz w:val="28"/>
          <w:szCs w:val="28"/>
        </w:rPr>
        <w:t>а</w:t>
      </w:r>
      <w:r w:rsidRPr="00123A7A">
        <w:rPr>
          <w:rFonts w:ascii="Times New Roman" w:hAnsi="Times New Roman"/>
          <w:color w:val="000000"/>
          <w:sz w:val="28"/>
          <w:szCs w:val="28"/>
        </w:rPr>
        <w:t xml:space="preserve"> при инвестиционной поддержке государств-членов.</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CE4084">
        <w:rPr>
          <w:rFonts w:ascii="Times New Roman" w:hAnsi="Times New Roman"/>
          <w:color w:val="000000"/>
          <w:spacing w:val="-2"/>
          <w:sz w:val="28"/>
          <w:szCs w:val="28"/>
        </w:rPr>
        <w:t xml:space="preserve">Для развития цифровой экономики необходимы формирование и развитие цифровых платформ и экосистем, благоприятной среды для создания и оборота </w:t>
      </w:r>
      <w:r w:rsidRPr="00CE4084">
        <w:rPr>
          <w:rFonts w:ascii="Times New Roman" w:hAnsi="Times New Roman"/>
          <w:color w:val="000000"/>
          <w:spacing w:val="-4"/>
          <w:sz w:val="28"/>
          <w:szCs w:val="28"/>
        </w:rPr>
        <w:t>цифровых инноваций, а также поддержка цифровых стартапов и других проектов</w:t>
      </w:r>
      <w:r w:rsidRPr="00123A7A">
        <w:rPr>
          <w:rFonts w:ascii="Times New Roman" w:hAnsi="Times New Roman"/>
          <w:color w:val="000000"/>
          <w:sz w:val="28"/>
          <w:szCs w:val="28"/>
        </w:rPr>
        <w:t>.</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Реализация цифровой повестки будет способствовать открытому, широкому и равноправному сотрудничеству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их хозяйствующих субъектов и граждан, росту эффективности и объемов экономики каждого из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переходу на новый уровень экономического, технологического и социального развития, а также укреплению роли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в формировании глобальной цифровой повестки.</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Достижение целей цифровой повест</w:t>
      </w:r>
      <w:r w:rsidR="00FF1151">
        <w:rPr>
          <w:rFonts w:ascii="Times New Roman" w:hAnsi="Times New Roman"/>
          <w:color w:val="000000"/>
          <w:sz w:val="28"/>
          <w:szCs w:val="28"/>
        </w:rPr>
        <w:t>ки должно привести</w:t>
      </w:r>
      <w:r w:rsidR="004F0292">
        <w:rPr>
          <w:rFonts w:ascii="Times New Roman" w:hAnsi="Times New Roman"/>
          <w:color w:val="000000"/>
          <w:sz w:val="28"/>
          <w:szCs w:val="28"/>
        </w:rPr>
        <w:t xml:space="preserve"> в частности</w:t>
      </w:r>
      <w:r w:rsidRPr="00123A7A">
        <w:rPr>
          <w:rFonts w:ascii="Times New Roman" w:hAnsi="Times New Roman"/>
          <w:color w:val="000000"/>
          <w:sz w:val="28"/>
          <w:szCs w:val="28"/>
        </w:rPr>
        <w:t>:</w:t>
      </w:r>
    </w:p>
    <w:p w:rsidR="0068434D" w:rsidRPr="00123A7A" w:rsidRDefault="004F0292" w:rsidP="004D2C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0068434D" w:rsidRPr="00123A7A">
        <w:rPr>
          <w:rFonts w:ascii="Times New Roman" w:hAnsi="Times New Roman"/>
          <w:color w:val="000000"/>
          <w:sz w:val="28"/>
          <w:szCs w:val="28"/>
        </w:rPr>
        <w:t xml:space="preserve"> повышению конкурентоспособности хозяйствующих субъектов и граждан государств</w:t>
      </w:r>
      <w:r w:rsidR="00F9318B">
        <w:rPr>
          <w:rFonts w:ascii="Times New Roman" w:hAnsi="Times New Roman"/>
          <w:color w:val="000000"/>
          <w:sz w:val="28"/>
          <w:szCs w:val="28"/>
        </w:rPr>
        <w:t xml:space="preserve"> – </w:t>
      </w:r>
      <w:r w:rsidR="0068434D" w:rsidRPr="00123A7A">
        <w:rPr>
          <w:rFonts w:ascii="Times New Roman" w:hAnsi="Times New Roman"/>
          <w:color w:val="000000"/>
          <w:sz w:val="28"/>
          <w:szCs w:val="28"/>
        </w:rPr>
        <w:t>членов ЕАЭС за счет цифровых преобразований во всех сферах жизни общества;</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созданию условий для устойчивого развития экономик государств</w:t>
      </w:r>
      <w:r w:rsidR="00F9318B">
        <w:rPr>
          <w:rFonts w:ascii="Times New Roman" w:hAnsi="Times New Roman"/>
          <w:color w:val="000000"/>
          <w:sz w:val="28"/>
          <w:szCs w:val="28"/>
        </w:rPr>
        <w:t xml:space="preserve"> – </w:t>
      </w:r>
      <w:r w:rsidRPr="00B963DF">
        <w:rPr>
          <w:rFonts w:ascii="Times New Roman" w:hAnsi="Times New Roman"/>
          <w:color w:val="000000"/>
          <w:spacing w:val="-2"/>
          <w:sz w:val="28"/>
          <w:szCs w:val="28"/>
        </w:rPr>
        <w:t>членов ЕАЭС при переходе на новые технологический и экономический уклады</w:t>
      </w:r>
      <w:r w:rsidRPr="00123A7A">
        <w:rPr>
          <w:rFonts w:ascii="Times New Roman" w:hAnsi="Times New Roman"/>
          <w:color w:val="000000"/>
          <w:sz w:val="28"/>
          <w:szCs w:val="28"/>
        </w:rPr>
        <w:t>;</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всесторонней кооперации хозяйствующих субъектов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на основе сквозных цифровых процессов, создания и развития цифровых активов, к возникновению устойчивых цифровых экосистем для хозяйствующих субъектов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формированию цифрового рынка ЕАЭС и упрощению доступа хозяйствующих субъектов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на внешние рынки;</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созданию инновационных рабочих мест в цифровых и нецифровых сферах экономики и росту включенности хозяйствующих субъектов и граждан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 xml:space="preserve">членов ЕАЭС в цифровую экономику; </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расширению возможностей развития и снижению рисков для хозяйствующих субъектов, граждан и государственных органов государств</w:t>
      </w:r>
      <w:r w:rsidR="00F9318B">
        <w:rPr>
          <w:rFonts w:ascii="Times New Roman" w:hAnsi="Times New Roman"/>
          <w:color w:val="000000"/>
          <w:sz w:val="28"/>
          <w:szCs w:val="28"/>
        </w:rPr>
        <w:t xml:space="preserve"> – </w:t>
      </w:r>
      <w:r w:rsidRPr="00123A7A">
        <w:rPr>
          <w:rFonts w:ascii="Times New Roman" w:hAnsi="Times New Roman"/>
          <w:color w:val="000000"/>
          <w:sz w:val="28"/>
          <w:szCs w:val="28"/>
        </w:rPr>
        <w:t>членов ЕАЭС в ходе развития цифровой экономики.</w:t>
      </w:r>
    </w:p>
    <w:p w:rsidR="0068434D" w:rsidRPr="00123A7A" w:rsidRDefault="0068434D" w:rsidP="004D2C9E">
      <w:pPr>
        <w:spacing w:after="0" w:line="240" w:lineRule="auto"/>
        <w:ind w:firstLine="709"/>
        <w:jc w:val="both"/>
        <w:rPr>
          <w:rFonts w:ascii="Times New Roman" w:hAnsi="Times New Roman"/>
          <w:color w:val="000000"/>
          <w:sz w:val="28"/>
          <w:szCs w:val="28"/>
        </w:rPr>
      </w:pPr>
      <w:r w:rsidRPr="00123A7A">
        <w:rPr>
          <w:rFonts w:ascii="Times New Roman" w:hAnsi="Times New Roman"/>
          <w:color w:val="000000"/>
          <w:sz w:val="28"/>
          <w:szCs w:val="28"/>
        </w:rPr>
        <w:t>Основные направления станут первым шагом в реализации цифровой повестки и создании соответствующих механизмов, а также основой для проработки и согласования приоритетных инициатив в рамках реализации цифровой повестки.</w:t>
      </w:r>
    </w:p>
    <w:p w:rsidR="0068434D" w:rsidRPr="00CE4084" w:rsidRDefault="0068434D" w:rsidP="004D2C9E">
      <w:pPr>
        <w:spacing w:after="0" w:line="240" w:lineRule="auto"/>
        <w:ind w:firstLine="709"/>
        <w:jc w:val="both"/>
        <w:rPr>
          <w:rFonts w:ascii="Times New Roman" w:hAnsi="Times New Roman"/>
          <w:color w:val="000000"/>
          <w:spacing w:val="-4"/>
          <w:sz w:val="28"/>
          <w:szCs w:val="28"/>
        </w:rPr>
      </w:pPr>
      <w:r w:rsidRPr="00CE4084">
        <w:rPr>
          <w:rFonts w:ascii="Times New Roman" w:hAnsi="Times New Roman"/>
          <w:color w:val="000000"/>
          <w:spacing w:val="-4"/>
          <w:sz w:val="28"/>
          <w:szCs w:val="28"/>
        </w:rPr>
        <w:t>Важность и актуальность реализации цифровой повестки выразил През</w:t>
      </w:r>
      <w:r w:rsidR="00F9318B" w:rsidRPr="00CE4084">
        <w:rPr>
          <w:rFonts w:ascii="Times New Roman" w:hAnsi="Times New Roman"/>
          <w:color w:val="000000"/>
          <w:spacing w:val="-4"/>
          <w:sz w:val="28"/>
          <w:szCs w:val="28"/>
        </w:rPr>
        <w:t>идент Российской Федерации В.В.</w:t>
      </w:r>
      <w:r w:rsidRPr="00CE4084">
        <w:rPr>
          <w:rFonts w:ascii="Times New Roman" w:hAnsi="Times New Roman"/>
          <w:color w:val="000000"/>
          <w:spacing w:val="-4"/>
          <w:sz w:val="28"/>
          <w:szCs w:val="28"/>
        </w:rPr>
        <w:t>Путин в связи с принятием с 1 января 2018</w:t>
      </w:r>
      <w:r w:rsidR="00903F7A">
        <w:rPr>
          <w:rFonts w:ascii="Times New Roman" w:hAnsi="Times New Roman"/>
          <w:color w:val="000000"/>
          <w:spacing w:val="-4"/>
          <w:sz w:val="28"/>
          <w:szCs w:val="28"/>
        </w:rPr>
        <w:t> </w:t>
      </w:r>
      <w:r w:rsidRPr="00CE4084">
        <w:rPr>
          <w:rFonts w:ascii="Times New Roman" w:hAnsi="Times New Roman"/>
          <w:color w:val="000000"/>
          <w:spacing w:val="-4"/>
          <w:sz w:val="28"/>
          <w:szCs w:val="28"/>
        </w:rPr>
        <w:t>года Российской Федерацией председательства в органах ЕАЭС: в Высшем Евразийском экономическом совете, Евразийском межправительственном совете и Совете ЕЭК. Так, в своем Обращении к главам государств – членов ЕАЭС от 17</w:t>
      </w:r>
      <w:r w:rsidR="00903F7A">
        <w:rPr>
          <w:rFonts w:ascii="Times New Roman" w:hAnsi="Times New Roman"/>
          <w:color w:val="000000"/>
          <w:spacing w:val="-4"/>
          <w:sz w:val="28"/>
          <w:szCs w:val="28"/>
        </w:rPr>
        <w:t> </w:t>
      </w:r>
      <w:r w:rsidR="004F0292" w:rsidRPr="00CE4084">
        <w:rPr>
          <w:rFonts w:ascii="Times New Roman" w:hAnsi="Times New Roman"/>
          <w:color w:val="000000"/>
          <w:spacing w:val="-4"/>
          <w:sz w:val="28"/>
          <w:szCs w:val="28"/>
        </w:rPr>
        <w:t xml:space="preserve">января </w:t>
      </w:r>
      <w:r w:rsidRPr="00CE4084">
        <w:rPr>
          <w:rFonts w:ascii="Times New Roman" w:hAnsi="Times New Roman"/>
          <w:color w:val="000000"/>
          <w:spacing w:val="-4"/>
          <w:sz w:val="28"/>
          <w:szCs w:val="28"/>
        </w:rPr>
        <w:t>2018</w:t>
      </w:r>
      <w:r w:rsidR="004F0292" w:rsidRPr="00CE4084">
        <w:rPr>
          <w:rFonts w:ascii="Times New Roman" w:hAnsi="Times New Roman"/>
          <w:color w:val="000000"/>
          <w:spacing w:val="-4"/>
          <w:sz w:val="28"/>
          <w:szCs w:val="28"/>
        </w:rPr>
        <w:t xml:space="preserve"> года</w:t>
      </w:r>
      <w:r w:rsidRPr="00CE4084">
        <w:rPr>
          <w:rFonts w:ascii="Times New Roman" w:hAnsi="Times New Roman"/>
          <w:color w:val="000000"/>
          <w:spacing w:val="-4"/>
          <w:sz w:val="28"/>
          <w:szCs w:val="28"/>
        </w:rPr>
        <w:t xml:space="preserve"> </w:t>
      </w:r>
      <w:r w:rsidR="00E720B2">
        <w:rPr>
          <w:rFonts w:ascii="Times New Roman" w:hAnsi="Times New Roman"/>
          <w:color w:val="000000"/>
          <w:spacing w:val="-4"/>
          <w:sz w:val="28"/>
          <w:szCs w:val="28"/>
        </w:rPr>
        <w:t>№ </w:t>
      </w:r>
      <w:r w:rsidRPr="00CE4084">
        <w:rPr>
          <w:rFonts w:ascii="Times New Roman" w:hAnsi="Times New Roman"/>
          <w:color w:val="000000"/>
          <w:spacing w:val="-4"/>
          <w:sz w:val="28"/>
          <w:szCs w:val="28"/>
        </w:rPr>
        <w:t xml:space="preserve">Пр-67 В.В.Путин отметил необходимость ускорить реализацию общей цифровой повестки ЕАЭС, координировать действия по развитию </w:t>
      </w:r>
      <w:r w:rsidR="004D2C9E" w:rsidRPr="00CE4084">
        <w:rPr>
          <w:rFonts w:ascii="Times New Roman" w:hAnsi="Times New Roman"/>
          <w:color w:val="000000"/>
          <w:spacing w:val="-4"/>
          <w:sz w:val="28"/>
          <w:szCs w:val="28"/>
        </w:rPr>
        <w:t>«</w:t>
      </w:r>
      <w:r w:rsidRPr="00CE4084">
        <w:rPr>
          <w:rFonts w:ascii="Times New Roman" w:hAnsi="Times New Roman"/>
          <w:color w:val="000000"/>
          <w:spacing w:val="-4"/>
          <w:sz w:val="28"/>
          <w:szCs w:val="28"/>
        </w:rPr>
        <w:t>интернет-экономики</w:t>
      </w:r>
      <w:r w:rsidR="004D2C9E" w:rsidRPr="00CE4084">
        <w:rPr>
          <w:rFonts w:ascii="Times New Roman" w:hAnsi="Times New Roman"/>
          <w:color w:val="000000"/>
          <w:spacing w:val="-4"/>
          <w:sz w:val="28"/>
          <w:szCs w:val="28"/>
        </w:rPr>
        <w:t>»</w:t>
      </w:r>
      <w:r w:rsidRPr="00CE4084">
        <w:rPr>
          <w:rFonts w:ascii="Times New Roman" w:hAnsi="Times New Roman"/>
          <w:color w:val="000000"/>
          <w:spacing w:val="-4"/>
          <w:sz w:val="28"/>
          <w:szCs w:val="28"/>
        </w:rPr>
        <w:t>, формированию общих правил введения цифровой торговли, единых стандартов обмена информацией и ее защиты и внедрять высокие технологии в государственное управление, промышленность, системы таможенного регулирования, другие сферы, запускать совместные конкурентоспособные, инновационные и наукоемкие производства.</w:t>
      </w:r>
    </w:p>
    <w:p w:rsidR="0068434D" w:rsidRDefault="00EC4A02" w:rsidP="004D2C9E">
      <w:pPr>
        <w:pStyle w:val="2"/>
      </w:pPr>
      <w:bookmarkStart w:id="7" w:name="_Toc526253877"/>
      <w:r>
        <w:t>1.</w:t>
      </w:r>
      <w:r w:rsidR="00956B1B">
        <w:t>3.</w:t>
      </w:r>
      <w:r w:rsidR="004C6124">
        <w:t> </w:t>
      </w:r>
      <w:r w:rsidR="00242833">
        <w:t>Международная практика</w:t>
      </w:r>
      <w:bookmarkEnd w:id="7"/>
    </w:p>
    <w:p w:rsidR="0068434D" w:rsidRDefault="0068434D" w:rsidP="00015C15">
      <w:pPr>
        <w:keepNext/>
        <w:spacing w:before="120" w:after="60" w:line="240" w:lineRule="auto"/>
        <w:ind w:firstLine="709"/>
        <w:jc w:val="both"/>
        <w:rPr>
          <w:rFonts w:ascii="Times New Roman" w:hAnsi="Times New Roman"/>
          <w:b/>
          <w:sz w:val="28"/>
          <w:szCs w:val="28"/>
        </w:rPr>
      </w:pPr>
      <w:r w:rsidRPr="0092130E">
        <w:rPr>
          <w:rFonts w:ascii="Times New Roman" w:hAnsi="Times New Roman"/>
          <w:b/>
          <w:sz w:val="28"/>
          <w:szCs w:val="28"/>
        </w:rPr>
        <w:t>Обзор институциональных изменений. Оценка корреляции цифровых инициатив государств – участников и цифровых инициатив других стран,</w:t>
      </w:r>
      <w:r w:rsidR="00242833">
        <w:rPr>
          <w:rFonts w:ascii="Times New Roman" w:hAnsi="Times New Roman"/>
          <w:b/>
          <w:sz w:val="28"/>
          <w:szCs w:val="28"/>
        </w:rPr>
        <w:t xml:space="preserve"> межгосударственных организаций</w:t>
      </w:r>
    </w:p>
    <w:p w:rsidR="0068434D" w:rsidRDefault="0068434D" w:rsidP="004D2C9E">
      <w:pPr>
        <w:spacing w:after="0" w:line="240" w:lineRule="auto"/>
        <w:ind w:firstLine="709"/>
        <w:jc w:val="both"/>
        <w:rPr>
          <w:rFonts w:ascii="Times New Roman" w:hAnsi="Times New Roman"/>
          <w:sz w:val="28"/>
          <w:szCs w:val="28"/>
        </w:rPr>
      </w:pPr>
      <w:r w:rsidRPr="00B360B9">
        <w:rPr>
          <w:rFonts w:ascii="Times New Roman" w:hAnsi="Times New Roman"/>
          <w:sz w:val="28"/>
          <w:szCs w:val="28"/>
        </w:rPr>
        <w:t xml:space="preserve">Быстрые изменения, происходящие в сфере цифровых технологий, представляют собой определенный вызов и угрозу для задействованных в </w:t>
      </w:r>
      <w:r>
        <w:rPr>
          <w:rFonts w:ascii="Times New Roman" w:hAnsi="Times New Roman"/>
          <w:sz w:val="28"/>
          <w:szCs w:val="28"/>
        </w:rPr>
        <w:t>процессе участников</w:t>
      </w:r>
      <w:r w:rsidRPr="00B360B9">
        <w:rPr>
          <w:rFonts w:ascii="Times New Roman" w:hAnsi="Times New Roman"/>
          <w:sz w:val="28"/>
          <w:szCs w:val="28"/>
        </w:rPr>
        <w:t>.</w:t>
      </w:r>
      <w:r>
        <w:rPr>
          <w:rFonts w:ascii="Times New Roman" w:hAnsi="Times New Roman"/>
          <w:sz w:val="28"/>
          <w:szCs w:val="28"/>
        </w:rPr>
        <w:t xml:space="preserve"> </w:t>
      </w:r>
      <w:r w:rsidRPr="00611A5F">
        <w:rPr>
          <w:rFonts w:ascii="Times New Roman" w:hAnsi="Times New Roman"/>
          <w:sz w:val="28"/>
          <w:szCs w:val="28"/>
        </w:rPr>
        <w:t>На рынках появляются новые, ранее не существовавшие продукты, применение которых потребителями до этого не представлялось возможным и потому</w:t>
      </w:r>
      <w:r>
        <w:rPr>
          <w:rFonts w:ascii="Times New Roman" w:hAnsi="Times New Roman"/>
          <w:sz w:val="28"/>
          <w:szCs w:val="28"/>
        </w:rPr>
        <w:t xml:space="preserve"> их обращение до недавнего времени </w:t>
      </w:r>
      <w:r w:rsidRPr="00611A5F">
        <w:rPr>
          <w:rFonts w:ascii="Times New Roman" w:hAnsi="Times New Roman"/>
          <w:sz w:val="28"/>
          <w:szCs w:val="28"/>
        </w:rPr>
        <w:t>не подлеж</w:t>
      </w:r>
      <w:r>
        <w:rPr>
          <w:rFonts w:ascii="Times New Roman" w:hAnsi="Times New Roman"/>
          <w:sz w:val="28"/>
          <w:szCs w:val="28"/>
        </w:rPr>
        <w:t>ало</w:t>
      </w:r>
      <w:r w:rsidRPr="00611A5F">
        <w:rPr>
          <w:rFonts w:ascii="Times New Roman" w:hAnsi="Times New Roman"/>
          <w:sz w:val="28"/>
          <w:szCs w:val="28"/>
        </w:rPr>
        <w:t xml:space="preserve"> контролю </w:t>
      </w:r>
      <w:r>
        <w:rPr>
          <w:rFonts w:ascii="Times New Roman" w:hAnsi="Times New Roman"/>
          <w:sz w:val="28"/>
          <w:szCs w:val="28"/>
        </w:rPr>
        <w:t>со стороны</w:t>
      </w:r>
      <w:r w:rsidRPr="00611A5F">
        <w:rPr>
          <w:rFonts w:ascii="Times New Roman" w:hAnsi="Times New Roman"/>
          <w:sz w:val="28"/>
          <w:szCs w:val="28"/>
        </w:rPr>
        <w:t xml:space="preserve"> государств</w:t>
      </w:r>
      <w:r>
        <w:rPr>
          <w:rFonts w:ascii="Times New Roman" w:hAnsi="Times New Roman"/>
          <w:sz w:val="28"/>
          <w:szCs w:val="28"/>
        </w:rPr>
        <w:t>а.</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80B11">
        <w:rPr>
          <w:rFonts w:ascii="Times New Roman" w:hAnsi="Times New Roman"/>
          <w:sz w:val="28"/>
          <w:szCs w:val="28"/>
        </w:rPr>
        <w:t xml:space="preserve"> </w:t>
      </w:r>
      <w:r>
        <w:rPr>
          <w:rFonts w:ascii="Times New Roman" w:hAnsi="Times New Roman"/>
          <w:sz w:val="28"/>
          <w:szCs w:val="28"/>
        </w:rPr>
        <w:t>эпоху цифровой экономики</w:t>
      </w:r>
      <w:r w:rsidRPr="00280B11">
        <w:rPr>
          <w:rFonts w:ascii="Times New Roman" w:hAnsi="Times New Roman"/>
          <w:sz w:val="28"/>
          <w:szCs w:val="28"/>
        </w:rPr>
        <w:t xml:space="preserve"> одним из главных приоритетов для конкурентных </w:t>
      </w:r>
      <w:r>
        <w:rPr>
          <w:rFonts w:ascii="Times New Roman" w:hAnsi="Times New Roman"/>
          <w:sz w:val="28"/>
          <w:szCs w:val="28"/>
        </w:rPr>
        <w:t xml:space="preserve">ведомств многих стран стала необходимость менять традиционные </w:t>
      </w:r>
      <w:r w:rsidRPr="00280B11">
        <w:rPr>
          <w:rFonts w:ascii="Times New Roman" w:hAnsi="Times New Roman"/>
          <w:sz w:val="28"/>
          <w:szCs w:val="28"/>
        </w:rPr>
        <w:t>наборы инструмент</w:t>
      </w:r>
      <w:r>
        <w:rPr>
          <w:rFonts w:ascii="Times New Roman" w:hAnsi="Times New Roman"/>
          <w:sz w:val="28"/>
          <w:szCs w:val="28"/>
        </w:rPr>
        <w:t>ов, которыми пользовались</w:t>
      </w:r>
      <w:r w:rsidRPr="00CF00E0">
        <w:rPr>
          <w:rFonts w:ascii="Times New Roman" w:hAnsi="Times New Roman"/>
          <w:sz w:val="28"/>
          <w:szCs w:val="28"/>
        </w:rPr>
        <w:t xml:space="preserve"> </w:t>
      </w:r>
      <w:r>
        <w:rPr>
          <w:rFonts w:ascii="Times New Roman" w:hAnsi="Times New Roman"/>
          <w:sz w:val="28"/>
          <w:szCs w:val="28"/>
        </w:rPr>
        <w:t>контрольно-надзорные органы для выполнения своих функций.</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sidRPr="00123A7A">
        <w:rPr>
          <w:rFonts w:ascii="Times New Roman" w:hAnsi="Times New Roman"/>
          <w:sz w:val="28"/>
          <w:szCs w:val="28"/>
        </w:rPr>
        <w:t>Вызовом, с которым столкнулись конкурентные ведомства в условиях всемирной цифровизации и глобализации рынков, зачастую выходящих далеко за рамки привычных географических границ, стало использование участниками рынков новейших технологий, в том числе алгоритмов ценообразования, программного обеспечения, основ машинного обучения, которые меняют конкурентную среду. Однако это не означает, что конкурентная среда в результате таких изменений сама изменяется в худшую сторону. Меняются бизнес-модели поведения участников рынка, а вследст</w:t>
      </w:r>
      <w:r>
        <w:rPr>
          <w:rFonts w:ascii="Times New Roman" w:hAnsi="Times New Roman"/>
          <w:sz w:val="28"/>
          <w:szCs w:val="28"/>
        </w:rPr>
        <w:t>вие этого и сами товарные рынки</w:t>
      </w:r>
      <w:r>
        <w:rPr>
          <w:rFonts w:ascii="Times New Roman" w:eastAsia="Times New Roman" w:hAnsi="Times New Roman"/>
          <w:sz w:val="28"/>
          <w:szCs w:val="28"/>
          <w:lang w:eastAsia="ru-RU"/>
        </w:rPr>
        <w:t>.</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В некоторых странах уже пошли по пути сов</w:t>
      </w:r>
      <w:r w:rsidR="00EC4A02">
        <w:rPr>
          <w:rFonts w:ascii="Times New Roman" w:hAnsi="Times New Roman"/>
          <w:sz w:val="28"/>
          <w:szCs w:val="28"/>
        </w:rPr>
        <w:t>ершенствования законодательства. В</w:t>
      </w:r>
      <w:r w:rsidRPr="00571A5C">
        <w:rPr>
          <w:rFonts w:ascii="Times New Roman" w:hAnsi="Times New Roman"/>
          <w:sz w:val="28"/>
          <w:szCs w:val="28"/>
        </w:rPr>
        <w:t xml:space="preserve"> частности, </w:t>
      </w:r>
      <w:r w:rsidR="00242833">
        <w:rPr>
          <w:rFonts w:ascii="Times New Roman" w:hAnsi="Times New Roman"/>
          <w:sz w:val="28"/>
          <w:szCs w:val="28"/>
        </w:rPr>
        <w:t>Федеративная Республика Германия</w:t>
      </w:r>
      <w:r w:rsidRPr="00571A5C">
        <w:rPr>
          <w:rFonts w:ascii="Times New Roman" w:hAnsi="Times New Roman"/>
          <w:sz w:val="28"/>
          <w:szCs w:val="28"/>
        </w:rPr>
        <w:t xml:space="preserve"> внесла существенные изменения в антимонопольные законы, чтобы конкурентному ведомству было легче определять рынок и оценивать рыночную власть в цифровом секторе.</w:t>
      </w:r>
    </w:p>
    <w:p w:rsidR="0068434D" w:rsidRPr="00571A5C" w:rsidRDefault="0068434D" w:rsidP="004D2C9E">
      <w:pPr>
        <w:spacing w:after="0" w:line="240" w:lineRule="auto"/>
        <w:ind w:firstLine="709"/>
        <w:jc w:val="both"/>
        <w:rPr>
          <w:rFonts w:ascii="Times New Roman" w:hAnsi="Times New Roman"/>
          <w:sz w:val="28"/>
          <w:szCs w:val="28"/>
        </w:rPr>
      </w:pPr>
      <w:r w:rsidRPr="00BB3376">
        <w:rPr>
          <w:rFonts w:ascii="Times New Roman" w:hAnsi="Times New Roman"/>
          <w:sz w:val="28"/>
          <w:szCs w:val="28"/>
        </w:rPr>
        <w:t>9 июня 2017 год</w:t>
      </w:r>
      <w:r>
        <w:rPr>
          <w:rFonts w:ascii="Times New Roman" w:hAnsi="Times New Roman"/>
          <w:sz w:val="28"/>
          <w:szCs w:val="28"/>
        </w:rPr>
        <w:t>а</w:t>
      </w:r>
      <w:r w:rsidRPr="00BB3376">
        <w:rPr>
          <w:rFonts w:ascii="Times New Roman" w:hAnsi="Times New Roman"/>
          <w:sz w:val="28"/>
          <w:szCs w:val="28"/>
        </w:rPr>
        <w:t xml:space="preserve"> </w:t>
      </w:r>
      <w:r>
        <w:rPr>
          <w:rFonts w:ascii="Times New Roman" w:hAnsi="Times New Roman"/>
          <w:sz w:val="28"/>
          <w:szCs w:val="28"/>
        </w:rPr>
        <w:t xml:space="preserve">в </w:t>
      </w:r>
      <w:r w:rsidR="00242833" w:rsidRPr="00242833">
        <w:rPr>
          <w:rFonts w:ascii="Times New Roman" w:hAnsi="Times New Roman"/>
          <w:sz w:val="28"/>
          <w:szCs w:val="28"/>
        </w:rPr>
        <w:t>Федеративн</w:t>
      </w:r>
      <w:r w:rsidR="00242833">
        <w:rPr>
          <w:rFonts w:ascii="Times New Roman" w:hAnsi="Times New Roman"/>
          <w:sz w:val="28"/>
          <w:szCs w:val="28"/>
        </w:rPr>
        <w:t>ой</w:t>
      </w:r>
      <w:r w:rsidR="00242833" w:rsidRPr="00242833">
        <w:rPr>
          <w:rFonts w:ascii="Times New Roman" w:hAnsi="Times New Roman"/>
          <w:sz w:val="28"/>
          <w:szCs w:val="28"/>
        </w:rPr>
        <w:t xml:space="preserve"> Республик</w:t>
      </w:r>
      <w:r w:rsidR="00242833">
        <w:rPr>
          <w:rFonts w:ascii="Times New Roman" w:hAnsi="Times New Roman"/>
          <w:sz w:val="28"/>
          <w:szCs w:val="28"/>
        </w:rPr>
        <w:t>е</w:t>
      </w:r>
      <w:r w:rsidR="00242833" w:rsidRPr="00242833">
        <w:rPr>
          <w:rFonts w:ascii="Times New Roman" w:hAnsi="Times New Roman"/>
          <w:sz w:val="28"/>
          <w:szCs w:val="28"/>
        </w:rPr>
        <w:t xml:space="preserve"> Германия</w:t>
      </w:r>
      <w:r>
        <w:rPr>
          <w:rFonts w:ascii="Times New Roman" w:hAnsi="Times New Roman"/>
          <w:sz w:val="28"/>
          <w:szCs w:val="28"/>
        </w:rPr>
        <w:t xml:space="preserve"> вступила в силу </w:t>
      </w:r>
      <w:r w:rsidRPr="00BB3376">
        <w:rPr>
          <w:rFonts w:ascii="Times New Roman" w:hAnsi="Times New Roman"/>
          <w:sz w:val="28"/>
          <w:szCs w:val="28"/>
        </w:rPr>
        <w:t>девятая поправка в закон</w:t>
      </w:r>
      <w:r w:rsidR="004D2C9E">
        <w:rPr>
          <w:rFonts w:ascii="Times New Roman" w:hAnsi="Times New Roman"/>
          <w:sz w:val="28"/>
          <w:szCs w:val="28"/>
        </w:rPr>
        <w:t xml:space="preserve"> «</w:t>
      </w:r>
      <w:r w:rsidRPr="00BB3376">
        <w:rPr>
          <w:rFonts w:ascii="Times New Roman" w:hAnsi="Times New Roman"/>
          <w:sz w:val="28"/>
          <w:szCs w:val="28"/>
        </w:rPr>
        <w:t xml:space="preserve">Об </w:t>
      </w:r>
      <w:r>
        <w:rPr>
          <w:rFonts w:ascii="Times New Roman" w:hAnsi="Times New Roman"/>
          <w:sz w:val="28"/>
          <w:szCs w:val="28"/>
        </w:rPr>
        <w:t>ограничении конкуренции</w:t>
      </w:r>
      <w:r w:rsidR="004D2C9E">
        <w:rPr>
          <w:rFonts w:ascii="Times New Roman" w:hAnsi="Times New Roman"/>
          <w:sz w:val="28"/>
          <w:szCs w:val="28"/>
        </w:rPr>
        <w:t>»</w:t>
      </w:r>
      <w:r>
        <w:rPr>
          <w:rFonts w:ascii="Times New Roman" w:hAnsi="Times New Roman"/>
          <w:sz w:val="28"/>
          <w:szCs w:val="28"/>
        </w:rPr>
        <w:t xml:space="preserve"> </w:t>
      </w:r>
      <w:r w:rsidR="00C049F7">
        <w:rPr>
          <w:rFonts w:ascii="Times New Roman" w:hAnsi="Times New Roman"/>
          <w:sz w:val="28"/>
          <w:szCs w:val="28"/>
        </w:rPr>
        <w:t>(</w:t>
      </w:r>
      <w:r>
        <w:rPr>
          <w:rFonts w:ascii="Times New Roman" w:hAnsi="Times New Roman"/>
          <w:sz w:val="28"/>
          <w:szCs w:val="28"/>
        </w:rPr>
        <w:t>ARC</w:t>
      </w:r>
      <w:r w:rsidR="00C049F7">
        <w:rPr>
          <w:rFonts w:ascii="Times New Roman" w:hAnsi="Times New Roman"/>
          <w:sz w:val="28"/>
          <w:szCs w:val="28"/>
        </w:rPr>
        <w:t>)</w:t>
      </w:r>
      <w:r>
        <w:rPr>
          <w:rFonts w:ascii="Times New Roman" w:hAnsi="Times New Roman"/>
          <w:sz w:val="28"/>
          <w:szCs w:val="28"/>
        </w:rPr>
        <w:t>.</w:t>
      </w:r>
      <w:r w:rsidR="00EC4A02">
        <w:rPr>
          <w:rFonts w:ascii="Times New Roman" w:hAnsi="Times New Roman"/>
          <w:sz w:val="28"/>
          <w:szCs w:val="28"/>
        </w:rPr>
        <w:t xml:space="preserve"> </w:t>
      </w:r>
      <w:r w:rsidRPr="00BB3376">
        <w:rPr>
          <w:rFonts w:ascii="Times New Roman" w:hAnsi="Times New Roman"/>
          <w:sz w:val="28"/>
          <w:szCs w:val="28"/>
        </w:rPr>
        <w:t xml:space="preserve">Под контроль германского регулятора теперь подпадают сделки </w:t>
      </w:r>
      <w:r w:rsidRPr="00571A5C">
        <w:rPr>
          <w:rFonts w:ascii="Times New Roman" w:hAnsi="Times New Roman"/>
          <w:sz w:val="28"/>
          <w:szCs w:val="28"/>
        </w:rPr>
        <w:t>компаний, у которых сравнительно небольшая стоимость активов и выручки, однако сделки по покупке активов такой компании совершаются по завышенной цене. Примером такой сделки служит приобретение компанией</w:t>
      </w:r>
      <w:r>
        <w:rPr>
          <w:rFonts w:ascii="Times New Roman" w:hAnsi="Times New Roman"/>
          <w:sz w:val="28"/>
          <w:szCs w:val="28"/>
        </w:rPr>
        <w:t xml:space="preserve"> </w:t>
      </w:r>
      <w:r w:rsidRPr="00571A5C">
        <w:rPr>
          <w:rFonts w:ascii="Times New Roman" w:hAnsi="Times New Roman"/>
          <w:sz w:val="28"/>
          <w:szCs w:val="28"/>
        </w:rPr>
        <w:t>Facebook</w:t>
      </w:r>
      <w:r>
        <w:rPr>
          <w:rFonts w:ascii="Times New Roman" w:hAnsi="Times New Roman"/>
          <w:sz w:val="28"/>
          <w:szCs w:val="28"/>
        </w:rPr>
        <w:t xml:space="preserve"> ресурса </w:t>
      </w:r>
      <w:r w:rsidRPr="00571A5C">
        <w:rPr>
          <w:rFonts w:ascii="Times New Roman" w:hAnsi="Times New Roman"/>
          <w:sz w:val="28"/>
          <w:szCs w:val="28"/>
        </w:rPr>
        <w:t xml:space="preserve">WhatsApp. </w:t>
      </w:r>
    </w:p>
    <w:p w:rsidR="0068434D" w:rsidRPr="00BB3376" w:rsidRDefault="0068434D" w:rsidP="004D2C9E">
      <w:pPr>
        <w:spacing w:after="0" w:line="240" w:lineRule="auto"/>
        <w:ind w:firstLine="709"/>
        <w:jc w:val="both"/>
        <w:rPr>
          <w:rFonts w:ascii="Times New Roman" w:hAnsi="Times New Roman"/>
          <w:sz w:val="28"/>
          <w:szCs w:val="28"/>
        </w:rPr>
      </w:pPr>
      <w:r w:rsidRPr="00BB3376">
        <w:rPr>
          <w:rFonts w:ascii="Times New Roman" w:hAnsi="Times New Roman"/>
          <w:sz w:val="28"/>
          <w:szCs w:val="28"/>
        </w:rPr>
        <w:t xml:space="preserve">ARC включает новый порог оформления слияний, основываясь на котором </w:t>
      </w:r>
      <w:r>
        <w:rPr>
          <w:rFonts w:ascii="Times New Roman" w:hAnsi="Times New Roman"/>
          <w:sz w:val="28"/>
          <w:szCs w:val="28"/>
        </w:rPr>
        <w:t>сделки</w:t>
      </w:r>
      <w:r w:rsidR="00242833">
        <w:rPr>
          <w:rFonts w:ascii="Times New Roman" w:hAnsi="Times New Roman"/>
          <w:sz w:val="28"/>
          <w:szCs w:val="28"/>
        </w:rPr>
        <w:t xml:space="preserve"> стоимостью более 400 млн</w:t>
      </w:r>
      <w:r w:rsidRPr="00BB3376">
        <w:rPr>
          <w:rFonts w:ascii="Times New Roman" w:hAnsi="Times New Roman"/>
          <w:sz w:val="28"/>
          <w:szCs w:val="28"/>
        </w:rPr>
        <w:t xml:space="preserve"> евро потенциально подлежат регистрации, если объект ведет </w:t>
      </w:r>
      <w:r w:rsidR="004D2C9E">
        <w:rPr>
          <w:rFonts w:ascii="Times New Roman" w:hAnsi="Times New Roman"/>
          <w:sz w:val="28"/>
          <w:szCs w:val="28"/>
        </w:rPr>
        <w:t>«</w:t>
      </w:r>
      <w:r w:rsidRPr="00BB3376">
        <w:rPr>
          <w:rFonts w:ascii="Times New Roman" w:hAnsi="Times New Roman"/>
          <w:sz w:val="28"/>
          <w:szCs w:val="28"/>
        </w:rPr>
        <w:t>значительную хозяйственную деятельность</w:t>
      </w:r>
      <w:r w:rsidR="004D2C9E">
        <w:rPr>
          <w:rFonts w:ascii="Times New Roman" w:hAnsi="Times New Roman"/>
          <w:sz w:val="28"/>
          <w:szCs w:val="28"/>
        </w:rPr>
        <w:t>»</w:t>
      </w:r>
      <w:r w:rsidRPr="00BB3376">
        <w:rPr>
          <w:rFonts w:ascii="Times New Roman" w:hAnsi="Times New Roman"/>
          <w:sz w:val="28"/>
          <w:szCs w:val="28"/>
        </w:rPr>
        <w:t xml:space="preserve"> в Германии.</w:t>
      </w:r>
      <w:r w:rsidR="00EC4A02">
        <w:rPr>
          <w:rFonts w:ascii="Times New Roman" w:hAnsi="Times New Roman"/>
          <w:sz w:val="28"/>
          <w:szCs w:val="28"/>
        </w:rPr>
        <w:t xml:space="preserve"> </w:t>
      </w:r>
      <w:r w:rsidRPr="00BB3376">
        <w:rPr>
          <w:rFonts w:ascii="Times New Roman" w:hAnsi="Times New Roman"/>
          <w:sz w:val="28"/>
          <w:szCs w:val="28"/>
        </w:rPr>
        <w:t xml:space="preserve">Основываясь на новом пороге, установленном в </w:t>
      </w:r>
      <w:r w:rsidR="00242833" w:rsidRPr="00242833">
        <w:rPr>
          <w:rFonts w:ascii="Times New Roman" w:hAnsi="Times New Roman"/>
          <w:sz w:val="28"/>
          <w:szCs w:val="28"/>
        </w:rPr>
        <w:t>Федеративной Республике Германия</w:t>
      </w:r>
      <w:r w:rsidRPr="00242833">
        <w:rPr>
          <w:rFonts w:ascii="Times New Roman" w:hAnsi="Times New Roman"/>
          <w:sz w:val="28"/>
          <w:szCs w:val="28"/>
        </w:rPr>
        <w:t xml:space="preserve"> </w:t>
      </w:r>
      <w:r w:rsidRPr="00BB3376">
        <w:rPr>
          <w:rFonts w:ascii="Times New Roman" w:hAnsi="Times New Roman"/>
          <w:sz w:val="28"/>
          <w:szCs w:val="28"/>
        </w:rPr>
        <w:t xml:space="preserve">для стоимости сделки, к операциям, квалифицированным как </w:t>
      </w:r>
      <w:r w:rsidR="004D2C9E">
        <w:rPr>
          <w:rFonts w:ascii="Times New Roman" w:hAnsi="Times New Roman"/>
          <w:sz w:val="28"/>
          <w:szCs w:val="28"/>
        </w:rPr>
        <w:t>«</w:t>
      </w:r>
      <w:r w:rsidRPr="00BB3376">
        <w:rPr>
          <w:rFonts w:ascii="Times New Roman" w:hAnsi="Times New Roman"/>
          <w:sz w:val="28"/>
          <w:szCs w:val="28"/>
        </w:rPr>
        <w:t>концентрация</w:t>
      </w:r>
      <w:r w:rsidR="004D2C9E">
        <w:rPr>
          <w:rFonts w:ascii="Times New Roman" w:hAnsi="Times New Roman"/>
          <w:sz w:val="28"/>
          <w:szCs w:val="28"/>
        </w:rPr>
        <w:t>»</w:t>
      </w:r>
      <w:r w:rsidR="00EC4A02">
        <w:rPr>
          <w:rFonts w:ascii="Times New Roman" w:hAnsi="Times New Roman"/>
          <w:sz w:val="28"/>
          <w:szCs w:val="28"/>
        </w:rPr>
        <w:t>,</w:t>
      </w:r>
      <w:r w:rsidRPr="00BB3376">
        <w:rPr>
          <w:rFonts w:ascii="Times New Roman" w:hAnsi="Times New Roman"/>
          <w:sz w:val="28"/>
          <w:szCs w:val="28"/>
        </w:rPr>
        <w:t xml:space="preserve"> германс</w:t>
      </w:r>
      <w:r w:rsidR="00EC4A02">
        <w:rPr>
          <w:rFonts w:ascii="Times New Roman" w:hAnsi="Times New Roman"/>
          <w:sz w:val="28"/>
          <w:szCs w:val="28"/>
        </w:rPr>
        <w:t>кое законодательство о слияниях</w:t>
      </w:r>
      <w:r w:rsidRPr="00BB3376">
        <w:rPr>
          <w:rFonts w:ascii="Times New Roman" w:hAnsi="Times New Roman"/>
          <w:sz w:val="28"/>
          <w:szCs w:val="28"/>
        </w:rPr>
        <w:t xml:space="preserve"> предъявляет требование подачи уведомления, если в совокупности выполняются следующие критерии:</w:t>
      </w:r>
    </w:p>
    <w:p w:rsidR="0068434D" w:rsidRPr="00BB3376" w:rsidRDefault="0068434D" w:rsidP="004D2C9E">
      <w:pPr>
        <w:spacing w:after="0" w:line="240" w:lineRule="auto"/>
        <w:ind w:firstLine="709"/>
        <w:jc w:val="both"/>
        <w:rPr>
          <w:rFonts w:ascii="Times New Roman" w:hAnsi="Times New Roman"/>
          <w:sz w:val="28"/>
          <w:szCs w:val="28"/>
        </w:rPr>
      </w:pPr>
      <w:r w:rsidRPr="00BB3376">
        <w:rPr>
          <w:rFonts w:ascii="Times New Roman" w:hAnsi="Times New Roman"/>
          <w:sz w:val="28"/>
          <w:szCs w:val="28"/>
        </w:rPr>
        <w:t xml:space="preserve">совместный доход двух сторон превышает 500 </w:t>
      </w:r>
      <w:r w:rsidR="00015C15">
        <w:rPr>
          <w:rFonts w:ascii="Times New Roman" w:hAnsi="Times New Roman"/>
          <w:sz w:val="28"/>
          <w:szCs w:val="28"/>
        </w:rPr>
        <w:t>млн</w:t>
      </w:r>
      <w:r w:rsidRPr="00BB3376">
        <w:rPr>
          <w:rFonts w:ascii="Times New Roman" w:hAnsi="Times New Roman"/>
          <w:sz w:val="28"/>
          <w:szCs w:val="28"/>
        </w:rPr>
        <w:t xml:space="preserve"> евро; </w:t>
      </w:r>
    </w:p>
    <w:p w:rsidR="0068434D" w:rsidRPr="00BB3376" w:rsidRDefault="0068434D" w:rsidP="004D2C9E">
      <w:pPr>
        <w:spacing w:after="0" w:line="240" w:lineRule="auto"/>
        <w:ind w:firstLine="709"/>
        <w:jc w:val="both"/>
        <w:rPr>
          <w:rFonts w:ascii="Times New Roman" w:hAnsi="Times New Roman"/>
          <w:sz w:val="28"/>
          <w:szCs w:val="28"/>
        </w:rPr>
      </w:pPr>
      <w:r w:rsidRPr="00BB3376">
        <w:rPr>
          <w:rFonts w:ascii="Times New Roman" w:hAnsi="Times New Roman"/>
          <w:sz w:val="28"/>
          <w:szCs w:val="28"/>
        </w:rPr>
        <w:t xml:space="preserve">доход одной стороны в </w:t>
      </w:r>
      <w:r w:rsidR="00242833" w:rsidRPr="00242833">
        <w:rPr>
          <w:rFonts w:ascii="Times New Roman" w:hAnsi="Times New Roman"/>
          <w:sz w:val="28"/>
          <w:szCs w:val="28"/>
        </w:rPr>
        <w:t>Федеративной Республике Германия</w:t>
      </w:r>
      <w:r w:rsidRPr="00242833">
        <w:rPr>
          <w:rFonts w:ascii="Times New Roman" w:hAnsi="Times New Roman"/>
          <w:sz w:val="28"/>
          <w:szCs w:val="28"/>
        </w:rPr>
        <w:t xml:space="preserve"> </w:t>
      </w:r>
      <w:r w:rsidRPr="00BB3376">
        <w:rPr>
          <w:rFonts w:ascii="Times New Roman" w:hAnsi="Times New Roman"/>
          <w:sz w:val="28"/>
          <w:szCs w:val="28"/>
        </w:rPr>
        <w:t>превышает 25 млн евро, и ни собственный доход, ни доход какой-либо другой стороны не превышает 5 млн евро для каждой;</w:t>
      </w:r>
    </w:p>
    <w:p w:rsidR="0068434D" w:rsidRPr="00BB3376" w:rsidRDefault="0068434D" w:rsidP="004D2C9E">
      <w:pPr>
        <w:spacing w:after="0" w:line="240" w:lineRule="auto"/>
        <w:ind w:firstLine="709"/>
        <w:jc w:val="both"/>
        <w:rPr>
          <w:rFonts w:ascii="Times New Roman" w:hAnsi="Times New Roman"/>
          <w:sz w:val="28"/>
          <w:szCs w:val="28"/>
        </w:rPr>
      </w:pPr>
      <w:r w:rsidRPr="00BB3376">
        <w:rPr>
          <w:rFonts w:ascii="Times New Roman" w:hAnsi="Times New Roman"/>
          <w:sz w:val="28"/>
          <w:szCs w:val="28"/>
        </w:rPr>
        <w:t xml:space="preserve">рассматриваемая сделка превышает 400 </w:t>
      </w:r>
      <w:r w:rsidR="00015C15">
        <w:rPr>
          <w:rFonts w:ascii="Times New Roman" w:hAnsi="Times New Roman"/>
          <w:sz w:val="28"/>
          <w:szCs w:val="28"/>
        </w:rPr>
        <w:t>млн</w:t>
      </w:r>
      <w:r w:rsidRPr="00BB3376">
        <w:rPr>
          <w:rFonts w:ascii="Times New Roman" w:hAnsi="Times New Roman"/>
          <w:sz w:val="28"/>
          <w:szCs w:val="28"/>
        </w:rPr>
        <w:t xml:space="preserve"> евро;</w:t>
      </w:r>
    </w:p>
    <w:p w:rsidR="0068434D" w:rsidRPr="00BB3376" w:rsidRDefault="0068434D" w:rsidP="004D2C9E">
      <w:pPr>
        <w:spacing w:after="0" w:line="240" w:lineRule="auto"/>
        <w:ind w:firstLine="709"/>
        <w:jc w:val="both"/>
        <w:rPr>
          <w:rFonts w:ascii="Times New Roman" w:hAnsi="Times New Roman"/>
          <w:sz w:val="28"/>
          <w:szCs w:val="28"/>
        </w:rPr>
      </w:pPr>
      <w:r w:rsidRPr="00BB3376">
        <w:rPr>
          <w:rFonts w:ascii="Times New Roman" w:hAnsi="Times New Roman"/>
          <w:sz w:val="28"/>
          <w:szCs w:val="28"/>
        </w:rPr>
        <w:t>целевое предприятие вед</w:t>
      </w:r>
      <w:r w:rsidR="00EC4A02">
        <w:rPr>
          <w:rFonts w:ascii="Times New Roman" w:hAnsi="Times New Roman"/>
          <w:sz w:val="28"/>
          <w:szCs w:val="28"/>
        </w:rPr>
        <w:t>е</w:t>
      </w:r>
      <w:r w:rsidRPr="00BB3376">
        <w:rPr>
          <w:rFonts w:ascii="Times New Roman" w:hAnsi="Times New Roman"/>
          <w:sz w:val="28"/>
          <w:szCs w:val="28"/>
        </w:rPr>
        <w:t xml:space="preserve">т </w:t>
      </w:r>
      <w:r w:rsidR="004D2C9E">
        <w:rPr>
          <w:rFonts w:ascii="Times New Roman" w:hAnsi="Times New Roman"/>
          <w:sz w:val="28"/>
          <w:szCs w:val="28"/>
        </w:rPr>
        <w:t>«</w:t>
      </w:r>
      <w:r w:rsidRPr="00BB3376">
        <w:rPr>
          <w:rFonts w:ascii="Times New Roman" w:hAnsi="Times New Roman"/>
          <w:sz w:val="28"/>
          <w:szCs w:val="28"/>
        </w:rPr>
        <w:t>значительную</w:t>
      </w:r>
      <w:r w:rsidR="004D2C9E">
        <w:rPr>
          <w:rFonts w:ascii="Times New Roman" w:hAnsi="Times New Roman"/>
          <w:sz w:val="28"/>
          <w:szCs w:val="28"/>
        </w:rPr>
        <w:t>»</w:t>
      </w:r>
      <w:r w:rsidRPr="00BB3376">
        <w:rPr>
          <w:rFonts w:ascii="Times New Roman" w:hAnsi="Times New Roman"/>
          <w:sz w:val="28"/>
          <w:szCs w:val="28"/>
        </w:rPr>
        <w:t xml:space="preserve"> хозяйственную деятельность в </w:t>
      </w:r>
      <w:r w:rsidR="001A6A4D" w:rsidRPr="001A6A4D">
        <w:rPr>
          <w:rFonts w:ascii="Times New Roman" w:hAnsi="Times New Roman"/>
          <w:sz w:val="28"/>
          <w:szCs w:val="28"/>
        </w:rPr>
        <w:t>Федеративной Республике Германия</w:t>
      </w:r>
      <w:r w:rsidRPr="001A6A4D">
        <w:rPr>
          <w:rFonts w:ascii="Times New Roman" w:hAnsi="Times New Roman"/>
          <w:sz w:val="28"/>
          <w:szCs w:val="28"/>
        </w:rPr>
        <w:t>.</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Изменения законодательства коснулись и контроля за злоупотреблением доминирующим положением на рынке цифровых</w:t>
      </w:r>
      <w:r w:rsidR="00FF1151">
        <w:rPr>
          <w:rFonts w:ascii="Times New Roman" w:hAnsi="Times New Roman"/>
          <w:sz w:val="28"/>
          <w:szCs w:val="28"/>
        </w:rPr>
        <w:t xml:space="preserve"> технологий</w:t>
      </w:r>
      <w:r w:rsidRPr="00571A5C">
        <w:rPr>
          <w:rFonts w:ascii="Times New Roman" w:hAnsi="Times New Roman"/>
          <w:sz w:val="28"/>
          <w:szCs w:val="28"/>
        </w:rPr>
        <w:t xml:space="preserve"> с учетом специфики бизнес-моделей данной отрасли. Прежде всего изменения направлены на интернет-платформы и сетевые рынки, т</w:t>
      </w:r>
      <w:r w:rsidR="00FF1151">
        <w:rPr>
          <w:rFonts w:ascii="Times New Roman" w:hAnsi="Times New Roman"/>
          <w:sz w:val="28"/>
          <w:szCs w:val="28"/>
        </w:rPr>
        <w:t xml:space="preserve">.е. </w:t>
      </w:r>
      <w:r w:rsidRPr="00571A5C">
        <w:rPr>
          <w:rFonts w:ascii="Times New Roman" w:hAnsi="Times New Roman"/>
          <w:sz w:val="28"/>
          <w:szCs w:val="28"/>
        </w:rPr>
        <w:t>рынки</w:t>
      </w:r>
      <w:r w:rsidR="00074A6B">
        <w:rPr>
          <w:rFonts w:ascii="Times New Roman" w:hAnsi="Times New Roman"/>
          <w:sz w:val="28"/>
          <w:szCs w:val="28"/>
        </w:rPr>
        <w:t>,</w:t>
      </w:r>
      <w:r w:rsidRPr="00571A5C">
        <w:rPr>
          <w:rFonts w:ascii="Times New Roman" w:hAnsi="Times New Roman"/>
          <w:sz w:val="28"/>
          <w:szCs w:val="28"/>
        </w:rPr>
        <w:t xml:space="preserve"> на которых потребителями услуг являются две категории е</w:t>
      </w:r>
      <w:r w:rsidR="00C049F7">
        <w:rPr>
          <w:rFonts w:ascii="Times New Roman" w:hAnsi="Times New Roman"/>
          <w:sz w:val="28"/>
          <w:szCs w:val="28"/>
        </w:rPr>
        <w:t>е</w:t>
      </w:r>
      <w:r w:rsidRPr="00571A5C">
        <w:rPr>
          <w:rFonts w:ascii="Times New Roman" w:hAnsi="Times New Roman"/>
          <w:sz w:val="28"/>
          <w:szCs w:val="28"/>
        </w:rPr>
        <w:t xml:space="preserve"> пользователей, для которых цели пользования сетью и их роли в сети четко различаются. Конкурентное ведомство </w:t>
      </w:r>
      <w:r w:rsidR="001A6A4D" w:rsidRPr="001A6A4D">
        <w:rPr>
          <w:rFonts w:ascii="Times New Roman" w:hAnsi="Times New Roman"/>
          <w:sz w:val="28"/>
          <w:szCs w:val="28"/>
        </w:rPr>
        <w:t>Федеративной Республик</w:t>
      </w:r>
      <w:r w:rsidR="001A6A4D">
        <w:rPr>
          <w:rFonts w:ascii="Times New Roman" w:hAnsi="Times New Roman"/>
          <w:sz w:val="28"/>
          <w:szCs w:val="28"/>
        </w:rPr>
        <w:t>и</w:t>
      </w:r>
      <w:r w:rsidR="001A6A4D" w:rsidRPr="001A6A4D">
        <w:rPr>
          <w:rFonts w:ascii="Times New Roman" w:hAnsi="Times New Roman"/>
          <w:sz w:val="28"/>
          <w:szCs w:val="28"/>
        </w:rPr>
        <w:t xml:space="preserve"> Германия</w:t>
      </w:r>
      <w:r w:rsidRPr="001A6A4D">
        <w:rPr>
          <w:rFonts w:ascii="Times New Roman" w:hAnsi="Times New Roman"/>
          <w:sz w:val="28"/>
          <w:szCs w:val="28"/>
        </w:rPr>
        <w:t xml:space="preserve"> </w:t>
      </w:r>
      <w:r w:rsidRPr="00571A5C">
        <w:rPr>
          <w:rFonts w:ascii="Times New Roman" w:hAnsi="Times New Roman"/>
          <w:sz w:val="28"/>
          <w:szCs w:val="28"/>
        </w:rPr>
        <w:t>ставит регулирование данной области одним из своих главных приоритетов.</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Рынок бесплатных сервисов</w:t>
      </w:r>
      <w:r>
        <w:rPr>
          <w:rFonts w:ascii="Times New Roman" w:hAnsi="Times New Roman"/>
          <w:sz w:val="28"/>
          <w:szCs w:val="28"/>
        </w:rPr>
        <w:t xml:space="preserve"> в </w:t>
      </w:r>
      <w:r w:rsidR="001A6A4D" w:rsidRPr="001A6A4D">
        <w:rPr>
          <w:rFonts w:ascii="Times New Roman" w:hAnsi="Times New Roman"/>
          <w:sz w:val="28"/>
          <w:szCs w:val="28"/>
        </w:rPr>
        <w:t>Федеративной Республике Германия</w:t>
      </w:r>
      <w:r w:rsidRPr="001A6A4D">
        <w:rPr>
          <w:rFonts w:ascii="Times New Roman" w:hAnsi="Times New Roman"/>
          <w:sz w:val="28"/>
          <w:szCs w:val="28"/>
        </w:rPr>
        <w:t xml:space="preserve"> </w:t>
      </w:r>
      <w:r w:rsidRPr="00571A5C">
        <w:rPr>
          <w:rFonts w:ascii="Times New Roman" w:hAnsi="Times New Roman"/>
          <w:sz w:val="28"/>
          <w:szCs w:val="28"/>
        </w:rPr>
        <w:t xml:space="preserve">однозначно признается влияющим на конкуренцию. </w:t>
      </w:r>
      <w:r w:rsidRPr="00D32C85">
        <w:rPr>
          <w:rFonts w:ascii="Times New Roman" w:hAnsi="Times New Roman"/>
          <w:sz w:val="28"/>
          <w:szCs w:val="28"/>
        </w:rPr>
        <w:t xml:space="preserve">Поправки в </w:t>
      </w:r>
      <w:r w:rsidRPr="00571A5C">
        <w:rPr>
          <w:rFonts w:ascii="Times New Roman" w:hAnsi="Times New Roman"/>
          <w:sz w:val="28"/>
          <w:szCs w:val="28"/>
        </w:rPr>
        <w:t>ARC</w:t>
      </w:r>
      <w:r w:rsidRPr="00D32C85">
        <w:rPr>
          <w:rFonts w:ascii="Times New Roman" w:hAnsi="Times New Roman"/>
          <w:sz w:val="28"/>
          <w:szCs w:val="28"/>
        </w:rPr>
        <w:t xml:space="preserve"> определили, что товары и услуги, предоставляемые на бесплатной</w:t>
      </w:r>
      <w:r w:rsidRPr="00571A5C">
        <w:rPr>
          <w:rFonts w:ascii="Times New Roman" w:hAnsi="Times New Roman"/>
          <w:sz w:val="28"/>
          <w:szCs w:val="28"/>
        </w:rPr>
        <w:t xml:space="preserve"> основе, могут образовывать соответствующий рынок в целях исполнения антимонопольного законодательства </w:t>
      </w:r>
      <w:r w:rsidR="001A6A4D" w:rsidRPr="001A6A4D">
        <w:rPr>
          <w:rFonts w:ascii="Times New Roman" w:hAnsi="Times New Roman"/>
          <w:sz w:val="28"/>
          <w:szCs w:val="28"/>
        </w:rPr>
        <w:t>Федеративной Республик</w:t>
      </w:r>
      <w:r w:rsidR="001A6A4D">
        <w:rPr>
          <w:rFonts w:ascii="Times New Roman" w:hAnsi="Times New Roman"/>
          <w:sz w:val="28"/>
          <w:szCs w:val="28"/>
        </w:rPr>
        <w:t>и</w:t>
      </w:r>
      <w:r w:rsidR="001A6A4D" w:rsidRPr="001A6A4D">
        <w:rPr>
          <w:rFonts w:ascii="Times New Roman" w:hAnsi="Times New Roman"/>
          <w:sz w:val="28"/>
          <w:szCs w:val="28"/>
        </w:rPr>
        <w:t xml:space="preserve"> Германия</w:t>
      </w:r>
      <w:r w:rsidRPr="001A6A4D">
        <w:rPr>
          <w:rFonts w:ascii="Times New Roman" w:hAnsi="Times New Roman"/>
          <w:sz w:val="28"/>
          <w:szCs w:val="28"/>
        </w:rPr>
        <w:t>.</w:t>
      </w:r>
      <w:r>
        <w:rPr>
          <w:rFonts w:ascii="Times New Roman" w:hAnsi="Times New Roman"/>
          <w:sz w:val="28"/>
          <w:szCs w:val="28"/>
        </w:rPr>
        <w:t xml:space="preserve"> </w:t>
      </w:r>
      <w:r w:rsidRPr="00571A5C">
        <w:rPr>
          <w:rFonts w:ascii="Times New Roman" w:hAnsi="Times New Roman"/>
          <w:sz w:val="28"/>
          <w:szCs w:val="28"/>
        </w:rPr>
        <w:t xml:space="preserve">Примером </w:t>
      </w:r>
      <w:r>
        <w:rPr>
          <w:rFonts w:ascii="Times New Roman" w:hAnsi="Times New Roman"/>
          <w:sz w:val="28"/>
          <w:szCs w:val="28"/>
        </w:rPr>
        <w:t xml:space="preserve">является </w:t>
      </w:r>
      <w:r w:rsidRPr="00571A5C">
        <w:rPr>
          <w:rFonts w:ascii="Times New Roman" w:hAnsi="Times New Roman"/>
          <w:sz w:val="28"/>
          <w:szCs w:val="28"/>
        </w:rPr>
        <w:t>пользовани</w:t>
      </w:r>
      <w:r>
        <w:rPr>
          <w:rFonts w:ascii="Times New Roman" w:hAnsi="Times New Roman"/>
          <w:sz w:val="28"/>
          <w:szCs w:val="28"/>
        </w:rPr>
        <w:t>е</w:t>
      </w:r>
      <w:r w:rsidRPr="00571A5C">
        <w:rPr>
          <w:rFonts w:ascii="Times New Roman" w:hAnsi="Times New Roman"/>
          <w:sz w:val="28"/>
          <w:szCs w:val="28"/>
        </w:rPr>
        <w:t xml:space="preserve"> поисковыми онлайн-сервисами (Google), коммуникационными онлайн-сервисами (электронная почта, текстовые или </w:t>
      </w:r>
      <w:r w:rsidR="00FF1151">
        <w:rPr>
          <w:rFonts w:ascii="Times New Roman" w:hAnsi="Times New Roman"/>
          <w:sz w:val="28"/>
          <w:szCs w:val="28"/>
        </w:rPr>
        <w:t>чат-услуги, например, Whats</w:t>
      </w:r>
      <w:r w:rsidR="003D2508">
        <w:rPr>
          <w:rFonts w:ascii="Times New Roman" w:hAnsi="Times New Roman"/>
          <w:sz w:val="28"/>
          <w:szCs w:val="28"/>
          <w:lang w:val="en-US"/>
        </w:rPr>
        <w:t>A</w:t>
      </w:r>
      <w:r w:rsidR="00FF1151">
        <w:rPr>
          <w:rFonts w:ascii="Times New Roman" w:hAnsi="Times New Roman"/>
          <w:sz w:val="28"/>
          <w:szCs w:val="28"/>
        </w:rPr>
        <w:t>pp)</w:t>
      </w:r>
      <w:r w:rsidRPr="00571A5C">
        <w:rPr>
          <w:rFonts w:ascii="Times New Roman" w:hAnsi="Times New Roman"/>
          <w:sz w:val="28"/>
          <w:szCs w:val="28"/>
        </w:rPr>
        <w:t xml:space="preserve"> или социальными и профессиональными сетями (Facebook или LinkedIn).</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Девятая поправка ARC вводит неисчерпывающий список факторов, необходимых к принятию во внимание при оценке рыночной власти на информационных рынках, включая, в частности, многосторонние рынки и сети: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прямые и непрямые сетевые эффекты; </w:t>
      </w:r>
    </w:p>
    <w:p w:rsidR="0068434D" w:rsidRPr="00571A5C" w:rsidRDefault="004D2C9E" w:rsidP="004D2C9E">
      <w:pPr>
        <w:spacing w:after="0" w:line="240" w:lineRule="auto"/>
        <w:ind w:firstLine="709"/>
        <w:jc w:val="both"/>
        <w:rPr>
          <w:rFonts w:ascii="Times New Roman" w:hAnsi="Times New Roman"/>
          <w:sz w:val="28"/>
          <w:szCs w:val="28"/>
        </w:rPr>
      </w:pPr>
      <w:r>
        <w:rPr>
          <w:rFonts w:ascii="Times New Roman" w:hAnsi="Times New Roman"/>
          <w:sz w:val="28"/>
          <w:szCs w:val="28"/>
        </w:rPr>
        <w:t>«</w:t>
      </w:r>
      <w:r w:rsidR="0068434D" w:rsidRPr="00571A5C">
        <w:rPr>
          <w:rFonts w:ascii="Times New Roman" w:hAnsi="Times New Roman"/>
          <w:sz w:val="28"/>
          <w:szCs w:val="28"/>
        </w:rPr>
        <w:t>параллельное использование</w:t>
      </w:r>
      <w:r>
        <w:rPr>
          <w:rFonts w:ascii="Times New Roman" w:hAnsi="Times New Roman"/>
          <w:sz w:val="28"/>
          <w:szCs w:val="28"/>
        </w:rPr>
        <w:t>»</w:t>
      </w:r>
      <w:r w:rsidR="0068434D" w:rsidRPr="00571A5C">
        <w:rPr>
          <w:rFonts w:ascii="Times New Roman" w:hAnsi="Times New Roman"/>
          <w:sz w:val="28"/>
          <w:szCs w:val="28"/>
        </w:rPr>
        <w:t xml:space="preserve"> нескольких онлайн-сервисов и возможность переключения;</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эффект масштаба;</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доступ к конкурентно актуальным данным;</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роль инноваций.</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Федеральное агентство по борьбе с картелями </w:t>
      </w:r>
      <w:r w:rsidR="001A6A4D">
        <w:rPr>
          <w:rFonts w:ascii="Times New Roman" w:hAnsi="Times New Roman"/>
          <w:sz w:val="28"/>
          <w:szCs w:val="28"/>
        </w:rPr>
        <w:t>Федеративной Республики</w:t>
      </w:r>
      <w:r w:rsidR="001A6A4D" w:rsidRPr="001A6A4D">
        <w:rPr>
          <w:rFonts w:ascii="Times New Roman" w:hAnsi="Times New Roman"/>
          <w:sz w:val="28"/>
          <w:szCs w:val="28"/>
        </w:rPr>
        <w:t xml:space="preserve"> Германия</w:t>
      </w:r>
      <w:r w:rsidRPr="001A6A4D">
        <w:rPr>
          <w:rFonts w:ascii="Times New Roman" w:hAnsi="Times New Roman"/>
          <w:sz w:val="28"/>
          <w:szCs w:val="28"/>
        </w:rPr>
        <w:t xml:space="preserve"> </w:t>
      </w:r>
      <w:r w:rsidRPr="00571A5C">
        <w:rPr>
          <w:rFonts w:ascii="Times New Roman" w:hAnsi="Times New Roman"/>
          <w:sz w:val="28"/>
          <w:szCs w:val="28"/>
        </w:rPr>
        <w:t>признает, что в цифровой экономике ценовая конкуренция зачастую имеет меньшее значение, чем в других секторах экономики (так как многие цифровые услуги бесплатны).</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Федеральное агентство по борьбе с картелями </w:t>
      </w:r>
      <w:r w:rsidR="001A6A4D" w:rsidRPr="001A6A4D">
        <w:rPr>
          <w:rFonts w:ascii="Times New Roman" w:hAnsi="Times New Roman"/>
          <w:sz w:val="28"/>
          <w:szCs w:val="28"/>
        </w:rPr>
        <w:t>Федеративной Республики Германия</w:t>
      </w:r>
      <w:r w:rsidRPr="00571A5C">
        <w:rPr>
          <w:rFonts w:ascii="Times New Roman" w:hAnsi="Times New Roman"/>
          <w:sz w:val="28"/>
          <w:szCs w:val="28"/>
        </w:rPr>
        <w:t xml:space="preserve"> рассматривает прямые и непрямые сетевые эффекты</w:t>
      </w:r>
      <w:r>
        <w:rPr>
          <w:rFonts w:ascii="Times New Roman" w:hAnsi="Times New Roman"/>
          <w:sz w:val="28"/>
          <w:szCs w:val="28"/>
        </w:rPr>
        <w:t>, которые</w:t>
      </w:r>
      <w:r w:rsidRPr="00571A5C">
        <w:rPr>
          <w:rFonts w:ascii="Times New Roman" w:hAnsi="Times New Roman"/>
          <w:sz w:val="28"/>
          <w:szCs w:val="28"/>
        </w:rPr>
        <w:t xml:space="preserve"> могут привести к тенденции самоукрепления </w:t>
      </w:r>
      <w:r w:rsidR="007825FD">
        <w:rPr>
          <w:rFonts w:ascii="Times New Roman" w:hAnsi="Times New Roman"/>
          <w:sz w:val="28"/>
          <w:szCs w:val="28"/>
        </w:rPr>
        <w:t>и</w:t>
      </w:r>
      <w:r w:rsidRPr="00571A5C">
        <w:rPr>
          <w:rFonts w:ascii="Times New Roman" w:hAnsi="Times New Roman"/>
          <w:sz w:val="28"/>
          <w:szCs w:val="28"/>
        </w:rPr>
        <w:t xml:space="preserve"> в конечном сч</w:t>
      </w:r>
      <w:r w:rsidR="00EC4A02">
        <w:rPr>
          <w:rFonts w:ascii="Times New Roman" w:hAnsi="Times New Roman"/>
          <w:sz w:val="28"/>
          <w:szCs w:val="28"/>
        </w:rPr>
        <w:t>е</w:t>
      </w:r>
      <w:r w:rsidR="007825FD">
        <w:rPr>
          <w:rFonts w:ascii="Times New Roman" w:hAnsi="Times New Roman"/>
          <w:sz w:val="28"/>
          <w:szCs w:val="28"/>
        </w:rPr>
        <w:t>те</w:t>
      </w:r>
      <w:r w:rsidRPr="00571A5C">
        <w:rPr>
          <w:rFonts w:ascii="Times New Roman" w:hAnsi="Times New Roman"/>
          <w:sz w:val="28"/>
          <w:szCs w:val="28"/>
        </w:rPr>
        <w:t xml:space="preserve"> к наступлению переломного момента, когда только одна сеть получит монополию. Сетевой эффект может увеличивать стоимость переключения для пользователей и служить эффективным входным барьером для новых сетевых провайдеров.</w:t>
      </w:r>
    </w:p>
    <w:p w:rsidR="0068434D" w:rsidRPr="00571A5C" w:rsidRDefault="004D2C9E" w:rsidP="004D2C9E">
      <w:pPr>
        <w:spacing w:after="0" w:line="240" w:lineRule="auto"/>
        <w:ind w:firstLine="709"/>
        <w:jc w:val="both"/>
        <w:rPr>
          <w:rFonts w:ascii="Times New Roman" w:hAnsi="Times New Roman"/>
          <w:sz w:val="28"/>
          <w:szCs w:val="28"/>
        </w:rPr>
      </w:pPr>
      <w:r>
        <w:rPr>
          <w:rFonts w:ascii="Times New Roman" w:hAnsi="Times New Roman"/>
          <w:sz w:val="28"/>
          <w:szCs w:val="28"/>
        </w:rPr>
        <w:t>«</w:t>
      </w:r>
      <w:r w:rsidR="0068434D" w:rsidRPr="00571A5C">
        <w:rPr>
          <w:rFonts w:ascii="Times New Roman" w:hAnsi="Times New Roman"/>
          <w:sz w:val="28"/>
          <w:szCs w:val="28"/>
        </w:rPr>
        <w:t>Параллельное использование</w:t>
      </w:r>
      <w:r>
        <w:rPr>
          <w:rFonts w:ascii="Times New Roman" w:hAnsi="Times New Roman"/>
          <w:sz w:val="28"/>
          <w:szCs w:val="28"/>
        </w:rPr>
        <w:t>»</w:t>
      </w:r>
      <w:r w:rsidR="0068434D" w:rsidRPr="00571A5C">
        <w:rPr>
          <w:rFonts w:ascii="Times New Roman" w:hAnsi="Times New Roman"/>
          <w:sz w:val="28"/>
          <w:szCs w:val="28"/>
        </w:rPr>
        <w:t xml:space="preserve"> нескольких онлайн-сервисов и возможность переключения мо</w:t>
      </w:r>
      <w:r w:rsidR="007825FD">
        <w:rPr>
          <w:rFonts w:ascii="Times New Roman" w:hAnsi="Times New Roman"/>
          <w:sz w:val="28"/>
          <w:szCs w:val="28"/>
        </w:rPr>
        <w:t>гу</w:t>
      </w:r>
      <w:r w:rsidR="0068434D" w:rsidRPr="00571A5C">
        <w:rPr>
          <w:rFonts w:ascii="Times New Roman" w:hAnsi="Times New Roman"/>
          <w:sz w:val="28"/>
          <w:szCs w:val="28"/>
        </w:rPr>
        <w:t>т иметь значение для оценки сетевых эффектов, используют ли пользователи только одну сеть (</w:t>
      </w:r>
      <w:r>
        <w:rPr>
          <w:rFonts w:ascii="Times New Roman" w:hAnsi="Times New Roman"/>
          <w:sz w:val="28"/>
          <w:szCs w:val="28"/>
        </w:rPr>
        <w:t>«</w:t>
      </w:r>
      <w:r w:rsidR="0068434D" w:rsidRPr="00571A5C">
        <w:rPr>
          <w:rFonts w:ascii="Times New Roman" w:hAnsi="Times New Roman"/>
          <w:sz w:val="28"/>
          <w:szCs w:val="28"/>
        </w:rPr>
        <w:t>одноканальную</w:t>
      </w:r>
      <w:r>
        <w:rPr>
          <w:rFonts w:ascii="Times New Roman" w:hAnsi="Times New Roman"/>
          <w:sz w:val="28"/>
          <w:szCs w:val="28"/>
        </w:rPr>
        <w:t>»</w:t>
      </w:r>
      <w:r w:rsidR="0068434D" w:rsidRPr="00571A5C">
        <w:rPr>
          <w:rFonts w:ascii="Times New Roman" w:hAnsi="Times New Roman"/>
          <w:sz w:val="28"/>
          <w:szCs w:val="28"/>
        </w:rPr>
        <w:t>) или несколько сетей параллельно (</w:t>
      </w:r>
      <w:r>
        <w:rPr>
          <w:rFonts w:ascii="Times New Roman" w:hAnsi="Times New Roman"/>
          <w:sz w:val="28"/>
          <w:szCs w:val="28"/>
        </w:rPr>
        <w:t>«</w:t>
      </w:r>
      <w:r w:rsidR="0068434D" w:rsidRPr="00571A5C">
        <w:rPr>
          <w:rFonts w:ascii="Times New Roman" w:hAnsi="Times New Roman"/>
          <w:sz w:val="28"/>
          <w:szCs w:val="28"/>
        </w:rPr>
        <w:t>множественная адресация</w:t>
      </w:r>
      <w:r>
        <w:rPr>
          <w:rFonts w:ascii="Times New Roman" w:hAnsi="Times New Roman"/>
          <w:sz w:val="28"/>
          <w:szCs w:val="28"/>
        </w:rPr>
        <w:t>»</w:t>
      </w:r>
      <w:r w:rsidR="0068434D" w:rsidRPr="00571A5C">
        <w:rPr>
          <w:rFonts w:ascii="Times New Roman" w:hAnsi="Times New Roman"/>
          <w:sz w:val="28"/>
          <w:szCs w:val="28"/>
        </w:rPr>
        <w:t>). К примеру, если множественная адресация преобладает, входные барьеры и барьеры переключения будут ниже, чем в одноканальной сети.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Эффект масштаба имеет практическое значение для сетевых услуг, так как работающая сеть может требовать значительного стартового инвестирования и постоянных издержек, в то время как переменные издержки – к примеру, издержки на каждого дополнительного пользователя – будут характерно несущественны или равны нулю. Большие сети</w:t>
      </w:r>
      <w:r w:rsidR="007825FD">
        <w:rPr>
          <w:rFonts w:ascii="Times New Roman" w:hAnsi="Times New Roman"/>
          <w:sz w:val="28"/>
          <w:szCs w:val="28"/>
        </w:rPr>
        <w:t>,</w:t>
      </w:r>
      <w:r w:rsidRPr="00571A5C">
        <w:rPr>
          <w:rFonts w:ascii="Times New Roman" w:hAnsi="Times New Roman"/>
          <w:sz w:val="28"/>
          <w:szCs w:val="28"/>
        </w:rPr>
        <w:t xml:space="preserve"> соответственно</w:t>
      </w:r>
      <w:r w:rsidR="007825FD">
        <w:rPr>
          <w:rFonts w:ascii="Times New Roman" w:hAnsi="Times New Roman"/>
          <w:sz w:val="28"/>
          <w:szCs w:val="28"/>
        </w:rPr>
        <w:t>,</w:t>
      </w:r>
      <w:r w:rsidRPr="00571A5C">
        <w:rPr>
          <w:rFonts w:ascii="Times New Roman" w:hAnsi="Times New Roman"/>
          <w:sz w:val="28"/>
          <w:szCs w:val="28"/>
        </w:rPr>
        <w:t xml:space="preserve"> будут иметь материальное конкурентное преимущество перед малыми или только возникающими сетями.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Многие услуги в цифровой экономике состоят или зависят от больших объемов информации. Доступ к этим данным, следовательно, может стать важным параметром конкуренции в цифровой экономике, хотя Федеральное агентство по борьбе с картелями </w:t>
      </w:r>
      <w:r w:rsidR="001A6A4D" w:rsidRPr="001A6A4D">
        <w:rPr>
          <w:rFonts w:ascii="Times New Roman" w:hAnsi="Times New Roman"/>
          <w:sz w:val="28"/>
          <w:szCs w:val="28"/>
        </w:rPr>
        <w:t>Федеративной Республики Германия</w:t>
      </w:r>
      <w:r w:rsidRPr="00571A5C">
        <w:rPr>
          <w:rFonts w:ascii="Times New Roman" w:hAnsi="Times New Roman"/>
          <w:sz w:val="28"/>
          <w:szCs w:val="28"/>
        </w:rPr>
        <w:t xml:space="preserve"> признает, что наличие индивидуального контроля над информацией, не разделяемого с другими, </w:t>
      </w:r>
      <w:r w:rsidR="004D2C9E">
        <w:rPr>
          <w:rFonts w:ascii="Times New Roman" w:hAnsi="Times New Roman"/>
          <w:sz w:val="28"/>
          <w:szCs w:val="28"/>
        </w:rPr>
        <w:t>«</w:t>
      </w:r>
      <w:r w:rsidRPr="00571A5C">
        <w:rPr>
          <w:rFonts w:ascii="Times New Roman" w:hAnsi="Times New Roman"/>
          <w:sz w:val="28"/>
          <w:szCs w:val="28"/>
        </w:rPr>
        <w:t>не является показателем рыночной власти</w:t>
      </w:r>
      <w:r w:rsidR="004D2C9E">
        <w:rPr>
          <w:rFonts w:ascii="Times New Roman" w:hAnsi="Times New Roman"/>
          <w:sz w:val="28"/>
          <w:szCs w:val="28"/>
        </w:rPr>
        <w:t>»</w:t>
      </w:r>
      <w:r w:rsidRPr="00571A5C">
        <w:rPr>
          <w:rFonts w:ascii="Times New Roman" w:hAnsi="Times New Roman"/>
          <w:sz w:val="28"/>
          <w:szCs w:val="28"/>
        </w:rPr>
        <w:t>. Возможность данных влиять на рыночную власть в каждом конкретном случае зависит от характера данных, насколько они конкурентно актуальны, могут ли они быть дублированы, могут ли сведения из разных ресурсов совмещаться и превращаться в источник прибыли.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Цифровые рынки зачастую характеризуются непрерывным и динамичным процессом инновации. Роль инноваций в конкурентном процессе</w:t>
      </w:r>
      <w:r w:rsidR="00074A6B">
        <w:rPr>
          <w:rFonts w:ascii="Times New Roman" w:hAnsi="Times New Roman"/>
          <w:sz w:val="28"/>
          <w:szCs w:val="28"/>
        </w:rPr>
        <w:t>,</w:t>
      </w:r>
      <w:r w:rsidRPr="00571A5C">
        <w:rPr>
          <w:rFonts w:ascii="Times New Roman" w:hAnsi="Times New Roman"/>
          <w:sz w:val="28"/>
          <w:szCs w:val="28"/>
        </w:rPr>
        <w:t xml:space="preserve"> однако</w:t>
      </w:r>
      <w:r w:rsidR="00074A6B">
        <w:rPr>
          <w:rFonts w:ascii="Times New Roman" w:hAnsi="Times New Roman"/>
          <w:sz w:val="28"/>
          <w:szCs w:val="28"/>
        </w:rPr>
        <w:t>,</w:t>
      </w:r>
      <w:r w:rsidRPr="00571A5C">
        <w:rPr>
          <w:rFonts w:ascii="Times New Roman" w:hAnsi="Times New Roman"/>
          <w:sz w:val="28"/>
          <w:szCs w:val="28"/>
        </w:rPr>
        <w:t xml:space="preserve"> подлежит оценке в каждом конкретном случае, и нельзя отрицать существование рыночной власти в цифровой экономике лишь благодаря общей ссылке на то, что для цифровых рынков характерны постоянные прорывные инновации.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Основой для принятых поправок в </w:t>
      </w:r>
      <w:r w:rsidRPr="00BB3376">
        <w:rPr>
          <w:rFonts w:ascii="Times New Roman" w:hAnsi="Times New Roman"/>
          <w:sz w:val="28"/>
          <w:szCs w:val="28"/>
        </w:rPr>
        <w:t>ARC</w:t>
      </w:r>
      <w:r>
        <w:rPr>
          <w:rFonts w:ascii="Times New Roman" w:hAnsi="Times New Roman"/>
          <w:sz w:val="28"/>
          <w:szCs w:val="28"/>
        </w:rPr>
        <w:t xml:space="preserve"> стали результаты масштабных исследований, проведенных в </w:t>
      </w:r>
      <w:r w:rsidR="001A6A4D" w:rsidRPr="001A6A4D">
        <w:rPr>
          <w:rFonts w:ascii="Times New Roman" w:hAnsi="Times New Roman"/>
          <w:sz w:val="28"/>
          <w:szCs w:val="28"/>
        </w:rPr>
        <w:t>Федеративной Республик</w:t>
      </w:r>
      <w:r w:rsidR="001A6A4D">
        <w:rPr>
          <w:rFonts w:ascii="Times New Roman" w:hAnsi="Times New Roman"/>
          <w:sz w:val="28"/>
          <w:szCs w:val="28"/>
        </w:rPr>
        <w:t>е</w:t>
      </w:r>
      <w:r w:rsidR="001A6A4D" w:rsidRPr="001A6A4D">
        <w:rPr>
          <w:rFonts w:ascii="Times New Roman" w:hAnsi="Times New Roman"/>
          <w:sz w:val="28"/>
          <w:szCs w:val="28"/>
        </w:rPr>
        <w:t xml:space="preserve"> Германия</w:t>
      </w:r>
      <w:r>
        <w:rPr>
          <w:rFonts w:ascii="Times New Roman" w:hAnsi="Times New Roman"/>
          <w:sz w:val="28"/>
          <w:szCs w:val="28"/>
        </w:rPr>
        <w:t xml:space="preserve">, нашедшие отражение в так называемой </w:t>
      </w:r>
      <w:r w:rsidR="004D2C9E">
        <w:rPr>
          <w:rFonts w:ascii="Times New Roman" w:hAnsi="Times New Roman"/>
          <w:sz w:val="28"/>
          <w:szCs w:val="28"/>
        </w:rPr>
        <w:t>«</w:t>
      </w:r>
      <w:r>
        <w:rPr>
          <w:rFonts w:ascii="Times New Roman" w:hAnsi="Times New Roman"/>
          <w:sz w:val="28"/>
          <w:szCs w:val="28"/>
        </w:rPr>
        <w:t>Белой книге</w:t>
      </w:r>
      <w:r w:rsidR="004D2C9E">
        <w:rPr>
          <w:rFonts w:ascii="Times New Roman" w:hAnsi="Times New Roman"/>
          <w:sz w:val="28"/>
          <w:szCs w:val="28"/>
        </w:rPr>
        <w:t>»</w:t>
      </w:r>
      <w:r>
        <w:rPr>
          <w:rFonts w:ascii="Times New Roman" w:hAnsi="Times New Roman"/>
          <w:sz w:val="28"/>
          <w:szCs w:val="28"/>
        </w:rPr>
        <w:t xml:space="preserve"> о цифровых платформах.</w:t>
      </w:r>
    </w:p>
    <w:p w:rsidR="0068434D" w:rsidRDefault="0068434D" w:rsidP="004D2C9E">
      <w:pPr>
        <w:spacing w:after="0" w:line="240" w:lineRule="auto"/>
        <w:ind w:firstLine="709"/>
        <w:jc w:val="both"/>
        <w:rPr>
          <w:rFonts w:ascii="Times New Roman" w:hAnsi="Times New Roman"/>
          <w:sz w:val="28"/>
          <w:szCs w:val="28"/>
        </w:rPr>
      </w:pPr>
      <w:r w:rsidRPr="00281AC3">
        <w:rPr>
          <w:rFonts w:ascii="Times New Roman" w:hAnsi="Times New Roman"/>
          <w:sz w:val="28"/>
          <w:szCs w:val="28"/>
        </w:rPr>
        <w:t xml:space="preserve">Вслед за </w:t>
      </w:r>
      <w:r w:rsidR="001A6A4D">
        <w:rPr>
          <w:rFonts w:ascii="Times New Roman" w:hAnsi="Times New Roman"/>
          <w:sz w:val="28"/>
          <w:szCs w:val="28"/>
        </w:rPr>
        <w:t>Федеративной Республикой</w:t>
      </w:r>
      <w:r w:rsidR="001A6A4D" w:rsidRPr="001A6A4D">
        <w:rPr>
          <w:rFonts w:ascii="Times New Roman" w:hAnsi="Times New Roman"/>
          <w:sz w:val="28"/>
          <w:szCs w:val="28"/>
        </w:rPr>
        <w:t xml:space="preserve"> Германия</w:t>
      </w:r>
      <w:r w:rsidRPr="00281AC3">
        <w:rPr>
          <w:rFonts w:ascii="Times New Roman" w:hAnsi="Times New Roman"/>
          <w:sz w:val="28"/>
          <w:szCs w:val="28"/>
        </w:rPr>
        <w:t xml:space="preserve"> изменения в законодательство подготовила </w:t>
      </w:r>
      <w:r w:rsidR="001A6A4D">
        <w:rPr>
          <w:rFonts w:ascii="Times New Roman" w:hAnsi="Times New Roman"/>
          <w:sz w:val="28"/>
          <w:szCs w:val="28"/>
        </w:rPr>
        <w:t>Австрийская Республика</w:t>
      </w:r>
      <w:r>
        <w:rPr>
          <w:rFonts w:ascii="Times New Roman" w:hAnsi="Times New Roman"/>
          <w:sz w:val="28"/>
          <w:szCs w:val="28"/>
        </w:rPr>
        <w:t>. Изменения направлены на установление нового порогового значения стоимости сделок слияний, совершение которых потребует уведомления антимонопольного органа, и определение совокупных условий, требующих такого уведомления.</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Новые критерии уведомления о сделках в первую очередь направлены на сделки цифровых рынк</w:t>
      </w:r>
      <w:r>
        <w:rPr>
          <w:rFonts w:ascii="Times New Roman" w:hAnsi="Times New Roman"/>
          <w:sz w:val="28"/>
          <w:szCs w:val="28"/>
        </w:rPr>
        <w:t>ов,</w:t>
      </w:r>
      <w:r w:rsidRPr="00571A5C">
        <w:rPr>
          <w:rFonts w:ascii="Times New Roman" w:hAnsi="Times New Roman"/>
          <w:sz w:val="28"/>
          <w:szCs w:val="28"/>
        </w:rPr>
        <w:t xml:space="preserve"> в секторе промышленности</w:t>
      </w:r>
      <w:r>
        <w:rPr>
          <w:rFonts w:ascii="Times New Roman" w:hAnsi="Times New Roman"/>
          <w:sz w:val="28"/>
          <w:szCs w:val="28"/>
        </w:rPr>
        <w:t xml:space="preserve"> и</w:t>
      </w:r>
      <w:r w:rsidRPr="00571A5C">
        <w:rPr>
          <w:rFonts w:ascii="Times New Roman" w:hAnsi="Times New Roman"/>
          <w:sz w:val="28"/>
          <w:szCs w:val="28"/>
        </w:rPr>
        <w:t xml:space="preserve"> для компаний с отсутствием или незначительным доходом на</w:t>
      </w:r>
      <w:r>
        <w:rPr>
          <w:rFonts w:ascii="Times New Roman" w:hAnsi="Times New Roman"/>
          <w:sz w:val="28"/>
          <w:szCs w:val="28"/>
        </w:rPr>
        <w:t xml:space="preserve"> момент транзакции (например, </w:t>
      </w:r>
      <w:r w:rsidRPr="00571A5C">
        <w:rPr>
          <w:rFonts w:ascii="Times New Roman" w:hAnsi="Times New Roman"/>
          <w:sz w:val="28"/>
          <w:szCs w:val="28"/>
        </w:rPr>
        <w:t xml:space="preserve">с активной деятельностью в области НИОКР или с ограниченным доходом, в фармацевтике </w:t>
      </w:r>
      <w:r>
        <w:rPr>
          <w:rFonts w:ascii="Times New Roman" w:hAnsi="Times New Roman"/>
          <w:sz w:val="28"/>
          <w:szCs w:val="28"/>
        </w:rPr>
        <w:t>и др.</w:t>
      </w:r>
      <w:r w:rsidRPr="00571A5C">
        <w:rPr>
          <w:rFonts w:ascii="Times New Roman" w:hAnsi="Times New Roman"/>
          <w:sz w:val="28"/>
          <w:szCs w:val="28"/>
        </w:rPr>
        <w:t>).</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В соответствии с новыми критериями уведомлению будут подлежать сделки, если в совокупности будут выполнятся следующие условия:</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сумма сделки превышает 200 млн евро;</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совокупные доходы сторон по всему миру составили более 300 млн евро;</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совокупные доходы сторон в Австрии превысили 15 млн евро; </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целевое предприятие ведет активную деятельность в Австрии.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Новый порог стоимости сделки будет применяться в качестве альтернативы существующему порогу по доходам, который останется в силе неизменным и в соответствии с которым для транзакции необходимо уведомление, если:</w:t>
      </w:r>
    </w:p>
    <w:p w:rsidR="0068434D"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совокупные доходы сторон по всему миру составили более 300 млн евро; </w:t>
      </w:r>
    </w:p>
    <w:p w:rsidR="0068434D"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совокупные доходы сторон в Австрии превысили 30 млн евро; </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мировая выручка одной из сторон превысила 5 млн евро.</w:t>
      </w:r>
    </w:p>
    <w:p w:rsidR="0068434D"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Действующее незначительное исключение: сделки, по которым доход одной из сторон в Австрии превышает 5 млн евро, а совокупные доходы всех остальных сторон по всему миру составляют менее 30 млн евро, не требуют уведомления. </w:t>
      </w:r>
    </w:p>
    <w:p w:rsidR="0068434D" w:rsidRPr="00571A5C"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571A5C">
        <w:rPr>
          <w:rFonts w:ascii="Times New Roman" w:hAnsi="Times New Roman"/>
          <w:sz w:val="28"/>
          <w:szCs w:val="28"/>
        </w:rPr>
        <w:t>акие условия не будут применяться к транзакциям, которые соответствуют пороговому значению сделки.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Вопрос изменения подходов к рассмотрению сделок слияний в условиях цифровизации экономики находится и в поле зрения Европейской комиссии, которая признала, что некоторые потенциально антиконкурентные сделки могут остаться вне зоны ее видимости.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Еврокомиссия ищет ответ на вопрос</w:t>
      </w:r>
      <w:r w:rsidR="00223E29">
        <w:rPr>
          <w:rFonts w:ascii="Times New Roman" w:hAnsi="Times New Roman"/>
          <w:sz w:val="28"/>
          <w:szCs w:val="28"/>
        </w:rPr>
        <w:t>,</w:t>
      </w:r>
      <w:r w:rsidRPr="00571A5C">
        <w:rPr>
          <w:rFonts w:ascii="Times New Roman" w:hAnsi="Times New Roman"/>
          <w:sz w:val="28"/>
          <w:szCs w:val="28"/>
        </w:rPr>
        <w:t xml:space="preserve"> являются ли пороговые значения, основанные только на обороте, эффективными для современного режима контроля слияний в Европейском союзе. Было предложено дополнить существующие пороги другими альтернативными критериями, чтобы отслеживать некоторые типы сделок в определенных секторах, таких как цифровые сервисы и фармацевтика.</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Потенциальным критери</w:t>
      </w:r>
      <w:r w:rsidR="00F231F7">
        <w:rPr>
          <w:rFonts w:ascii="Times New Roman" w:hAnsi="Times New Roman"/>
          <w:sz w:val="28"/>
          <w:szCs w:val="28"/>
        </w:rPr>
        <w:t>е</w:t>
      </w:r>
      <w:r w:rsidRPr="00571A5C">
        <w:rPr>
          <w:rFonts w:ascii="Times New Roman" w:hAnsi="Times New Roman"/>
          <w:sz w:val="28"/>
          <w:szCs w:val="28"/>
        </w:rPr>
        <w:t>м мо</w:t>
      </w:r>
      <w:r w:rsidR="00223E29">
        <w:rPr>
          <w:rFonts w:ascii="Times New Roman" w:hAnsi="Times New Roman"/>
          <w:sz w:val="28"/>
          <w:szCs w:val="28"/>
        </w:rPr>
        <w:t>же</w:t>
      </w:r>
      <w:r w:rsidRPr="00571A5C">
        <w:rPr>
          <w:rFonts w:ascii="Times New Roman" w:hAnsi="Times New Roman"/>
          <w:sz w:val="28"/>
          <w:szCs w:val="28"/>
        </w:rPr>
        <w:t>т стать стоимость сделки или стоимость цифровых активов компаний.</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Слияния в цифровом секторе достигают миллиард</w:t>
      </w:r>
      <w:r w:rsidR="00223E29">
        <w:rPr>
          <w:rFonts w:ascii="Times New Roman" w:hAnsi="Times New Roman"/>
          <w:sz w:val="28"/>
          <w:szCs w:val="28"/>
        </w:rPr>
        <w:t>ов</w:t>
      </w:r>
      <w:r w:rsidRPr="00571A5C">
        <w:rPr>
          <w:rFonts w:ascii="Times New Roman" w:hAnsi="Times New Roman"/>
          <w:sz w:val="28"/>
          <w:szCs w:val="28"/>
        </w:rPr>
        <w:t>, однако оборот компаний иногда не подпадает под пороговые значения, даже если учесть, что компании имеют огромные тенденции к росту и могут вызывать риск для конкуренции. Такая же ситуация существует и в фармацевтическом секторе, когда игроки покупают высоколиквидные биотехнологические компании, которые владеют</w:t>
      </w:r>
      <w:r w:rsidR="00223E29">
        <w:rPr>
          <w:rFonts w:ascii="Times New Roman" w:hAnsi="Times New Roman"/>
          <w:sz w:val="28"/>
          <w:szCs w:val="28"/>
        </w:rPr>
        <w:t xml:space="preserve"> продуктами в стадии разработки</w:t>
      </w:r>
      <w:r w:rsidRPr="00571A5C">
        <w:rPr>
          <w:rFonts w:ascii="Times New Roman" w:hAnsi="Times New Roman"/>
          <w:sz w:val="28"/>
          <w:szCs w:val="28"/>
        </w:rPr>
        <w:t xml:space="preserve"> и которые пока не генерируют значительной прибыли.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Федеральная торговая комиссия Японии пришла к выводу, что большие данные должны стать объектом конкурентного анализа.</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Ожидается, что знания, полученные через анализ больших данных, приведут к появлению инноваций, расширив существующие границы отраслей в контексте распространения </w:t>
      </w:r>
      <w:r w:rsidR="00EC4A02">
        <w:rPr>
          <w:rFonts w:ascii="Times New Roman" w:hAnsi="Times New Roman"/>
          <w:sz w:val="28"/>
          <w:szCs w:val="28"/>
        </w:rPr>
        <w:t>И</w:t>
      </w:r>
      <w:r w:rsidRPr="00571A5C">
        <w:rPr>
          <w:rFonts w:ascii="Times New Roman" w:hAnsi="Times New Roman"/>
          <w:sz w:val="28"/>
          <w:szCs w:val="28"/>
        </w:rPr>
        <w:t>нтернета, а также развитию технологий на основе искусственного интеллекта.</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В данных обстоятельствах Конкурентным ведомством Японии было принято решение о создании</w:t>
      </w:r>
      <w:r w:rsidR="0070455F" w:rsidRPr="0070455F">
        <w:t xml:space="preserve"> </w:t>
      </w:r>
      <w:r w:rsidR="0070455F" w:rsidRPr="0070455F">
        <w:rPr>
          <w:rFonts w:ascii="Times New Roman" w:hAnsi="Times New Roman"/>
          <w:sz w:val="28"/>
          <w:szCs w:val="28"/>
        </w:rPr>
        <w:t>в рамках Исследовательского центра по конкурентной политике</w:t>
      </w:r>
      <w:r w:rsidRPr="00571A5C">
        <w:rPr>
          <w:rFonts w:ascii="Times New Roman" w:hAnsi="Times New Roman"/>
          <w:sz w:val="28"/>
          <w:szCs w:val="28"/>
        </w:rPr>
        <w:t xml:space="preserve"> Исследовательской группы данных и конкурентной политики.</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Что касается закрепления на законодательном уровне подходов к борьбе с алгоритмами ценообразования, то информация об </w:t>
      </w:r>
      <w:r>
        <w:rPr>
          <w:rFonts w:ascii="Times New Roman" w:hAnsi="Times New Roman"/>
          <w:sz w:val="28"/>
          <w:szCs w:val="28"/>
        </w:rPr>
        <w:t xml:space="preserve">этом </w:t>
      </w:r>
      <w:r w:rsidR="0070455F">
        <w:rPr>
          <w:rFonts w:ascii="Times New Roman" w:hAnsi="Times New Roman"/>
          <w:sz w:val="28"/>
          <w:szCs w:val="28"/>
        </w:rPr>
        <w:t>отсутствует. Вместе с тем</w:t>
      </w:r>
      <w:r w:rsidRPr="00571A5C">
        <w:rPr>
          <w:rFonts w:ascii="Times New Roman" w:hAnsi="Times New Roman"/>
          <w:sz w:val="28"/>
          <w:szCs w:val="28"/>
        </w:rPr>
        <w:t xml:space="preserve"> позицию по данному вопросу в адрес </w:t>
      </w:r>
      <w:r w:rsidR="00D65482" w:rsidRPr="00D65482">
        <w:rPr>
          <w:rFonts w:ascii="Times New Roman" w:hAnsi="Times New Roman"/>
          <w:sz w:val="28"/>
          <w:szCs w:val="28"/>
        </w:rPr>
        <w:t>Организаци</w:t>
      </w:r>
      <w:r w:rsidR="00D65482">
        <w:rPr>
          <w:rFonts w:ascii="Times New Roman" w:hAnsi="Times New Roman"/>
          <w:sz w:val="28"/>
          <w:szCs w:val="28"/>
        </w:rPr>
        <w:t>и</w:t>
      </w:r>
      <w:r w:rsidR="00D65482" w:rsidRPr="00D65482">
        <w:rPr>
          <w:rFonts w:ascii="Times New Roman" w:hAnsi="Times New Roman"/>
          <w:sz w:val="28"/>
          <w:szCs w:val="28"/>
        </w:rPr>
        <w:t xml:space="preserve"> экономического сотрудничества и развития (ОЭСР) </w:t>
      </w:r>
      <w:r w:rsidRPr="00571A5C">
        <w:rPr>
          <w:rFonts w:ascii="Times New Roman" w:hAnsi="Times New Roman"/>
          <w:sz w:val="28"/>
          <w:szCs w:val="28"/>
        </w:rPr>
        <w:t>высказала Еврокомиссия.</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Алгоритмы ценообразования могут быть проанализированы с использованием </w:t>
      </w:r>
      <w:r w:rsidR="004D2C9E">
        <w:rPr>
          <w:rFonts w:ascii="Times New Roman" w:hAnsi="Times New Roman"/>
          <w:sz w:val="28"/>
          <w:szCs w:val="28"/>
        </w:rPr>
        <w:t>«</w:t>
      </w:r>
      <w:r w:rsidRPr="00571A5C">
        <w:rPr>
          <w:rFonts w:ascii="Times New Roman" w:hAnsi="Times New Roman"/>
          <w:sz w:val="28"/>
          <w:szCs w:val="28"/>
        </w:rPr>
        <w:t>традиционных объяснений и категорий, присутствующих в конкурентном законодательстве ЕС</w:t>
      </w:r>
      <w:r w:rsidR="004D2C9E">
        <w:rPr>
          <w:rFonts w:ascii="Times New Roman" w:hAnsi="Times New Roman"/>
          <w:sz w:val="28"/>
          <w:szCs w:val="28"/>
        </w:rPr>
        <w:t>»</w:t>
      </w:r>
      <w:r w:rsidRPr="00571A5C">
        <w:rPr>
          <w:rFonts w:ascii="Times New Roman" w:hAnsi="Times New Roman"/>
          <w:sz w:val="28"/>
          <w:szCs w:val="28"/>
        </w:rPr>
        <w:t>,</w:t>
      </w:r>
      <w:r w:rsidR="00F9318B">
        <w:rPr>
          <w:rFonts w:ascii="Times New Roman" w:hAnsi="Times New Roman"/>
          <w:sz w:val="28"/>
          <w:szCs w:val="28"/>
        </w:rPr>
        <w:t xml:space="preserve"> – </w:t>
      </w:r>
      <w:r w:rsidRPr="00571A5C">
        <w:rPr>
          <w:rFonts w:ascii="Times New Roman" w:hAnsi="Times New Roman"/>
          <w:sz w:val="28"/>
          <w:szCs w:val="28"/>
        </w:rPr>
        <w:t>говорится в письменном обращении Еврокомиссии в ОЭСР по результатам проведенного исследования.</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В своем докладе ЕС устанавливает </w:t>
      </w:r>
      <w:r w:rsidR="004D2C9E">
        <w:rPr>
          <w:rFonts w:ascii="Times New Roman" w:hAnsi="Times New Roman"/>
          <w:sz w:val="28"/>
          <w:szCs w:val="28"/>
        </w:rPr>
        <w:t>«</w:t>
      </w:r>
      <w:r w:rsidRPr="00571A5C">
        <w:rPr>
          <w:rFonts w:ascii="Times New Roman" w:hAnsi="Times New Roman"/>
          <w:sz w:val="28"/>
          <w:szCs w:val="28"/>
        </w:rPr>
        <w:t>неисчерпывающий</w:t>
      </w:r>
      <w:r w:rsidR="004D2C9E">
        <w:rPr>
          <w:rFonts w:ascii="Times New Roman" w:hAnsi="Times New Roman"/>
          <w:sz w:val="28"/>
          <w:szCs w:val="28"/>
        </w:rPr>
        <w:t>»</w:t>
      </w:r>
      <w:r w:rsidRPr="00571A5C">
        <w:rPr>
          <w:rFonts w:ascii="Times New Roman" w:hAnsi="Times New Roman"/>
          <w:sz w:val="28"/>
          <w:szCs w:val="28"/>
        </w:rPr>
        <w:t xml:space="preserve"> список возможных вертикальных и горизонтальных последствий использования алгоритмов ценообразования для конкуренции, но добавляет, что этот документ не следует рассматривать как </w:t>
      </w:r>
      <w:r w:rsidR="004D2C9E">
        <w:rPr>
          <w:rFonts w:ascii="Times New Roman" w:hAnsi="Times New Roman"/>
          <w:sz w:val="28"/>
          <w:szCs w:val="28"/>
        </w:rPr>
        <w:t>«</w:t>
      </w:r>
      <w:r w:rsidRPr="00571A5C">
        <w:rPr>
          <w:rFonts w:ascii="Times New Roman" w:hAnsi="Times New Roman"/>
          <w:sz w:val="28"/>
          <w:szCs w:val="28"/>
        </w:rPr>
        <w:t>позицию</w:t>
      </w:r>
      <w:r w:rsidR="004D2C9E">
        <w:rPr>
          <w:rFonts w:ascii="Times New Roman" w:hAnsi="Times New Roman"/>
          <w:sz w:val="28"/>
          <w:szCs w:val="28"/>
        </w:rPr>
        <w:t>»</w:t>
      </w:r>
      <w:r w:rsidRPr="00571A5C">
        <w:rPr>
          <w:rFonts w:ascii="Times New Roman" w:hAnsi="Times New Roman"/>
          <w:sz w:val="28"/>
          <w:szCs w:val="28"/>
        </w:rPr>
        <w:t xml:space="preserve"> ЕС на будущее. </w:t>
      </w:r>
    </w:p>
    <w:p w:rsidR="0068434D" w:rsidRPr="00571A5C"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В документе указаны две идеи относительно применения правил конкуренции ЕС к алгоритмам ценообразования:</w:t>
      </w:r>
    </w:p>
    <w:p w:rsidR="0068434D" w:rsidRPr="00571A5C" w:rsidRDefault="008805F7" w:rsidP="004D2C9E">
      <w:pPr>
        <w:spacing w:after="0" w:line="240" w:lineRule="auto"/>
        <w:ind w:firstLine="709"/>
        <w:jc w:val="both"/>
        <w:rPr>
          <w:rFonts w:ascii="Times New Roman" w:hAnsi="Times New Roman"/>
          <w:sz w:val="28"/>
          <w:szCs w:val="28"/>
        </w:rPr>
      </w:pPr>
      <w:r>
        <w:rPr>
          <w:rFonts w:ascii="Times New Roman" w:hAnsi="Times New Roman"/>
          <w:sz w:val="28"/>
          <w:szCs w:val="28"/>
        </w:rPr>
        <w:t>1)</w:t>
      </w:r>
      <w:r w:rsidR="00904ED3">
        <w:rPr>
          <w:rFonts w:ascii="Times New Roman" w:hAnsi="Times New Roman"/>
          <w:sz w:val="28"/>
          <w:szCs w:val="28"/>
        </w:rPr>
        <w:t> </w:t>
      </w:r>
      <w:r w:rsidR="0070455F">
        <w:rPr>
          <w:rFonts w:ascii="Times New Roman" w:hAnsi="Times New Roman"/>
          <w:sz w:val="28"/>
          <w:szCs w:val="28"/>
        </w:rPr>
        <w:t>е</w:t>
      </w:r>
      <w:r w:rsidR="0068434D" w:rsidRPr="00571A5C">
        <w:rPr>
          <w:rFonts w:ascii="Times New Roman" w:hAnsi="Times New Roman"/>
          <w:sz w:val="28"/>
          <w:szCs w:val="28"/>
        </w:rPr>
        <w:t>сли оффлайн</w:t>
      </w:r>
      <w:r w:rsidR="0070455F">
        <w:rPr>
          <w:rFonts w:ascii="Times New Roman" w:hAnsi="Times New Roman"/>
          <w:sz w:val="28"/>
          <w:szCs w:val="28"/>
        </w:rPr>
        <w:t>-</w:t>
      </w:r>
      <w:r w:rsidR="0068434D" w:rsidRPr="00571A5C">
        <w:rPr>
          <w:rFonts w:ascii="Times New Roman" w:hAnsi="Times New Roman"/>
          <w:sz w:val="28"/>
          <w:szCs w:val="28"/>
        </w:rPr>
        <w:t xml:space="preserve">практики ценообразования являются незаконными, существует </w:t>
      </w:r>
      <w:r w:rsidR="004D2C9E">
        <w:rPr>
          <w:rFonts w:ascii="Times New Roman" w:hAnsi="Times New Roman"/>
          <w:sz w:val="28"/>
          <w:szCs w:val="28"/>
        </w:rPr>
        <w:t>«</w:t>
      </w:r>
      <w:r w:rsidR="0068434D" w:rsidRPr="00571A5C">
        <w:rPr>
          <w:rFonts w:ascii="Times New Roman" w:hAnsi="Times New Roman"/>
          <w:sz w:val="28"/>
          <w:szCs w:val="28"/>
        </w:rPr>
        <w:t>большой шанс</w:t>
      </w:r>
      <w:r w:rsidR="004D2C9E">
        <w:rPr>
          <w:rFonts w:ascii="Times New Roman" w:hAnsi="Times New Roman"/>
          <w:sz w:val="28"/>
          <w:szCs w:val="28"/>
        </w:rPr>
        <w:t>»</w:t>
      </w:r>
      <w:r w:rsidR="0068434D" w:rsidRPr="00571A5C">
        <w:rPr>
          <w:rFonts w:ascii="Times New Roman" w:hAnsi="Times New Roman"/>
          <w:sz w:val="28"/>
          <w:szCs w:val="28"/>
        </w:rPr>
        <w:t>, что они также будут незаконными при онлайн</w:t>
      </w:r>
      <w:r w:rsidR="0070455F">
        <w:rPr>
          <w:rFonts w:ascii="Times New Roman" w:hAnsi="Times New Roman"/>
          <w:sz w:val="28"/>
          <w:szCs w:val="28"/>
        </w:rPr>
        <w:t>- использовании;</w:t>
      </w:r>
    </w:p>
    <w:p w:rsidR="0068434D" w:rsidRPr="00571A5C" w:rsidRDefault="008805F7" w:rsidP="004D2C9E">
      <w:pPr>
        <w:spacing w:after="0" w:line="240" w:lineRule="auto"/>
        <w:ind w:firstLine="709"/>
        <w:jc w:val="both"/>
        <w:rPr>
          <w:rFonts w:ascii="Times New Roman" w:hAnsi="Times New Roman"/>
          <w:sz w:val="28"/>
          <w:szCs w:val="28"/>
        </w:rPr>
      </w:pPr>
      <w:r>
        <w:rPr>
          <w:rFonts w:ascii="Times New Roman" w:hAnsi="Times New Roman"/>
          <w:sz w:val="28"/>
          <w:szCs w:val="28"/>
        </w:rPr>
        <w:t>2) </w:t>
      </w:r>
      <w:r w:rsidR="0070455F">
        <w:rPr>
          <w:rFonts w:ascii="Times New Roman" w:hAnsi="Times New Roman"/>
          <w:sz w:val="28"/>
          <w:szCs w:val="28"/>
        </w:rPr>
        <w:t>ф</w:t>
      </w:r>
      <w:r w:rsidR="0068434D" w:rsidRPr="00571A5C">
        <w:rPr>
          <w:rFonts w:ascii="Times New Roman" w:hAnsi="Times New Roman"/>
          <w:sz w:val="28"/>
          <w:szCs w:val="28"/>
        </w:rPr>
        <w:t>ирмы не могут избежать ответственности, утверждая, что их цены были определены алгоритмами, поскольку последние находятся под контролем фирмы.</w:t>
      </w:r>
    </w:p>
    <w:p w:rsidR="0068434D"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 xml:space="preserve">Должностные лица </w:t>
      </w:r>
      <w:r w:rsidR="00280A79">
        <w:rPr>
          <w:rFonts w:ascii="Times New Roman" w:hAnsi="Times New Roman"/>
          <w:sz w:val="28"/>
          <w:szCs w:val="28"/>
        </w:rPr>
        <w:t>считают</w:t>
      </w:r>
      <w:r w:rsidRPr="00571A5C">
        <w:rPr>
          <w:rFonts w:ascii="Times New Roman" w:hAnsi="Times New Roman"/>
          <w:sz w:val="28"/>
          <w:szCs w:val="28"/>
        </w:rPr>
        <w:t xml:space="preserve">, что алгоритмы мониторинга цен могут использоваться поставщиками для отслеживания </w:t>
      </w:r>
      <w:r w:rsidR="004D2C9E">
        <w:rPr>
          <w:rFonts w:ascii="Times New Roman" w:hAnsi="Times New Roman"/>
          <w:sz w:val="28"/>
          <w:szCs w:val="28"/>
        </w:rPr>
        <w:t>«</w:t>
      </w:r>
      <w:r w:rsidRPr="00571A5C">
        <w:rPr>
          <w:rFonts w:ascii="Times New Roman" w:hAnsi="Times New Roman"/>
          <w:sz w:val="28"/>
          <w:szCs w:val="28"/>
        </w:rPr>
        <w:t>рекомендованных</w:t>
      </w:r>
      <w:r w:rsidR="004D2C9E">
        <w:rPr>
          <w:rFonts w:ascii="Times New Roman" w:hAnsi="Times New Roman"/>
          <w:sz w:val="28"/>
          <w:szCs w:val="28"/>
        </w:rPr>
        <w:t>»</w:t>
      </w:r>
      <w:r w:rsidRPr="00571A5C">
        <w:rPr>
          <w:rFonts w:ascii="Times New Roman" w:hAnsi="Times New Roman"/>
          <w:sz w:val="28"/>
          <w:szCs w:val="28"/>
        </w:rPr>
        <w:t xml:space="preserve"> отклонений цен и оказания давления на розничных торговцев. В таких случаях они могут превратиться в фиксированные или минимальные цены продажи.</w:t>
      </w:r>
    </w:p>
    <w:p w:rsidR="00280A79" w:rsidRPr="002F32E5" w:rsidRDefault="00DF592D" w:rsidP="00DF592D">
      <w:pPr>
        <w:spacing w:after="0" w:line="240" w:lineRule="auto"/>
        <w:ind w:firstLine="709"/>
        <w:jc w:val="both"/>
        <w:rPr>
          <w:rFonts w:ascii="Times New Roman" w:hAnsi="Times New Roman"/>
          <w:sz w:val="28"/>
          <w:szCs w:val="28"/>
        </w:rPr>
      </w:pPr>
      <w:r w:rsidRPr="002F32E5">
        <w:rPr>
          <w:rFonts w:ascii="Times New Roman" w:hAnsi="Times New Roman"/>
          <w:sz w:val="28"/>
          <w:szCs w:val="28"/>
        </w:rPr>
        <w:t xml:space="preserve">Расширение рынков играет важную роль для развития цифровой экономики. В этом направлении активно ведется сотрудничество на международном уровне. В 2015 году Европейская </w:t>
      </w:r>
      <w:r w:rsidR="00280A79" w:rsidRPr="002F32E5">
        <w:rPr>
          <w:rFonts w:ascii="Times New Roman" w:hAnsi="Times New Roman"/>
          <w:sz w:val="28"/>
          <w:szCs w:val="28"/>
        </w:rPr>
        <w:t>к</w:t>
      </w:r>
      <w:r w:rsidRPr="002F32E5">
        <w:rPr>
          <w:rFonts w:ascii="Times New Roman" w:hAnsi="Times New Roman"/>
          <w:sz w:val="28"/>
          <w:szCs w:val="28"/>
        </w:rPr>
        <w:t xml:space="preserve">омиссия приняла стратегию «Единого </w:t>
      </w:r>
      <w:r w:rsidR="00975304" w:rsidRPr="002F32E5">
        <w:rPr>
          <w:rFonts w:ascii="Times New Roman" w:hAnsi="Times New Roman"/>
          <w:sz w:val="28"/>
          <w:szCs w:val="28"/>
        </w:rPr>
        <w:t>ц</w:t>
      </w:r>
      <w:r w:rsidRPr="002F32E5">
        <w:rPr>
          <w:rFonts w:ascii="Times New Roman" w:hAnsi="Times New Roman"/>
          <w:sz w:val="28"/>
          <w:szCs w:val="28"/>
        </w:rPr>
        <w:t xml:space="preserve">ифрового </w:t>
      </w:r>
      <w:r w:rsidR="00975304" w:rsidRPr="002F32E5">
        <w:rPr>
          <w:rFonts w:ascii="Times New Roman" w:hAnsi="Times New Roman"/>
          <w:sz w:val="28"/>
          <w:szCs w:val="28"/>
        </w:rPr>
        <w:t>р</w:t>
      </w:r>
      <w:r w:rsidRPr="002F32E5">
        <w:rPr>
          <w:rFonts w:ascii="Times New Roman" w:hAnsi="Times New Roman"/>
          <w:sz w:val="28"/>
          <w:szCs w:val="28"/>
        </w:rPr>
        <w:t xml:space="preserve">ынка». В рамках этой стратегии Европейская </w:t>
      </w:r>
      <w:r w:rsidR="00975304" w:rsidRPr="002F32E5">
        <w:rPr>
          <w:rFonts w:ascii="Times New Roman" w:hAnsi="Times New Roman"/>
          <w:sz w:val="28"/>
          <w:szCs w:val="28"/>
        </w:rPr>
        <w:t>к</w:t>
      </w:r>
      <w:r w:rsidRPr="002F32E5">
        <w:rPr>
          <w:rFonts w:ascii="Times New Roman" w:hAnsi="Times New Roman"/>
          <w:sz w:val="28"/>
          <w:szCs w:val="28"/>
        </w:rPr>
        <w:t xml:space="preserve">омиссия осуществляет инициативу «Согласование цифровых рынков» в рамках платформы Программы Восточного Партнерства «Экономическая интеграция и адаптация к политике Европейского </w:t>
      </w:r>
      <w:r w:rsidR="00975304" w:rsidRPr="002F32E5">
        <w:rPr>
          <w:rFonts w:ascii="Times New Roman" w:hAnsi="Times New Roman"/>
          <w:sz w:val="28"/>
          <w:szCs w:val="28"/>
        </w:rPr>
        <w:t>с</w:t>
      </w:r>
      <w:r w:rsidRPr="002F32E5">
        <w:rPr>
          <w:rFonts w:ascii="Times New Roman" w:hAnsi="Times New Roman"/>
          <w:sz w:val="28"/>
          <w:szCs w:val="28"/>
        </w:rPr>
        <w:t>оюза»</w:t>
      </w:r>
      <w:r w:rsidR="00BD3904" w:rsidRPr="002F32E5">
        <w:rPr>
          <w:rStyle w:val="a6"/>
          <w:rFonts w:ascii="Times New Roman" w:hAnsi="Times New Roman"/>
          <w:sz w:val="28"/>
          <w:szCs w:val="28"/>
        </w:rPr>
        <w:footnoteReference w:customMarkFollows="1" w:id="1"/>
        <w:t>*</w:t>
      </w:r>
      <w:r w:rsidRPr="002F32E5">
        <w:rPr>
          <w:rFonts w:ascii="Times New Roman" w:hAnsi="Times New Roman"/>
          <w:sz w:val="28"/>
          <w:szCs w:val="28"/>
        </w:rPr>
        <w:t xml:space="preserve">. </w:t>
      </w:r>
    </w:p>
    <w:p w:rsidR="00DF592D" w:rsidRPr="00045D44" w:rsidRDefault="00DF592D" w:rsidP="00045D44">
      <w:pPr>
        <w:spacing w:before="120" w:after="0" w:line="240" w:lineRule="auto"/>
        <w:ind w:left="1418" w:hanging="1418"/>
        <w:jc w:val="both"/>
        <w:rPr>
          <w:sz w:val="26"/>
          <w:szCs w:val="26"/>
        </w:rPr>
      </w:pPr>
    </w:p>
    <w:p w:rsidR="0068434D" w:rsidRDefault="00045D44" w:rsidP="00045D44">
      <w:pPr>
        <w:pStyle w:val="1"/>
      </w:pPr>
      <w:bookmarkStart w:id="8" w:name="_Toc526253878"/>
      <w:r w:rsidRPr="004D0955">
        <w:br w:type="page"/>
      </w:r>
      <w:r w:rsidR="0093193D">
        <w:rPr>
          <w:lang w:val="en-US"/>
        </w:rPr>
        <w:t>II. </w:t>
      </w:r>
      <w:r w:rsidR="0068434D" w:rsidRPr="00DF4197">
        <w:t>Конкурентная</w:t>
      </w:r>
      <w:r w:rsidR="0068434D">
        <w:t xml:space="preserve"> политика</w:t>
      </w:r>
      <w:bookmarkEnd w:id="8"/>
    </w:p>
    <w:p w:rsidR="0068434D" w:rsidRPr="00DF4197" w:rsidRDefault="00FE5AE2" w:rsidP="00965C04">
      <w:pPr>
        <w:pStyle w:val="2"/>
        <w:spacing w:line="315" w:lineRule="exact"/>
      </w:pPr>
      <w:bookmarkStart w:id="9" w:name="_Toc526253879"/>
      <w:r>
        <w:t>2.</w:t>
      </w:r>
      <w:r w:rsidR="00BD638F">
        <w:t>1. </w:t>
      </w:r>
      <w:r w:rsidR="0068434D" w:rsidRPr="00DF4197">
        <w:t xml:space="preserve">Новые вызовы для </w:t>
      </w:r>
      <w:r w:rsidR="007E7919">
        <w:t>конкурентного</w:t>
      </w:r>
      <w:r w:rsidR="0068434D" w:rsidRPr="00DF4197">
        <w:t xml:space="preserve"> регулирования </w:t>
      </w:r>
      <w:r w:rsidR="00BD638F">
        <w:br/>
      </w:r>
      <w:r w:rsidR="0068434D" w:rsidRPr="00DF4197">
        <w:t>в условиях цифровой экономики</w:t>
      </w:r>
      <w:bookmarkEnd w:id="9"/>
    </w:p>
    <w:p w:rsidR="0068434D" w:rsidRPr="00DC1E09" w:rsidRDefault="0068434D" w:rsidP="00965C04">
      <w:pPr>
        <w:spacing w:after="0" w:line="315" w:lineRule="exact"/>
        <w:ind w:firstLine="709"/>
        <w:jc w:val="both"/>
        <w:rPr>
          <w:rFonts w:ascii="Times New Roman" w:hAnsi="Times New Roman"/>
          <w:sz w:val="28"/>
          <w:szCs w:val="28"/>
        </w:rPr>
      </w:pPr>
      <w:r w:rsidRPr="00DC1E09">
        <w:rPr>
          <w:rFonts w:ascii="Times New Roman" w:hAnsi="Times New Roman"/>
          <w:sz w:val="28"/>
          <w:szCs w:val="28"/>
        </w:rPr>
        <w:t>В цифровой экономике основным ресурсом вместо запаса товаров становится информация, и она не иссякает и безвозмездно возобновляется; торговые площади и операционная деятельность переместились в Интернет и стали глобальными; транзакционные коммерческие затраты существенно снижаются и могут стать нулевыми.</w:t>
      </w:r>
    </w:p>
    <w:p w:rsidR="0068434D" w:rsidRPr="00DC1E09" w:rsidRDefault="0068434D" w:rsidP="00965C04">
      <w:pPr>
        <w:spacing w:after="0" w:line="315" w:lineRule="exact"/>
        <w:ind w:firstLine="709"/>
        <w:jc w:val="both"/>
        <w:rPr>
          <w:rFonts w:ascii="Times New Roman" w:hAnsi="Times New Roman"/>
          <w:sz w:val="28"/>
          <w:szCs w:val="28"/>
        </w:rPr>
      </w:pPr>
      <w:r w:rsidRPr="00DC1E09">
        <w:rPr>
          <w:rFonts w:ascii="Times New Roman" w:hAnsi="Times New Roman"/>
          <w:sz w:val="28"/>
          <w:szCs w:val="28"/>
        </w:rPr>
        <w:t>Изменения оборота товара, связанные с внедрением ИКТ, изменили существующие рынки и создали новые, на которых полезная стоимость создается путем сбора, обработки и предоставления информации, включая телеметрические данные</w:t>
      </w:r>
      <w:r w:rsidR="00FE5AE2">
        <w:rPr>
          <w:rFonts w:ascii="Times New Roman" w:hAnsi="Times New Roman"/>
          <w:sz w:val="28"/>
          <w:szCs w:val="28"/>
        </w:rPr>
        <w:t>,</w:t>
      </w:r>
      <w:r w:rsidRPr="00DC1E09">
        <w:rPr>
          <w:rFonts w:ascii="Times New Roman" w:hAnsi="Times New Roman"/>
          <w:sz w:val="28"/>
          <w:szCs w:val="28"/>
        </w:rPr>
        <w:t xml:space="preserve"> – это рынки оптовой и розничной торговли, страхования, перевозок, предоставления тури</w:t>
      </w:r>
      <w:r>
        <w:rPr>
          <w:rFonts w:ascii="Times New Roman" w:hAnsi="Times New Roman"/>
          <w:sz w:val="28"/>
          <w:szCs w:val="28"/>
        </w:rPr>
        <w:t xml:space="preserve">стских услуг и многие другие, когда услуги оказываются в </w:t>
      </w:r>
      <w:r w:rsidR="00FE5AE2" w:rsidRPr="00FE5AE2">
        <w:rPr>
          <w:rFonts w:ascii="Times New Roman" w:hAnsi="Times New Roman"/>
          <w:sz w:val="28"/>
          <w:szCs w:val="28"/>
        </w:rPr>
        <w:t>онлайн</w:t>
      </w:r>
      <w:r w:rsidR="00FE5AE2">
        <w:rPr>
          <w:rFonts w:ascii="Times New Roman" w:hAnsi="Times New Roman"/>
          <w:sz w:val="28"/>
          <w:szCs w:val="28"/>
        </w:rPr>
        <w:t>-режиме</w:t>
      </w:r>
      <w:r>
        <w:rPr>
          <w:rFonts w:ascii="Times New Roman" w:hAnsi="Times New Roman"/>
          <w:sz w:val="28"/>
          <w:szCs w:val="28"/>
        </w:rPr>
        <w:t>.</w:t>
      </w:r>
    </w:p>
    <w:p w:rsidR="0068434D" w:rsidRPr="00DC1E09" w:rsidRDefault="00FE5AE2" w:rsidP="00965C04">
      <w:pPr>
        <w:spacing w:after="0" w:line="315" w:lineRule="exact"/>
        <w:ind w:firstLine="709"/>
        <w:jc w:val="both"/>
        <w:rPr>
          <w:rFonts w:ascii="Times New Roman" w:hAnsi="Times New Roman"/>
          <w:sz w:val="28"/>
          <w:szCs w:val="28"/>
        </w:rPr>
      </w:pPr>
      <w:r>
        <w:rPr>
          <w:rFonts w:ascii="Times New Roman" w:hAnsi="Times New Roman"/>
          <w:sz w:val="28"/>
          <w:szCs w:val="28"/>
        </w:rPr>
        <w:t>Значимость</w:t>
      </w:r>
      <w:r w:rsidR="0068434D" w:rsidRPr="00DC1E09">
        <w:rPr>
          <w:rFonts w:ascii="Times New Roman" w:hAnsi="Times New Roman"/>
          <w:sz w:val="28"/>
          <w:szCs w:val="28"/>
        </w:rPr>
        <w:t xml:space="preserve"> сбора, обраб</w:t>
      </w:r>
      <w:r>
        <w:rPr>
          <w:rFonts w:ascii="Times New Roman" w:hAnsi="Times New Roman"/>
          <w:sz w:val="28"/>
          <w:szCs w:val="28"/>
        </w:rPr>
        <w:t xml:space="preserve">отки и визуализации информации </w:t>
      </w:r>
      <w:r w:rsidR="0068434D" w:rsidRPr="00DC1E09">
        <w:rPr>
          <w:rFonts w:ascii="Times New Roman" w:hAnsi="Times New Roman"/>
          <w:sz w:val="28"/>
          <w:szCs w:val="28"/>
        </w:rPr>
        <w:t>обусловил</w:t>
      </w:r>
      <w:r>
        <w:rPr>
          <w:rFonts w:ascii="Times New Roman" w:hAnsi="Times New Roman"/>
          <w:sz w:val="28"/>
          <w:szCs w:val="28"/>
        </w:rPr>
        <w:t>и</w:t>
      </w:r>
      <w:r w:rsidR="0068434D" w:rsidRPr="00DC1E09">
        <w:rPr>
          <w:rFonts w:ascii="Times New Roman" w:hAnsi="Times New Roman"/>
          <w:sz w:val="28"/>
          <w:szCs w:val="28"/>
        </w:rPr>
        <w:t xml:space="preserve"> появление нового участника на рынках информационного поиска, оптовой и розничной торговли, страхования, образования, перевозок, </w:t>
      </w:r>
      <w:r w:rsidR="001D5B19" w:rsidRPr="001D5B19">
        <w:rPr>
          <w:rFonts w:ascii="Times New Roman" w:hAnsi="Times New Roman"/>
          <w:sz w:val="28"/>
          <w:szCs w:val="28"/>
        </w:rPr>
        <w:t>туристских</w:t>
      </w:r>
      <w:r w:rsidR="0068434D" w:rsidRPr="00DC1E09">
        <w:rPr>
          <w:rFonts w:ascii="Times New Roman" w:hAnsi="Times New Roman"/>
          <w:sz w:val="28"/>
          <w:szCs w:val="28"/>
        </w:rPr>
        <w:t xml:space="preserve"> услуг</w:t>
      </w:r>
      <w:r>
        <w:rPr>
          <w:rFonts w:ascii="Times New Roman" w:hAnsi="Times New Roman"/>
          <w:sz w:val="28"/>
          <w:szCs w:val="28"/>
        </w:rPr>
        <w:t xml:space="preserve"> и</w:t>
      </w:r>
      <w:r w:rsidR="0068434D" w:rsidRPr="00DC1E09">
        <w:rPr>
          <w:rFonts w:ascii="Times New Roman" w:hAnsi="Times New Roman"/>
          <w:sz w:val="28"/>
          <w:szCs w:val="28"/>
        </w:rPr>
        <w:t xml:space="preserve"> др</w:t>
      </w:r>
      <w:r>
        <w:rPr>
          <w:rFonts w:ascii="Times New Roman" w:hAnsi="Times New Roman"/>
          <w:sz w:val="28"/>
          <w:szCs w:val="28"/>
        </w:rPr>
        <w:t>.</w:t>
      </w:r>
      <w:r w:rsidR="0068434D" w:rsidRPr="00DC1E09">
        <w:rPr>
          <w:rFonts w:ascii="Times New Roman" w:hAnsi="Times New Roman"/>
          <w:sz w:val="28"/>
          <w:szCs w:val="28"/>
        </w:rPr>
        <w:t>, причем часто одно и то же лицо является агрегатором</w:t>
      </w:r>
      <w:r>
        <w:rPr>
          <w:rFonts w:ascii="Times New Roman" w:hAnsi="Times New Roman"/>
          <w:sz w:val="28"/>
          <w:szCs w:val="28"/>
        </w:rPr>
        <w:t xml:space="preserve"> </w:t>
      </w:r>
      <w:r w:rsidR="0068434D" w:rsidRPr="00DC1E09">
        <w:rPr>
          <w:rFonts w:ascii="Times New Roman" w:hAnsi="Times New Roman"/>
          <w:sz w:val="28"/>
          <w:szCs w:val="28"/>
        </w:rPr>
        <w:t>на разных рынках.</w:t>
      </w:r>
    </w:p>
    <w:p w:rsidR="0068434D" w:rsidRPr="00965C04" w:rsidRDefault="0068434D" w:rsidP="00965C04">
      <w:pPr>
        <w:spacing w:after="0" w:line="315" w:lineRule="exact"/>
        <w:ind w:firstLine="709"/>
        <w:jc w:val="both"/>
        <w:rPr>
          <w:rFonts w:ascii="Times New Roman" w:hAnsi="Times New Roman"/>
          <w:spacing w:val="-4"/>
          <w:sz w:val="28"/>
          <w:szCs w:val="28"/>
        </w:rPr>
      </w:pPr>
      <w:r w:rsidRPr="00965C04">
        <w:rPr>
          <w:rFonts w:ascii="Times New Roman" w:hAnsi="Times New Roman"/>
          <w:spacing w:val="-4"/>
          <w:sz w:val="28"/>
          <w:szCs w:val="28"/>
        </w:rPr>
        <w:t xml:space="preserve">Более того, помимо добавления новой полезной стоимости к существующим товарам, работам, услугам, появились новые рынки, для которых не существует </w:t>
      </w:r>
      <w:r w:rsidR="004D2C9E" w:rsidRPr="00965C04">
        <w:rPr>
          <w:rFonts w:ascii="Times New Roman" w:hAnsi="Times New Roman"/>
          <w:spacing w:val="-4"/>
          <w:sz w:val="28"/>
          <w:szCs w:val="28"/>
        </w:rPr>
        <w:t>«</w:t>
      </w:r>
      <w:r w:rsidRPr="00965C04">
        <w:rPr>
          <w:rFonts w:ascii="Times New Roman" w:hAnsi="Times New Roman"/>
          <w:spacing w:val="-4"/>
          <w:sz w:val="28"/>
          <w:szCs w:val="28"/>
        </w:rPr>
        <w:t>физических</w:t>
      </w:r>
      <w:r w:rsidR="004D2C9E" w:rsidRPr="00965C04">
        <w:rPr>
          <w:rFonts w:ascii="Times New Roman" w:hAnsi="Times New Roman"/>
          <w:spacing w:val="-4"/>
          <w:sz w:val="28"/>
          <w:szCs w:val="28"/>
        </w:rPr>
        <w:t>»</w:t>
      </w:r>
      <w:r w:rsidRPr="00965C04">
        <w:rPr>
          <w:rFonts w:ascii="Times New Roman" w:hAnsi="Times New Roman"/>
          <w:spacing w:val="-4"/>
          <w:sz w:val="28"/>
          <w:szCs w:val="28"/>
        </w:rPr>
        <w:t xml:space="preserve"> аналогов – навигация и позиционирование, электронный документооборот, электронные торговые площадки и др.</w:t>
      </w:r>
    </w:p>
    <w:p w:rsidR="0068434D" w:rsidRPr="00A51914" w:rsidRDefault="0068434D" w:rsidP="00965C04">
      <w:pPr>
        <w:spacing w:after="0" w:line="315" w:lineRule="exact"/>
        <w:ind w:firstLine="709"/>
        <w:jc w:val="both"/>
        <w:rPr>
          <w:rFonts w:ascii="Times New Roman" w:hAnsi="Times New Roman"/>
          <w:sz w:val="28"/>
          <w:szCs w:val="28"/>
        </w:rPr>
      </w:pPr>
      <w:r>
        <w:rPr>
          <w:rFonts w:ascii="Times New Roman" w:hAnsi="Times New Roman"/>
          <w:sz w:val="28"/>
          <w:szCs w:val="28"/>
        </w:rPr>
        <w:t>Существенной особенностью рынков в цифровой экономике является то, что п</w:t>
      </w:r>
      <w:r w:rsidRPr="00A51914">
        <w:rPr>
          <w:rFonts w:ascii="Times New Roman" w:hAnsi="Times New Roman"/>
          <w:sz w:val="28"/>
          <w:szCs w:val="28"/>
        </w:rPr>
        <w:t xml:space="preserve">о мере цифровизации глобальной экономики возрастает прямое влияние транснациональных корпораций на конкуренцию на </w:t>
      </w:r>
      <w:r>
        <w:rPr>
          <w:rFonts w:ascii="Times New Roman" w:hAnsi="Times New Roman"/>
          <w:sz w:val="28"/>
          <w:szCs w:val="28"/>
        </w:rPr>
        <w:t>национальных</w:t>
      </w:r>
      <w:r w:rsidRPr="00A51914">
        <w:rPr>
          <w:rFonts w:ascii="Times New Roman" w:hAnsi="Times New Roman"/>
          <w:sz w:val="28"/>
          <w:szCs w:val="28"/>
        </w:rPr>
        <w:t xml:space="preserve"> рынках. Влияние глобальных игроков является с</w:t>
      </w:r>
      <w:r w:rsidR="00FE5AE2">
        <w:rPr>
          <w:rFonts w:ascii="Times New Roman" w:hAnsi="Times New Roman"/>
          <w:sz w:val="28"/>
          <w:szCs w:val="28"/>
        </w:rPr>
        <w:t>ущественным, в том числе потому</w:t>
      </w:r>
      <w:r w:rsidR="0093193D">
        <w:rPr>
          <w:rFonts w:ascii="Times New Roman" w:hAnsi="Times New Roman"/>
          <w:sz w:val="28"/>
          <w:szCs w:val="28"/>
        </w:rPr>
        <w:t>,</w:t>
      </w:r>
      <w:r w:rsidRPr="00A51914">
        <w:rPr>
          <w:rFonts w:ascii="Times New Roman" w:hAnsi="Times New Roman"/>
          <w:sz w:val="28"/>
          <w:szCs w:val="28"/>
        </w:rPr>
        <w:t xml:space="preserve"> что им принадлежат базовые платформы</w:t>
      </w:r>
      <w:r w:rsidR="00FE5AE2">
        <w:rPr>
          <w:rFonts w:ascii="Times New Roman" w:hAnsi="Times New Roman"/>
          <w:sz w:val="28"/>
          <w:szCs w:val="28"/>
        </w:rPr>
        <w:t xml:space="preserve"> (в широком смысле – </w:t>
      </w:r>
      <w:r>
        <w:rPr>
          <w:rFonts w:ascii="Times New Roman" w:hAnsi="Times New Roman"/>
          <w:sz w:val="28"/>
          <w:szCs w:val="28"/>
        </w:rPr>
        <w:t>от системного программного обеспечения до платежных систем, от социальных сетей до патентов на технологии и оборудование)</w:t>
      </w:r>
      <w:r w:rsidR="00FE5AE2">
        <w:rPr>
          <w:rFonts w:ascii="Times New Roman" w:hAnsi="Times New Roman"/>
          <w:sz w:val="28"/>
          <w:szCs w:val="28"/>
        </w:rPr>
        <w:t>. В этой связи</w:t>
      </w:r>
      <w:r w:rsidRPr="00A51914">
        <w:rPr>
          <w:rFonts w:ascii="Times New Roman" w:hAnsi="Times New Roman"/>
          <w:sz w:val="28"/>
          <w:szCs w:val="28"/>
        </w:rPr>
        <w:t xml:space="preserve"> сохранение и обеспечение стабильности и баланса интересов участников цифровых рынков, защита </w:t>
      </w:r>
      <w:r>
        <w:rPr>
          <w:rFonts w:ascii="Times New Roman" w:hAnsi="Times New Roman"/>
          <w:sz w:val="28"/>
          <w:szCs w:val="28"/>
        </w:rPr>
        <w:t>национальных участников рынков</w:t>
      </w:r>
      <w:r w:rsidRPr="00A51914">
        <w:rPr>
          <w:rFonts w:ascii="Times New Roman" w:hAnsi="Times New Roman"/>
          <w:sz w:val="28"/>
          <w:szCs w:val="28"/>
        </w:rPr>
        <w:t xml:space="preserve"> требу</w:t>
      </w:r>
      <w:r w:rsidR="00FE5AE2">
        <w:rPr>
          <w:rFonts w:ascii="Times New Roman" w:hAnsi="Times New Roman"/>
          <w:sz w:val="28"/>
          <w:szCs w:val="28"/>
        </w:rPr>
        <w:t>ю</w:t>
      </w:r>
      <w:r w:rsidRPr="00A51914">
        <w:rPr>
          <w:rFonts w:ascii="Times New Roman" w:hAnsi="Times New Roman"/>
          <w:sz w:val="28"/>
          <w:szCs w:val="28"/>
        </w:rPr>
        <w:t>т своевременного реагирования на появление новых особенностей и механизмов деятельности поставщиков и покупателей.</w:t>
      </w:r>
    </w:p>
    <w:p w:rsidR="0068434D" w:rsidRDefault="0068434D" w:rsidP="00965C04">
      <w:pPr>
        <w:spacing w:after="0" w:line="315" w:lineRule="exact"/>
        <w:ind w:firstLine="709"/>
        <w:jc w:val="both"/>
        <w:rPr>
          <w:rFonts w:ascii="Times New Roman" w:hAnsi="Times New Roman"/>
          <w:sz w:val="28"/>
          <w:szCs w:val="28"/>
        </w:rPr>
      </w:pPr>
      <w:r>
        <w:rPr>
          <w:rFonts w:ascii="Times New Roman" w:hAnsi="Times New Roman"/>
          <w:sz w:val="28"/>
          <w:szCs w:val="28"/>
        </w:rPr>
        <w:t>Изменени</w:t>
      </w:r>
      <w:r w:rsidR="00FE5AE2">
        <w:rPr>
          <w:rFonts w:ascii="Times New Roman" w:hAnsi="Times New Roman"/>
          <w:sz w:val="28"/>
          <w:szCs w:val="28"/>
        </w:rPr>
        <w:t>я</w:t>
      </w:r>
      <w:r>
        <w:rPr>
          <w:rFonts w:ascii="Times New Roman" w:hAnsi="Times New Roman"/>
          <w:sz w:val="28"/>
          <w:szCs w:val="28"/>
        </w:rPr>
        <w:t xml:space="preserve"> самого товара, его обращения, обусловленного в том числе изменением роли участников рынка, </w:t>
      </w:r>
      <w:r w:rsidR="00FE5AE2">
        <w:rPr>
          <w:rFonts w:ascii="Times New Roman" w:hAnsi="Times New Roman"/>
          <w:sz w:val="28"/>
          <w:szCs w:val="28"/>
        </w:rPr>
        <w:t>вызывают</w:t>
      </w:r>
      <w:r>
        <w:rPr>
          <w:rFonts w:ascii="Times New Roman" w:hAnsi="Times New Roman"/>
          <w:sz w:val="28"/>
          <w:szCs w:val="28"/>
        </w:rPr>
        <w:t xml:space="preserve"> необходимость формирования новых подходов в антимонопольном регулировании, учитывающ</w:t>
      </w:r>
      <w:r w:rsidR="00FE5AE2">
        <w:rPr>
          <w:rFonts w:ascii="Times New Roman" w:hAnsi="Times New Roman"/>
          <w:sz w:val="28"/>
          <w:szCs w:val="28"/>
        </w:rPr>
        <w:t>их</w:t>
      </w:r>
      <w:r>
        <w:rPr>
          <w:rFonts w:ascii="Times New Roman" w:hAnsi="Times New Roman"/>
          <w:sz w:val="28"/>
          <w:szCs w:val="28"/>
        </w:rPr>
        <w:t xml:space="preserve"> эти особенности для выбора наилучшего пути для сохранения и развития конкуренции.</w:t>
      </w:r>
    </w:p>
    <w:p w:rsidR="0068434D" w:rsidRDefault="0068434D" w:rsidP="00965C04">
      <w:pPr>
        <w:spacing w:after="0" w:line="315" w:lineRule="exact"/>
        <w:ind w:firstLine="709"/>
        <w:jc w:val="both"/>
        <w:rPr>
          <w:rFonts w:ascii="Times New Roman" w:hAnsi="Times New Roman"/>
          <w:sz w:val="28"/>
          <w:szCs w:val="28"/>
        </w:rPr>
      </w:pPr>
      <w:r w:rsidRPr="006822D6">
        <w:rPr>
          <w:rFonts w:ascii="Times New Roman" w:hAnsi="Times New Roman"/>
          <w:sz w:val="28"/>
          <w:szCs w:val="28"/>
        </w:rPr>
        <w:t>Оценка влияния конкуренции на инновационные рынки является сегодня одной из наиболее сложных и комплексных задач. И судам, и антимонопольным органам приходится принимать решения в условиях отсутствия единой позиции и единой методологии у экономистов и отраслевых экспертов.</w:t>
      </w:r>
    </w:p>
    <w:p w:rsidR="00FE5AE2" w:rsidRDefault="00FE5AE2"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Как отмечает </w:t>
      </w:r>
      <w:r w:rsidR="0093193D">
        <w:rPr>
          <w:rFonts w:ascii="Times New Roman" w:hAnsi="Times New Roman"/>
          <w:sz w:val="28"/>
          <w:szCs w:val="28"/>
        </w:rPr>
        <w:t xml:space="preserve">журнал </w:t>
      </w:r>
      <w:r>
        <w:rPr>
          <w:rFonts w:ascii="Times New Roman" w:hAnsi="Times New Roman"/>
          <w:sz w:val="28"/>
          <w:szCs w:val="28"/>
          <w:lang w:val="en-US"/>
        </w:rPr>
        <w:t>The</w:t>
      </w:r>
      <w:r w:rsidRPr="00FE5AE2">
        <w:rPr>
          <w:rFonts w:ascii="Times New Roman" w:hAnsi="Times New Roman"/>
          <w:sz w:val="28"/>
          <w:szCs w:val="28"/>
        </w:rPr>
        <w:t xml:space="preserve"> </w:t>
      </w:r>
      <w:r>
        <w:rPr>
          <w:rFonts w:ascii="Times New Roman" w:hAnsi="Times New Roman"/>
          <w:sz w:val="28"/>
          <w:szCs w:val="28"/>
          <w:lang w:val="en-US"/>
        </w:rPr>
        <w:t>Economist</w:t>
      </w:r>
      <w:r>
        <w:rPr>
          <w:rFonts w:ascii="Times New Roman" w:hAnsi="Times New Roman"/>
          <w:sz w:val="28"/>
          <w:szCs w:val="28"/>
        </w:rPr>
        <w:t>, р</w:t>
      </w:r>
      <w:r w:rsidR="0068434D" w:rsidRPr="00A51914">
        <w:rPr>
          <w:rFonts w:ascii="Times New Roman" w:hAnsi="Times New Roman"/>
          <w:sz w:val="28"/>
          <w:szCs w:val="28"/>
        </w:rPr>
        <w:t>ассудительные госдеятели должны заново изобрести антимонопольное регулирование для цифровой эпохи. Это значит быть более внимательными к долгосрочным последствиям приобретения большими фирмами много</w:t>
      </w:r>
      <w:r w:rsidR="0068434D">
        <w:rPr>
          <w:rFonts w:ascii="Times New Roman" w:hAnsi="Times New Roman"/>
          <w:sz w:val="28"/>
          <w:szCs w:val="28"/>
        </w:rPr>
        <w:t>о</w:t>
      </w:r>
      <w:r w:rsidR="0068434D" w:rsidRPr="00A51914">
        <w:rPr>
          <w:rFonts w:ascii="Times New Roman" w:hAnsi="Times New Roman"/>
          <w:sz w:val="28"/>
          <w:szCs w:val="28"/>
        </w:rPr>
        <w:t>бещающих ст</w:t>
      </w:r>
      <w:r w:rsidR="0068434D">
        <w:rPr>
          <w:rFonts w:ascii="Times New Roman" w:hAnsi="Times New Roman"/>
          <w:sz w:val="28"/>
          <w:szCs w:val="28"/>
        </w:rPr>
        <w:t>ар</w:t>
      </w:r>
      <w:r w:rsidR="0093193D">
        <w:rPr>
          <w:rFonts w:ascii="Times New Roman" w:hAnsi="Times New Roman"/>
          <w:sz w:val="28"/>
          <w:szCs w:val="28"/>
        </w:rPr>
        <w:t xml:space="preserve">тапов; </w:t>
      </w:r>
      <w:r w:rsidR="0068434D" w:rsidRPr="00A51914">
        <w:rPr>
          <w:rFonts w:ascii="Times New Roman" w:hAnsi="Times New Roman"/>
          <w:sz w:val="28"/>
          <w:szCs w:val="28"/>
        </w:rPr>
        <w:t>упрощать для потребителей перенос их данных из одной компании в другую и не допускать ИТ-фирм</w:t>
      </w:r>
      <w:r w:rsidR="0068434D">
        <w:rPr>
          <w:rFonts w:ascii="Times New Roman" w:hAnsi="Times New Roman"/>
          <w:sz w:val="28"/>
          <w:szCs w:val="28"/>
        </w:rPr>
        <w:t>ам</w:t>
      </w:r>
      <w:r w:rsidR="0068434D" w:rsidRPr="00A51914">
        <w:rPr>
          <w:rFonts w:ascii="Times New Roman" w:hAnsi="Times New Roman"/>
          <w:sz w:val="28"/>
          <w:szCs w:val="28"/>
        </w:rPr>
        <w:t xml:space="preserve"> недобросовестно давать преимущества их собственным сервисам на платф</w:t>
      </w:r>
      <w:r w:rsidR="0093193D">
        <w:rPr>
          <w:rFonts w:ascii="Times New Roman" w:hAnsi="Times New Roman"/>
          <w:sz w:val="28"/>
          <w:szCs w:val="28"/>
        </w:rPr>
        <w:t>ормах, которые они контролируют;</w:t>
      </w:r>
      <w:r w:rsidR="0068434D" w:rsidRPr="00A51914">
        <w:rPr>
          <w:rFonts w:ascii="Times New Roman" w:hAnsi="Times New Roman"/>
          <w:sz w:val="28"/>
          <w:szCs w:val="28"/>
        </w:rPr>
        <w:t xml:space="preserve"> обеспеч</w:t>
      </w:r>
      <w:r w:rsidR="0093193D">
        <w:rPr>
          <w:rFonts w:ascii="Times New Roman" w:hAnsi="Times New Roman"/>
          <w:sz w:val="28"/>
          <w:szCs w:val="28"/>
        </w:rPr>
        <w:t>ить</w:t>
      </w:r>
      <w:r w:rsidR="0068434D" w:rsidRPr="00A51914">
        <w:rPr>
          <w:rFonts w:ascii="Times New Roman" w:hAnsi="Times New Roman"/>
          <w:sz w:val="28"/>
          <w:szCs w:val="28"/>
        </w:rPr>
        <w:t xml:space="preserve"> </w:t>
      </w:r>
      <w:r w:rsidR="0093193D">
        <w:rPr>
          <w:rFonts w:ascii="Times New Roman" w:hAnsi="Times New Roman"/>
          <w:sz w:val="28"/>
          <w:szCs w:val="28"/>
        </w:rPr>
        <w:t>гражданам</w:t>
      </w:r>
      <w:r w:rsidR="0068434D" w:rsidRPr="00A51914">
        <w:rPr>
          <w:rFonts w:ascii="Times New Roman" w:hAnsi="Times New Roman"/>
          <w:sz w:val="28"/>
          <w:szCs w:val="28"/>
        </w:rPr>
        <w:t xml:space="preserve"> прав</w:t>
      </w:r>
      <w:r w:rsidR="001D5B19">
        <w:rPr>
          <w:rFonts w:ascii="Times New Roman" w:hAnsi="Times New Roman"/>
          <w:sz w:val="28"/>
          <w:szCs w:val="28"/>
        </w:rPr>
        <w:t>о</w:t>
      </w:r>
      <w:r w:rsidR="0068434D" w:rsidRPr="00A51914">
        <w:rPr>
          <w:rFonts w:ascii="Times New Roman" w:hAnsi="Times New Roman"/>
          <w:sz w:val="28"/>
          <w:szCs w:val="28"/>
        </w:rPr>
        <w:t xml:space="preserve"> выбора способа подтверждения своей личности в онлайн.</w:t>
      </w:r>
      <w:r w:rsidR="0068434D">
        <w:rPr>
          <w:rFonts w:ascii="Times New Roman" w:hAnsi="Times New Roman"/>
          <w:sz w:val="28"/>
          <w:szCs w:val="28"/>
        </w:rPr>
        <w:t xml:space="preserve"> </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Рассмотрим особенности рынков, функционирующих в цифровой экономике.</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Зачастую уже сложно определить стандартные позиции участников рынка: продавец – покупатель, розничная торговля – оптовая торговля.</w:t>
      </w:r>
    </w:p>
    <w:p w:rsidR="0068434D" w:rsidRDefault="0068434D" w:rsidP="004D2C9E">
      <w:pPr>
        <w:spacing w:after="0" w:line="240" w:lineRule="auto"/>
        <w:ind w:firstLine="709"/>
        <w:jc w:val="both"/>
        <w:rPr>
          <w:rFonts w:ascii="Times New Roman" w:hAnsi="Times New Roman"/>
          <w:sz w:val="28"/>
          <w:szCs w:val="28"/>
        </w:rPr>
      </w:pPr>
      <w:r w:rsidRPr="007A63ED">
        <w:rPr>
          <w:rFonts w:ascii="Times New Roman" w:hAnsi="Times New Roman"/>
          <w:sz w:val="28"/>
          <w:szCs w:val="28"/>
        </w:rPr>
        <w:t>Потенциальный покупатель всегда был основным объектом внимания бизнеса. Концептуальный сдвиг, который наблюдае</w:t>
      </w:r>
      <w:r w:rsidR="0093193D">
        <w:rPr>
          <w:rFonts w:ascii="Times New Roman" w:hAnsi="Times New Roman"/>
          <w:sz w:val="28"/>
          <w:szCs w:val="28"/>
        </w:rPr>
        <w:t>тся</w:t>
      </w:r>
      <w:r w:rsidRPr="007A63ED">
        <w:rPr>
          <w:rFonts w:ascii="Times New Roman" w:hAnsi="Times New Roman"/>
          <w:sz w:val="28"/>
          <w:szCs w:val="28"/>
        </w:rPr>
        <w:t xml:space="preserve"> в современной экономике, заключается в том, что бывший объект </w:t>
      </w:r>
      <w:r w:rsidR="00FE5AE2" w:rsidRPr="00FE5AE2">
        <w:rPr>
          <w:rFonts w:ascii="Times New Roman" w:hAnsi="Times New Roman"/>
          <w:sz w:val="28"/>
          <w:szCs w:val="28"/>
        </w:rPr>
        <w:t xml:space="preserve">постепенно </w:t>
      </w:r>
      <w:r w:rsidRPr="007A63ED">
        <w:rPr>
          <w:rFonts w:ascii="Times New Roman" w:hAnsi="Times New Roman"/>
          <w:sz w:val="28"/>
          <w:szCs w:val="28"/>
        </w:rPr>
        <w:t xml:space="preserve">приобретает черты субъекта. Предпринимателя интересует уже не только сумма, которую он готов заплатить здесь и сейчас. Огромный ассортимент товаров, развитие электронной коммерции делают более выгодным учет индивидуальных пристрастий пользователя, чтобы нужный товар нашел своего потребителя. </w:t>
      </w:r>
      <w:r w:rsidR="002624A7">
        <w:rPr>
          <w:rFonts w:ascii="Times New Roman" w:hAnsi="Times New Roman"/>
          <w:sz w:val="28"/>
          <w:szCs w:val="28"/>
        </w:rPr>
        <w:t>В</w:t>
      </w:r>
      <w:r w:rsidRPr="007A63ED">
        <w:rPr>
          <w:rFonts w:ascii="Times New Roman" w:hAnsi="Times New Roman"/>
          <w:sz w:val="28"/>
          <w:szCs w:val="28"/>
        </w:rPr>
        <w:t xml:space="preserve"> центре внимания оказываются дружеские, профессиональные и иные связи, которые пользователь устанавливает и поддерживает через Интернет</w:t>
      </w:r>
      <w:r w:rsidR="00F9318B">
        <w:rPr>
          <w:rFonts w:ascii="Times New Roman" w:hAnsi="Times New Roman"/>
          <w:sz w:val="28"/>
          <w:szCs w:val="28"/>
        </w:rPr>
        <w:t xml:space="preserve"> – </w:t>
      </w:r>
      <w:r w:rsidRPr="008A0E81">
        <w:rPr>
          <w:rFonts w:ascii="Times New Roman" w:hAnsi="Times New Roman"/>
          <w:sz w:val="28"/>
          <w:szCs w:val="28"/>
        </w:rPr>
        <w:t>речь идет о такой все больше повышающейся ценности</w:t>
      </w:r>
      <w:r>
        <w:rPr>
          <w:rFonts w:ascii="Times New Roman" w:hAnsi="Times New Roman"/>
          <w:sz w:val="28"/>
          <w:szCs w:val="28"/>
        </w:rPr>
        <w:t>,</w:t>
      </w:r>
      <w:r w:rsidRPr="008A0E81">
        <w:rPr>
          <w:rFonts w:ascii="Times New Roman" w:hAnsi="Times New Roman"/>
          <w:sz w:val="28"/>
          <w:szCs w:val="28"/>
        </w:rPr>
        <w:t xml:space="preserve"> как поведение потребителя</w:t>
      </w:r>
      <w:r w:rsidRPr="007A63ED">
        <w:rPr>
          <w:rFonts w:ascii="Times New Roman" w:hAnsi="Times New Roman"/>
          <w:sz w:val="28"/>
          <w:szCs w:val="28"/>
        </w:rPr>
        <w:t xml:space="preserve">. Социальные сети, почтовые контакты формируют аудиторию, сетевые </w:t>
      </w:r>
      <w:r w:rsidR="004D2C9E">
        <w:rPr>
          <w:rFonts w:ascii="Times New Roman" w:hAnsi="Times New Roman"/>
          <w:sz w:val="28"/>
          <w:szCs w:val="28"/>
        </w:rPr>
        <w:t>«</w:t>
      </w:r>
      <w:r w:rsidRPr="007A63ED">
        <w:rPr>
          <w:rFonts w:ascii="Times New Roman" w:hAnsi="Times New Roman"/>
          <w:sz w:val="28"/>
          <w:szCs w:val="28"/>
        </w:rPr>
        <w:t>места скопления</w:t>
      </w:r>
      <w:r w:rsidR="004D2C9E">
        <w:rPr>
          <w:rFonts w:ascii="Times New Roman" w:hAnsi="Times New Roman"/>
          <w:sz w:val="28"/>
          <w:szCs w:val="28"/>
        </w:rPr>
        <w:t>»</w:t>
      </w:r>
      <w:r w:rsidRPr="007A63ED">
        <w:rPr>
          <w:rFonts w:ascii="Times New Roman" w:hAnsi="Times New Roman"/>
          <w:sz w:val="28"/>
          <w:szCs w:val="28"/>
        </w:rPr>
        <w:t xml:space="preserve"> адресатов рекламы, продуктов и услуг. Пользователь становится непосредственным участником бизнес-системы, включенным в сеть ее воспроизводства как важное и неотъемлемое звено. Но в отличие от технических средств, которые работают по заданным параметрам, пользователь обладает свободой воли, и поэтому с ним приходится считаться.</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Так</w:t>
      </w:r>
      <w:r w:rsidR="0093193D">
        <w:rPr>
          <w:rFonts w:ascii="Times New Roman" w:hAnsi="Times New Roman"/>
          <w:sz w:val="28"/>
          <w:szCs w:val="28"/>
        </w:rPr>
        <w:t>,</w:t>
      </w:r>
      <w:r>
        <w:rPr>
          <w:rFonts w:ascii="Times New Roman" w:hAnsi="Times New Roman"/>
          <w:sz w:val="28"/>
          <w:szCs w:val="28"/>
        </w:rPr>
        <w:t xml:space="preserve"> безусловной ценностью становятся большие массивы данных – </w:t>
      </w:r>
      <w:r w:rsidR="0093193D">
        <w:rPr>
          <w:rFonts w:ascii="Times New Roman" w:hAnsi="Times New Roman"/>
          <w:sz w:val="28"/>
          <w:szCs w:val="28"/>
        </w:rPr>
        <w:t>«</w:t>
      </w:r>
      <w:r>
        <w:rPr>
          <w:rFonts w:ascii="Times New Roman" w:hAnsi="Times New Roman"/>
          <w:sz w:val="28"/>
          <w:szCs w:val="28"/>
        </w:rPr>
        <w:t>нефть</w:t>
      </w:r>
      <w:r w:rsidR="0093193D">
        <w:rPr>
          <w:rFonts w:ascii="Times New Roman" w:hAnsi="Times New Roman"/>
          <w:sz w:val="28"/>
          <w:szCs w:val="28"/>
        </w:rPr>
        <w:t>»</w:t>
      </w:r>
      <w:r>
        <w:rPr>
          <w:rFonts w:ascii="Times New Roman" w:hAnsi="Times New Roman"/>
          <w:sz w:val="28"/>
          <w:szCs w:val="28"/>
        </w:rPr>
        <w:t xml:space="preserve"> цифровой эпохи.</w:t>
      </w:r>
    </w:p>
    <w:p w:rsidR="0068434D" w:rsidRPr="00A70940"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A70940">
        <w:rPr>
          <w:rFonts w:ascii="Times New Roman" w:hAnsi="Times New Roman"/>
          <w:sz w:val="28"/>
          <w:szCs w:val="28"/>
        </w:rPr>
        <w:t>ще одно понятие, которое свидетельствует о концептуально новом подходе к организации бизнеса</w:t>
      </w:r>
      <w:r>
        <w:rPr>
          <w:rFonts w:ascii="Times New Roman" w:hAnsi="Times New Roman"/>
          <w:sz w:val="28"/>
          <w:szCs w:val="28"/>
        </w:rPr>
        <w:t xml:space="preserve"> – </w:t>
      </w:r>
      <w:r w:rsidR="004D2C9E">
        <w:rPr>
          <w:rFonts w:ascii="Times New Roman" w:hAnsi="Times New Roman"/>
          <w:sz w:val="28"/>
          <w:szCs w:val="28"/>
        </w:rPr>
        <w:t>«</w:t>
      </w:r>
      <w:r w:rsidRPr="00A70940">
        <w:rPr>
          <w:rFonts w:ascii="Times New Roman" w:hAnsi="Times New Roman"/>
          <w:sz w:val="28"/>
          <w:szCs w:val="28"/>
        </w:rPr>
        <w:t>экономик</w:t>
      </w:r>
      <w:r>
        <w:rPr>
          <w:rFonts w:ascii="Times New Roman" w:hAnsi="Times New Roman"/>
          <w:sz w:val="28"/>
          <w:szCs w:val="28"/>
        </w:rPr>
        <w:t>а</w:t>
      </w:r>
      <w:r w:rsidRPr="00A70940">
        <w:rPr>
          <w:rFonts w:ascii="Times New Roman" w:hAnsi="Times New Roman"/>
          <w:sz w:val="28"/>
          <w:szCs w:val="28"/>
        </w:rPr>
        <w:t xml:space="preserve"> внимания</w:t>
      </w:r>
      <w:r w:rsidR="004D2C9E">
        <w:rPr>
          <w:rFonts w:ascii="Times New Roman" w:hAnsi="Times New Roman"/>
          <w:sz w:val="28"/>
          <w:szCs w:val="28"/>
        </w:rPr>
        <w:t>»</w:t>
      </w:r>
      <w:r w:rsidRPr="00A70940">
        <w:rPr>
          <w:rFonts w:ascii="Times New Roman" w:hAnsi="Times New Roman"/>
          <w:sz w:val="28"/>
          <w:szCs w:val="28"/>
        </w:rPr>
        <w:t xml:space="preserve">. Внимание становится фактором, который необходимо учитывать в экономических расчетах. В отличие от информации, которая является неисчерпаемым ресурсом, человеческое внимание принимается за ресурс с ограниченным запасом. </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70940">
        <w:rPr>
          <w:rFonts w:ascii="Times New Roman" w:hAnsi="Times New Roman"/>
          <w:sz w:val="28"/>
          <w:szCs w:val="28"/>
        </w:rPr>
        <w:t xml:space="preserve"> </w:t>
      </w:r>
      <w:r>
        <w:rPr>
          <w:rFonts w:ascii="Times New Roman" w:hAnsi="Times New Roman"/>
          <w:sz w:val="28"/>
          <w:szCs w:val="28"/>
        </w:rPr>
        <w:t>ИТ</w:t>
      </w:r>
      <w:r w:rsidRPr="00A70940">
        <w:rPr>
          <w:rFonts w:ascii="Times New Roman" w:hAnsi="Times New Roman"/>
          <w:sz w:val="28"/>
          <w:szCs w:val="28"/>
        </w:rPr>
        <w:t xml:space="preserve">-бизнесе внимание пользователей и потребителей становится одним из решающих факторов успеха. </w:t>
      </w:r>
      <w:r>
        <w:rPr>
          <w:rFonts w:ascii="Times New Roman" w:hAnsi="Times New Roman"/>
          <w:sz w:val="28"/>
          <w:szCs w:val="28"/>
        </w:rPr>
        <w:t>Например, п</w:t>
      </w:r>
      <w:r w:rsidRPr="00A70940">
        <w:rPr>
          <w:rFonts w:ascii="Times New Roman" w:hAnsi="Times New Roman"/>
          <w:sz w:val="28"/>
          <w:szCs w:val="28"/>
        </w:rPr>
        <w:t xml:space="preserve">омимо проблемы индексируемости сайта, еще большую проблему составляет необходимость, чтобы пользователь зашел и остался на сайте максимальное количество времени. Фактически внимание </w:t>
      </w:r>
      <w:r w:rsidR="00A60DE6">
        <w:rPr>
          <w:rFonts w:ascii="Times New Roman" w:hAnsi="Times New Roman"/>
          <w:sz w:val="28"/>
          <w:szCs w:val="28"/>
        </w:rPr>
        <w:t xml:space="preserve">потребителя </w:t>
      </w:r>
      <w:r w:rsidRPr="00A70940">
        <w:rPr>
          <w:rFonts w:ascii="Times New Roman" w:hAnsi="Times New Roman"/>
          <w:sz w:val="28"/>
          <w:szCs w:val="28"/>
        </w:rPr>
        <w:t xml:space="preserve">превращается в </w:t>
      </w:r>
      <w:r w:rsidR="004D2C9E">
        <w:rPr>
          <w:rFonts w:ascii="Times New Roman" w:hAnsi="Times New Roman"/>
          <w:sz w:val="28"/>
          <w:szCs w:val="28"/>
        </w:rPr>
        <w:t>«</w:t>
      </w:r>
      <w:r w:rsidRPr="00A70940">
        <w:rPr>
          <w:rFonts w:ascii="Times New Roman" w:hAnsi="Times New Roman"/>
          <w:sz w:val="28"/>
          <w:szCs w:val="28"/>
        </w:rPr>
        <w:t>товар</w:t>
      </w:r>
      <w:r w:rsidR="004D2C9E">
        <w:rPr>
          <w:rFonts w:ascii="Times New Roman" w:hAnsi="Times New Roman"/>
          <w:sz w:val="28"/>
          <w:szCs w:val="28"/>
        </w:rPr>
        <w:t>»</w:t>
      </w:r>
      <w:r w:rsidRPr="00A70940">
        <w:rPr>
          <w:rFonts w:ascii="Times New Roman" w:hAnsi="Times New Roman"/>
          <w:sz w:val="28"/>
          <w:szCs w:val="28"/>
        </w:rPr>
        <w:t>, который пользователь предлагает предпринимателю. В отличие от продуктов интеллектуального труда, которые сразу же после своего создания начинают жить собственной жизнью, внимание составляет часть нашего личного пространства. Отсюда и особенности логики обмена пользовательского внимания на коммерческую информацию. Чтобы привлечь пользователя, информация должна быть релевантной. Но у каждого свои представления о том, что является достойным внимания. И наиболее эффективным способом привлечь внимание потенциального покупателя является формирование контента на основании данных, которые провайдер собирает о своих пользователях</w:t>
      </w:r>
      <w:r>
        <w:rPr>
          <w:rFonts w:ascii="Times New Roman" w:hAnsi="Times New Roman"/>
          <w:sz w:val="28"/>
          <w:szCs w:val="28"/>
        </w:rPr>
        <w:t>.</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Ценность внимания и </w:t>
      </w:r>
      <w:r w:rsidR="004D2C9E">
        <w:rPr>
          <w:rFonts w:ascii="Times New Roman" w:hAnsi="Times New Roman"/>
          <w:sz w:val="28"/>
          <w:szCs w:val="28"/>
        </w:rPr>
        <w:t>«</w:t>
      </w:r>
      <w:r>
        <w:rPr>
          <w:rFonts w:ascii="Times New Roman" w:hAnsi="Times New Roman"/>
          <w:sz w:val="28"/>
          <w:szCs w:val="28"/>
        </w:rPr>
        <w:t>обмен внимания</w:t>
      </w:r>
      <w:r w:rsidR="004D2C9E">
        <w:rPr>
          <w:rFonts w:ascii="Times New Roman" w:hAnsi="Times New Roman"/>
          <w:sz w:val="28"/>
          <w:szCs w:val="28"/>
        </w:rPr>
        <w:t>»</w:t>
      </w:r>
      <w:r>
        <w:rPr>
          <w:rFonts w:ascii="Times New Roman" w:hAnsi="Times New Roman"/>
          <w:sz w:val="28"/>
          <w:szCs w:val="28"/>
        </w:rPr>
        <w:t xml:space="preserve"> пользователя на товар можно рассматривать в контексте многообразия способов монетизации бизнеса.</w:t>
      </w:r>
    </w:p>
    <w:p w:rsidR="0068434D" w:rsidRPr="008A15C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первый взгляд, многие товары цифровой эпохи предоставляются пользователям </w:t>
      </w:r>
      <w:r w:rsidR="004D2C9E">
        <w:rPr>
          <w:rFonts w:ascii="Times New Roman" w:hAnsi="Times New Roman"/>
          <w:sz w:val="28"/>
          <w:szCs w:val="28"/>
        </w:rPr>
        <w:t>«</w:t>
      </w:r>
      <w:r>
        <w:rPr>
          <w:rFonts w:ascii="Times New Roman" w:hAnsi="Times New Roman"/>
          <w:sz w:val="28"/>
          <w:szCs w:val="28"/>
        </w:rPr>
        <w:t>бесплатно</w:t>
      </w:r>
      <w:r w:rsidR="004D2C9E">
        <w:rPr>
          <w:rFonts w:ascii="Times New Roman" w:hAnsi="Times New Roman"/>
          <w:sz w:val="28"/>
          <w:szCs w:val="28"/>
        </w:rPr>
        <w:t>»</w:t>
      </w:r>
      <w:r>
        <w:rPr>
          <w:rFonts w:ascii="Times New Roman" w:hAnsi="Times New Roman"/>
          <w:sz w:val="28"/>
          <w:szCs w:val="28"/>
        </w:rPr>
        <w:t xml:space="preserve"> в привычном смысле этого слова, т</w:t>
      </w:r>
      <w:r w:rsidR="0093193D">
        <w:rPr>
          <w:rFonts w:ascii="Times New Roman" w:hAnsi="Times New Roman"/>
          <w:sz w:val="28"/>
          <w:szCs w:val="28"/>
        </w:rPr>
        <w:t>.</w:t>
      </w:r>
      <w:r>
        <w:rPr>
          <w:rFonts w:ascii="Times New Roman" w:hAnsi="Times New Roman"/>
          <w:sz w:val="28"/>
          <w:szCs w:val="28"/>
        </w:rPr>
        <w:t>е</w:t>
      </w:r>
      <w:r w:rsidR="0093193D">
        <w:rPr>
          <w:rFonts w:ascii="Times New Roman" w:hAnsi="Times New Roman"/>
          <w:sz w:val="28"/>
          <w:szCs w:val="28"/>
        </w:rPr>
        <w:t>.</w:t>
      </w:r>
      <w:r>
        <w:rPr>
          <w:rFonts w:ascii="Times New Roman" w:hAnsi="Times New Roman"/>
          <w:sz w:val="28"/>
          <w:szCs w:val="28"/>
        </w:rPr>
        <w:t xml:space="preserve"> без взимания денег</w:t>
      </w:r>
      <w:r w:rsidRPr="008A15CD">
        <w:rPr>
          <w:rFonts w:ascii="Times New Roman" w:hAnsi="Times New Roman"/>
          <w:sz w:val="28"/>
          <w:szCs w:val="28"/>
        </w:rPr>
        <w:t xml:space="preserve">. С другой стороны, многие из бесплатных сервисов приносят их владельцам косвенную выгоду, которая может принимать самые различные формы. Прибыль можно получать через ненавязчивую контекстную рекламу (модель, которая активно используется Google) или через использование в бизнес-планировании информации, собранной о пользователях (наиболее распространенный способ окупить бесплатные сервисы). Используется также </w:t>
      </w:r>
      <w:r w:rsidR="004D2C9E">
        <w:rPr>
          <w:rFonts w:ascii="Times New Roman" w:hAnsi="Times New Roman"/>
          <w:sz w:val="28"/>
          <w:szCs w:val="28"/>
        </w:rPr>
        <w:t>«</w:t>
      </w:r>
      <w:r w:rsidRPr="008A15CD">
        <w:rPr>
          <w:rFonts w:ascii="Times New Roman" w:hAnsi="Times New Roman"/>
          <w:sz w:val="28"/>
          <w:szCs w:val="28"/>
        </w:rPr>
        <w:t>приучение</w:t>
      </w:r>
      <w:r w:rsidR="004D2C9E">
        <w:rPr>
          <w:rFonts w:ascii="Times New Roman" w:hAnsi="Times New Roman"/>
          <w:sz w:val="28"/>
          <w:szCs w:val="28"/>
        </w:rPr>
        <w:t>»</w:t>
      </w:r>
      <w:r w:rsidRPr="008A15CD">
        <w:rPr>
          <w:rFonts w:ascii="Times New Roman" w:hAnsi="Times New Roman"/>
          <w:sz w:val="28"/>
          <w:szCs w:val="28"/>
        </w:rPr>
        <w:t xml:space="preserve"> пользователей к тому или иному продукту с учетом сетевого эффекта, начиная от пробных версий программ и заканчивая умышленным попустительством в отношении пиратства. Именно так поступила компания Microsoft с Китаем. </w:t>
      </w:r>
    </w:p>
    <w:p w:rsidR="0068434D" w:rsidRPr="000A5B6A" w:rsidRDefault="0068434D" w:rsidP="004D2C9E">
      <w:pPr>
        <w:spacing w:after="0" w:line="240" w:lineRule="auto"/>
        <w:ind w:firstLine="709"/>
        <w:jc w:val="both"/>
        <w:rPr>
          <w:rFonts w:ascii="Times New Roman" w:hAnsi="Times New Roman"/>
          <w:sz w:val="28"/>
          <w:szCs w:val="28"/>
        </w:rPr>
      </w:pPr>
      <w:r w:rsidRPr="008A15CD">
        <w:rPr>
          <w:rFonts w:ascii="Times New Roman" w:hAnsi="Times New Roman"/>
          <w:sz w:val="28"/>
          <w:szCs w:val="28"/>
        </w:rPr>
        <w:t xml:space="preserve">Разнообразные модели привлечения покупателя </w:t>
      </w:r>
      <w:r w:rsidR="004D2C9E">
        <w:rPr>
          <w:rFonts w:ascii="Times New Roman" w:hAnsi="Times New Roman"/>
          <w:sz w:val="28"/>
          <w:szCs w:val="28"/>
        </w:rPr>
        <w:t>«</w:t>
      </w:r>
      <w:r w:rsidRPr="008A15CD">
        <w:rPr>
          <w:rFonts w:ascii="Times New Roman" w:hAnsi="Times New Roman"/>
          <w:sz w:val="28"/>
          <w:szCs w:val="28"/>
        </w:rPr>
        <w:t>бесплатным сыром</w:t>
      </w:r>
      <w:r w:rsidR="004D2C9E">
        <w:rPr>
          <w:rFonts w:ascii="Times New Roman" w:hAnsi="Times New Roman"/>
          <w:sz w:val="28"/>
          <w:szCs w:val="28"/>
        </w:rPr>
        <w:t>»</w:t>
      </w:r>
      <w:r w:rsidRPr="008A15CD">
        <w:rPr>
          <w:rFonts w:ascii="Times New Roman" w:hAnsi="Times New Roman"/>
          <w:sz w:val="28"/>
          <w:szCs w:val="28"/>
        </w:rPr>
        <w:t xml:space="preserve"> известны экономике издавна, но сегодня изменились масштабы и целевая установка данного явления. Из единовременных акций бесплатное становится долговременной стратегией. Привычной можно считать модель, когда бесплатные товары или услуги играют роль рекламной вставки, увеличивающей спрос на основой коммерческий объект. Ядром бизнес-модели становится бесплатный продукт или сервис, обеспечивающий устойчивую аудиторию, т.е. потенциальный рынок. Если говорить о рынке программного обеспечения, то здесь </w:t>
      </w:r>
      <w:r>
        <w:rPr>
          <w:rFonts w:ascii="Times New Roman" w:hAnsi="Times New Roman"/>
          <w:sz w:val="28"/>
          <w:szCs w:val="28"/>
        </w:rPr>
        <w:t xml:space="preserve">часто применяется </w:t>
      </w:r>
      <w:r w:rsidRPr="008A15CD">
        <w:rPr>
          <w:rFonts w:ascii="Times New Roman" w:hAnsi="Times New Roman"/>
          <w:sz w:val="28"/>
          <w:szCs w:val="28"/>
        </w:rPr>
        <w:t>модель бесплатного использования продукта в обмен на платные сопутствующие услуги, в первую очередь техническую поддержку.</w:t>
      </w:r>
    </w:p>
    <w:p w:rsidR="0068434D" w:rsidRPr="00FB702E" w:rsidRDefault="0068434D" w:rsidP="004D2C9E">
      <w:pPr>
        <w:spacing w:after="0" w:line="240" w:lineRule="auto"/>
        <w:ind w:firstLine="709"/>
        <w:jc w:val="both"/>
        <w:rPr>
          <w:rFonts w:ascii="Times New Roman" w:eastAsia="Times New Roman" w:hAnsi="Times New Roman"/>
          <w:sz w:val="28"/>
          <w:szCs w:val="28"/>
          <w:lang w:eastAsia="ru-RU"/>
        </w:rPr>
      </w:pPr>
      <w:r w:rsidRPr="00FB702E">
        <w:rPr>
          <w:rFonts w:ascii="Times New Roman" w:eastAsia="Times New Roman" w:hAnsi="Times New Roman"/>
          <w:sz w:val="28"/>
          <w:szCs w:val="28"/>
          <w:lang w:eastAsia="ru-RU"/>
        </w:rPr>
        <w:t>Оценивая положение на рынке определенной компании, антимонопольным органам приходится учитывать такой феномен информационного сектора экономики, как прямые и косвенные сетевые эффекты.</w:t>
      </w:r>
    </w:p>
    <w:p w:rsidR="0068434D" w:rsidRPr="00FB702E" w:rsidRDefault="0068434D" w:rsidP="004D2C9E">
      <w:pPr>
        <w:spacing w:after="0" w:line="240" w:lineRule="auto"/>
        <w:ind w:firstLine="709"/>
        <w:jc w:val="both"/>
        <w:rPr>
          <w:rFonts w:ascii="Times New Roman" w:eastAsia="Times New Roman" w:hAnsi="Times New Roman"/>
          <w:sz w:val="28"/>
          <w:szCs w:val="28"/>
          <w:lang w:eastAsia="ru-RU"/>
        </w:rPr>
      </w:pPr>
      <w:r w:rsidRPr="00FB702E">
        <w:rPr>
          <w:rFonts w:ascii="Times New Roman" w:eastAsia="Times New Roman" w:hAnsi="Times New Roman"/>
          <w:sz w:val="28"/>
          <w:szCs w:val="28"/>
          <w:lang w:eastAsia="ru-RU"/>
        </w:rPr>
        <w:t xml:space="preserve">Прямые сетевые эффекты выражаются в повышении спроса на продукт как результат увеличения числа пользователей. Такие эффекты могут служить </w:t>
      </w:r>
      <w:r>
        <w:rPr>
          <w:rFonts w:ascii="Times New Roman" w:eastAsia="Times New Roman" w:hAnsi="Times New Roman"/>
          <w:sz w:val="28"/>
          <w:szCs w:val="28"/>
          <w:lang w:eastAsia="ru-RU"/>
        </w:rPr>
        <w:t>серьезным</w:t>
      </w:r>
      <w:r w:rsidRPr="00FB702E">
        <w:rPr>
          <w:rFonts w:ascii="Times New Roman" w:eastAsia="Times New Roman" w:hAnsi="Times New Roman"/>
          <w:sz w:val="28"/>
          <w:szCs w:val="28"/>
          <w:lang w:eastAsia="ru-RU"/>
        </w:rPr>
        <w:t xml:space="preserve"> препятствием для выхода на рынок. Условием выхода на рынок становится достижение определенного уровня спроса, определенного числа клиентов, сопоставимого с сетевым эффектом, достигнутым конкурентом.</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sidRPr="00FB702E">
        <w:rPr>
          <w:rFonts w:ascii="Times New Roman" w:eastAsia="Times New Roman" w:hAnsi="Times New Roman"/>
          <w:sz w:val="28"/>
          <w:szCs w:val="28"/>
          <w:lang w:eastAsia="ru-RU"/>
        </w:rPr>
        <w:t xml:space="preserve">Косвенные сетевые эффекты, которые называют также сетевыми экстерналиями, выражаются в повышении спроса на продукты и приложения, которые выпускаются в дополнение к основному продукту. В этом случае для выхода на рынок уже недостаточно конкурентоспособности по отношению к основному продукту. Конкурент должен обеспечить также совместимость со своим инновационным продуктом и поддержку определенного числа пользующихся популярностью дополнительных продуктов от других производителей. Чтобы обеспечить работу новой системы со множеством приложений, конкурент должен получить поддержку от независимых производителей этих приложений, что существенно усложняет выход на рынок программного обеспечения. </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Нельзя сказать, что сетевые эффекты</w:t>
      </w:r>
      <w:r w:rsidR="00F9318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это побуждающий или сдерживающий фактор для развития конкуренции. Антимонопольный орган, </w:t>
      </w:r>
      <w:r w:rsidR="00A60DE6">
        <w:rPr>
          <w:rFonts w:ascii="Times New Roman" w:eastAsia="Times New Roman" w:hAnsi="Times New Roman"/>
          <w:sz w:val="28"/>
          <w:szCs w:val="28"/>
          <w:lang w:eastAsia="ru-RU"/>
        </w:rPr>
        <w:t>оценивая доминирующее положение</w:t>
      </w:r>
      <w:r>
        <w:rPr>
          <w:rFonts w:ascii="Times New Roman" w:eastAsia="Times New Roman" w:hAnsi="Times New Roman"/>
          <w:sz w:val="28"/>
          <w:szCs w:val="28"/>
          <w:lang w:eastAsia="ru-RU"/>
        </w:rPr>
        <w:t xml:space="preserve"> или рассматривая сделку</w:t>
      </w:r>
      <w:r w:rsidR="00A60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при проведении перспективного анализа рынка должен выявить и оценить сетевые эффекты в каждом конкретном случае.</w:t>
      </w:r>
      <w:r w:rsidR="00A60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Так, сетевые эффекты одновременно могут расцениваться и как барьер входа рынок (в этом случае важно оценить преодолимость такого барьера с учетом динамики развития рынка), и как эффективный механизм сдерживания попыток злоупотребления доминирующим положением.</w:t>
      </w:r>
    </w:p>
    <w:p w:rsidR="0068434D" w:rsidRPr="00AE60A9" w:rsidRDefault="0068434D" w:rsidP="004D2C9E">
      <w:pPr>
        <w:spacing w:after="0" w:line="240" w:lineRule="auto"/>
        <w:ind w:firstLine="709"/>
        <w:jc w:val="both"/>
        <w:rPr>
          <w:rFonts w:ascii="Times New Roman" w:eastAsia="Times New Roman" w:hAnsi="Times New Roman"/>
          <w:sz w:val="28"/>
          <w:szCs w:val="28"/>
          <w:lang w:eastAsia="ru-RU"/>
        </w:rPr>
      </w:pPr>
      <w:r w:rsidRPr="00AE60A9">
        <w:rPr>
          <w:rFonts w:ascii="Times New Roman" w:eastAsia="Times New Roman" w:hAnsi="Times New Roman"/>
          <w:sz w:val="28"/>
          <w:szCs w:val="28"/>
          <w:lang w:eastAsia="ru-RU"/>
        </w:rPr>
        <w:t>Одним из первых и получивших наибольшую известность судебных прецедентов, в котором известную роль сыграл анализ сетевого эффекта, стал иск, предъявленный в 1994 году Антимонопольным подразделением Министерства юсти</w:t>
      </w:r>
      <w:r>
        <w:rPr>
          <w:rFonts w:ascii="Times New Roman" w:eastAsia="Times New Roman" w:hAnsi="Times New Roman"/>
          <w:sz w:val="28"/>
          <w:szCs w:val="28"/>
          <w:lang w:eastAsia="ru-RU"/>
        </w:rPr>
        <w:t>ции США к компании Microsoft</w:t>
      </w:r>
      <w:r w:rsidRPr="00AE60A9">
        <w:rPr>
          <w:rFonts w:ascii="Times New Roman" w:eastAsia="Times New Roman" w:hAnsi="Times New Roman"/>
          <w:sz w:val="28"/>
          <w:szCs w:val="28"/>
          <w:lang w:eastAsia="ru-RU"/>
        </w:rPr>
        <w:t xml:space="preserve">. Судебное разбирательство закончилось заключением мирового соглашения, которое положило конец отдельным антиконкурентным действиям Microsoft. Основным ограничением, с которым согласилась Microsoft, стал запрет на принудительную продажу вместе с Windows других программных продуктов. В то же время </w:t>
      </w:r>
      <w:r w:rsidR="00A60DE6">
        <w:rPr>
          <w:rFonts w:ascii="Times New Roman" w:eastAsia="Times New Roman" w:hAnsi="Times New Roman"/>
          <w:sz w:val="28"/>
          <w:szCs w:val="28"/>
          <w:lang w:eastAsia="ru-RU"/>
        </w:rPr>
        <w:t xml:space="preserve">компания </w:t>
      </w:r>
      <w:r w:rsidRPr="00AE60A9">
        <w:rPr>
          <w:rFonts w:ascii="Times New Roman" w:eastAsia="Times New Roman" w:hAnsi="Times New Roman"/>
          <w:sz w:val="28"/>
          <w:szCs w:val="28"/>
          <w:lang w:eastAsia="ru-RU"/>
        </w:rPr>
        <w:t>Microsoft сохранил</w:t>
      </w:r>
      <w:r w:rsidR="00A60DE6">
        <w:rPr>
          <w:rFonts w:ascii="Times New Roman" w:eastAsia="Times New Roman" w:hAnsi="Times New Roman"/>
          <w:sz w:val="28"/>
          <w:szCs w:val="28"/>
          <w:lang w:eastAsia="ru-RU"/>
        </w:rPr>
        <w:t>а</w:t>
      </w:r>
      <w:r w:rsidRPr="00AE60A9">
        <w:rPr>
          <w:rFonts w:ascii="Times New Roman" w:eastAsia="Times New Roman" w:hAnsi="Times New Roman"/>
          <w:sz w:val="28"/>
          <w:szCs w:val="28"/>
          <w:lang w:eastAsia="ru-RU"/>
        </w:rPr>
        <w:t xml:space="preserve"> право встраивать в операционную систему дополнительные компоненты.</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AE60A9">
        <w:rPr>
          <w:rFonts w:ascii="Times New Roman" w:eastAsia="Times New Roman" w:hAnsi="Times New Roman"/>
          <w:sz w:val="28"/>
          <w:szCs w:val="28"/>
          <w:lang w:eastAsia="ru-RU"/>
        </w:rPr>
        <w:t xml:space="preserve">ажно то, что одним из главных аргументов суда стали сетевые эффекты. Так, сложность входа на рынок операционных систем федеральный </w:t>
      </w:r>
      <w:r w:rsidR="00A60DE6">
        <w:rPr>
          <w:rFonts w:ascii="Times New Roman" w:eastAsia="Times New Roman" w:hAnsi="Times New Roman"/>
          <w:sz w:val="28"/>
          <w:szCs w:val="28"/>
          <w:lang w:eastAsia="ru-RU"/>
        </w:rPr>
        <w:t>(окружной)</w:t>
      </w:r>
      <w:r w:rsidRPr="00AE60A9">
        <w:rPr>
          <w:rFonts w:ascii="Times New Roman" w:eastAsia="Times New Roman" w:hAnsi="Times New Roman"/>
          <w:sz w:val="28"/>
          <w:szCs w:val="28"/>
          <w:lang w:eastAsia="ru-RU"/>
        </w:rPr>
        <w:t xml:space="preserve"> суд связал с двумя причинами. Во-первых, это нежелание потребителей покупать компьютеры с операционной системой, которая еще не получила широкого распространения, из-за опасения, что для такой системы еще не разработан достаточно широкий ассортимент программных приложений. Другой причиной является нежелание разработчиков программного обеспечения вкладывать средства в разработку приложений для операционных систем, которые устанавливаются на сравнительно небольшом числе компьютеров. Сам по себе сетевой эффект не нарушает конкуренции, так как является не искусственно созданным инструментом, а частью естественных рыночных процессов. С другой стороны, такие эффекты могут быть использованы для закрепления монопольного положения на рынке. В последнем случае вмешательство государства в лице антимонопольного ведомства может исправить положение. </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Еще одна особенность новых рынков – появление информационных посредников, или агрегаторов. Особенно сложно определять место агрегатора в традиционной модели исследования рынка, когда на сложившийся рынок приходит агрегатор и кардинально меняет его функционирование.</w:t>
      </w:r>
    </w:p>
    <w:p w:rsidR="0068434D" w:rsidRPr="00FE49FF" w:rsidRDefault="0068434D" w:rsidP="004D2C9E">
      <w:pPr>
        <w:spacing w:after="0" w:line="240" w:lineRule="auto"/>
        <w:ind w:firstLine="709"/>
        <w:jc w:val="both"/>
        <w:rPr>
          <w:rFonts w:ascii="Times New Roman" w:eastAsia="Times New Roman" w:hAnsi="Times New Roman"/>
          <w:sz w:val="28"/>
          <w:szCs w:val="28"/>
          <w:lang w:eastAsia="ru-RU"/>
        </w:rPr>
      </w:pPr>
      <w:r w:rsidRPr="00FE49FF">
        <w:rPr>
          <w:rFonts w:ascii="Times New Roman" w:eastAsia="Times New Roman" w:hAnsi="Times New Roman"/>
          <w:sz w:val="28"/>
          <w:szCs w:val="28"/>
          <w:lang w:eastAsia="ru-RU"/>
        </w:rPr>
        <w:t>В современном обществе, ориентированном на развитие цифровых технологий, информационные посредники становятся необходимым звеном в любой деятельности, связанной с Интернет</w:t>
      </w:r>
      <w:r w:rsidR="0093193D">
        <w:rPr>
          <w:rFonts w:ascii="Times New Roman" w:eastAsia="Times New Roman" w:hAnsi="Times New Roman"/>
          <w:sz w:val="28"/>
          <w:szCs w:val="28"/>
          <w:lang w:eastAsia="ru-RU"/>
        </w:rPr>
        <w:t>ом</w:t>
      </w:r>
      <w:r w:rsidRPr="00FE49FF">
        <w:rPr>
          <w:rFonts w:ascii="Times New Roman" w:eastAsia="Times New Roman" w:hAnsi="Times New Roman"/>
          <w:sz w:val="28"/>
          <w:szCs w:val="28"/>
          <w:lang w:eastAsia="ru-RU"/>
        </w:rPr>
        <w:t xml:space="preserve">. Предоставляя своим пользователям доступ, оборудование, виртуальное пространство, поисковые системы и т.д., они обеспечивают условия и платформу для обмена информацией, распространения контента, электронной торговли, социальных сетей и облачных вычислений. Понятие </w:t>
      </w:r>
      <w:r w:rsidR="004D2C9E">
        <w:rPr>
          <w:rFonts w:ascii="Times New Roman" w:eastAsia="Times New Roman" w:hAnsi="Times New Roman"/>
          <w:sz w:val="28"/>
          <w:szCs w:val="28"/>
          <w:lang w:eastAsia="ru-RU"/>
        </w:rPr>
        <w:t>«</w:t>
      </w:r>
      <w:r w:rsidRPr="00FE49FF">
        <w:rPr>
          <w:rFonts w:ascii="Times New Roman" w:eastAsia="Times New Roman" w:hAnsi="Times New Roman"/>
          <w:sz w:val="28"/>
          <w:szCs w:val="28"/>
          <w:lang w:eastAsia="ru-RU"/>
        </w:rPr>
        <w:t>информационный посредник</w:t>
      </w:r>
      <w:r w:rsidR="004D2C9E">
        <w:rPr>
          <w:rFonts w:ascii="Times New Roman" w:eastAsia="Times New Roman" w:hAnsi="Times New Roman"/>
          <w:sz w:val="28"/>
          <w:szCs w:val="28"/>
          <w:lang w:eastAsia="ru-RU"/>
        </w:rPr>
        <w:t>»</w:t>
      </w:r>
      <w:r w:rsidRPr="00FE49FF">
        <w:rPr>
          <w:rFonts w:ascii="Times New Roman" w:eastAsia="Times New Roman" w:hAnsi="Times New Roman"/>
          <w:sz w:val="28"/>
          <w:szCs w:val="28"/>
          <w:lang w:eastAsia="ru-RU"/>
        </w:rPr>
        <w:t>, таким образом, является обобщающим и включает целый ряд лиц, которые составляют цепочку между правообладателем (исполнителем услуги, дистрибьютором товара, автором, владельцем информации и т.п.) и пользователем.</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sidRPr="00FE49FF">
        <w:rPr>
          <w:rFonts w:ascii="Times New Roman" w:eastAsia="Times New Roman" w:hAnsi="Times New Roman"/>
          <w:sz w:val="28"/>
          <w:szCs w:val="28"/>
          <w:lang w:eastAsia="ru-RU"/>
        </w:rPr>
        <w:t>Если правоотношения в Интернет</w:t>
      </w:r>
      <w:r w:rsidR="0093193D">
        <w:rPr>
          <w:rFonts w:ascii="Times New Roman" w:eastAsia="Times New Roman" w:hAnsi="Times New Roman"/>
          <w:sz w:val="28"/>
          <w:szCs w:val="28"/>
          <w:lang w:eastAsia="ru-RU"/>
        </w:rPr>
        <w:t>е</w:t>
      </w:r>
      <w:r w:rsidRPr="00FE49FF">
        <w:rPr>
          <w:rFonts w:ascii="Times New Roman" w:eastAsia="Times New Roman" w:hAnsi="Times New Roman"/>
          <w:sz w:val="28"/>
          <w:szCs w:val="28"/>
          <w:lang w:eastAsia="ru-RU"/>
        </w:rPr>
        <w:t xml:space="preserve"> складываются при обязательном участии информационных посредников, вполне естественно, что при возникновении спорных ситуаций возникает вопрос об их причастности к совершению противозаконных действий и степени ответственности за них субъектов правоотношений. Практически всеми сегодня признается, что ответственность информационных посредников должна быть ограничена в силу того, что выполняемые ими функции носят технический характер и не связаны непосредственно с правонарушениями. Но даже при признании ограничения ответственности информационных посредников тот факт, что их деятельность в значительной мере состоит в управлении трафиком и контентом, подталкивает к идее о дополнительных обязанностях.</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определенной мере в качестве информационных посредников следует рассматривать цифровые платформы, которые накапливают огромное количество данных о </w:t>
      </w:r>
      <w:r w:rsidR="00A60DE6">
        <w:rPr>
          <w:rFonts w:ascii="Times New Roman" w:eastAsia="Times New Roman" w:hAnsi="Times New Roman"/>
          <w:sz w:val="28"/>
          <w:szCs w:val="28"/>
          <w:lang w:eastAsia="ru-RU"/>
        </w:rPr>
        <w:t xml:space="preserve">субъектах рынка и их отношениях </w:t>
      </w:r>
      <w:r>
        <w:rPr>
          <w:rFonts w:ascii="Times New Roman" w:eastAsia="Times New Roman" w:hAnsi="Times New Roman"/>
          <w:sz w:val="28"/>
          <w:szCs w:val="28"/>
          <w:lang w:eastAsia="ru-RU"/>
        </w:rPr>
        <w:t>и, что также значимо для конкуренции</w:t>
      </w:r>
      <w:r w:rsidR="00A60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определяют условия доступа на рынок.</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условиях цифровизации многие предприятия, в том числе инфраструктурного сектора, переводят свои производственные процессы в цифровые платформы, создавая информационные системы, доступ к которым определяет возможность доступа на рынок. В таких случаях существует опасность создания необоснованных барьеров доступа на рынок, включая экономические ограничения.</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Особенное внимание </w:t>
      </w:r>
      <w:r w:rsidRPr="00AE1252">
        <w:rPr>
          <w:rFonts w:ascii="Times New Roman" w:eastAsia="Times New Roman" w:hAnsi="Times New Roman"/>
          <w:sz w:val="28"/>
          <w:szCs w:val="28"/>
          <w:lang w:eastAsia="ru-RU"/>
        </w:rPr>
        <w:t>антимонопольного органа должно быть сфокусировано на случаях</w:t>
      </w:r>
      <w:r>
        <w:rPr>
          <w:rFonts w:ascii="Times New Roman" w:eastAsia="Times New Roman" w:hAnsi="Times New Roman"/>
          <w:sz w:val="28"/>
          <w:szCs w:val="28"/>
          <w:lang w:eastAsia="ru-RU"/>
        </w:rPr>
        <w:t>, когда функционирование платформы осуществляется в сферах естественных монополий или на рынках, неразрывно с такими сферами связанных</w:t>
      </w:r>
      <w:r w:rsidRPr="00AE1252">
        <w:rPr>
          <w:rFonts w:ascii="Times New Roman" w:eastAsia="Times New Roman" w:hAnsi="Times New Roman"/>
          <w:sz w:val="28"/>
          <w:szCs w:val="28"/>
          <w:lang w:eastAsia="ru-RU"/>
        </w:rPr>
        <w:t xml:space="preserve">. Субъект естественной монополии в значительной мере и в одностороннем порядке определяет существенные условия обращения товара на рынке. </w:t>
      </w:r>
      <w:r>
        <w:rPr>
          <w:rFonts w:ascii="Times New Roman" w:eastAsia="Times New Roman" w:hAnsi="Times New Roman"/>
          <w:sz w:val="28"/>
          <w:szCs w:val="28"/>
          <w:lang w:eastAsia="ru-RU"/>
        </w:rPr>
        <w:t>Управление цифровыми платформами и обладание данными обо всех участниках рынка может усилить доминирующее положение и на всех связанных рынках, что мо</w:t>
      </w:r>
      <w:r w:rsidRPr="00AE1252">
        <w:rPr>
          <w:rFonts w:ascii="Times New Roman" w:eastAsia="Times New Roman" w:hAnsi="Times New Roman"/>
          <w:sz w:val="28"/>
          <w:szCs w:val="28"/>
          <w:lang w:eastAsia="ru-RU"/>
        </w:rPr>
        <w:t>жет повлечь непрогнозируемые последствия для конкуренции.</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Нельзя забывать, что базисом цифровизации является также и физическая телекоммуникационная инфраструктура.</w:t>
      </w:r>
      <w:r w:rsidR="00264AAF">
        <w:rPr>
          <w:rFonts w:ascii="Times New Roman" w:eastAsia="Times New Roman" w:hAnsi="Times New Roman"/>
          <w:sz w:val="28"/>
          <w:szCs w:val="28"/>
          <w:lang w:eastAsia="ru-RU"/>
        </w:rPr>
        <w:t xml:space="preserve"> И от того, как на этапе становления будут определены принципы и основные </w:t>
      </w:r>
      <w:r w:rsidR="003C1E73">
        <w:rPr>
          <w:rFonts w:ascii="Times New Roman" w:eastAsia="Times New Roman" w:hAnsi="Times New Roman"/>
          <w:sz w:val="28"/>
          <w:szCs w:val="28"/>
          <w:lang w:eastAsia="ru-RU"/>
        </w:rPr>
        <w:t xml:space="preserve">параметры </w:t>
      </w:r>
      <w:r w:rsidR="00ED2CEF">
        <w:rPr>
          <w:rFonts w:ascii="Times New Roman" w:eastAsia="Times New Roman" w:hAnsi="Times New Roman"/>
          <w:sz w:val="28"/>
          <w:szCs w:val="28"/>
          <w:lang w:val="en-US" w:eastAsia="ru-RU"/>
        </w:rPr>
        <w:t>I</w:t>
      </w:r>
      <w:r w:rsidR="00A60DE6">
        <w:rPr>
          <w:rFonts w:ascii="Times New Roman" w:eastAsia="Times New Roman" w:hAnsi="Times New Roman"/>
          <w:sz w:val="28"/>
          <w:szCs w:val="28"/>
          <w:lang w:eastAsia="ru-RU"/>
        </w:rPr>
        <w:t>Т-</w:t>
      </w:r>
      <w:r w:rsidR="003C1E73">
        <w:rPr>
          <w:rFonts w:ascii="Times New Roman" w:eastAsia="Times New Roman" w:hAnsi="Times New Roman"/>
          <w:sz w:val="28"/>
          <w:szCs w:val="28"/>
          <w:lang w:eastAsia="ru-RU"/>
        </w:rPr>
        <w:t>инфраструктур, буд</w:t>
      </w:r>
      <w:r w:rsidR="0093193D">
        <w:rPr>
          <w:rFonts w:ascii="Times New Roman" w:eastAsia="Times New Roman" w:hAnsi="Times New Roman"/>
          <w:sz w:val="28"/>
          <w:szCs w:val="28"/>
          <w:lang w:eastAsia="ru-RU"/>
        </w:rPr>
        <w:t>у</w:t>
      </w:r>
      <w:r w:rsidR="003C1E73">
        <w:rPr>
          <w:rFonts w:ascii="Times New Roman" w:eastAsia="Times New Roman" w:hAnsi="Times New Roman"/>
          <w:sz w:val="28"/>
          <w:szCs w:val="28"/>
          <w:lang w:eastAsia="ru-RU"/>
        </w:rPr>
        <w:t>т зависеть устойчивость и безопасность функционирования инфраструктуры, обеспечен доступ игроков рынка и потребителей, а также, какой задел для стимулирования инноваций будет получен участниками рынка. Антимонопольным органам крайне важно уделять внимание вопросам создания распределенных инфраструктур и обеспечивать их создание и функционирование в условиях конкуренции на базе принципов недискриминационности, технологической и сетевой нейтральности.</w:t>
      </w:r>
    </w:p>
    <w:p w:rsidR="0068434D" w:rsidRPr="00AE1252" w:rsidRDefault="0068434D" w:rsidP="004D2C9E">
      <w:pPr>
        <w:spacing w:after="0" w:line="240" w:lineRule="auto"/>
        <w:ind w:firstLine="709"/>
        <w:jc w:val="both"/>
        <w:rPr>
          <w:rFonts w:ascii="Times New Roman" w:eastAsia="Times New Roman" w:hAnsi="Times New Roman"/>
          <w:sz w:val="28"/>
          <w:szCs w:val="28"/>
          <w:lang w:eastAsia="ru-RU"/>
        </w:rPr>
      </w:pPr>
      <w:r w:rsidRPr="00803403">
        <w:rPr>
          <w:rFonts w:ascii="Times New Roman" w:eastAsia="Times New Roman" w:hAnsi="Times New Roman"/>
          <w:sz w:val="28"/>
          <w:szCs w:val="28"/>
          <w:lang w:eastAsia="ru-RU"/>
        </w:rPr>
        <w:t>Цифровая экономика имеет свою специфику отношений</w:t>
      </w:r>
      <w:r w:rsidR="00A60DE6">
        <w:rPr>
          <w:rFonts w:ascii="Times New Roman" w:eastAsia="Times New Roman" w:hAnsi="Times New Roman"/>
          <w:sz w:val="28"/>
          <w:szCs w:val="28"/>
          <w:lang w:eastAsia="ru-RU"/>
        </w:rPr>
        <w:t>. У</w:t>
      </w:r>
      <w:r w:rsidRPr="00803403">
        <w:rPr>
          <w:rFonts w:ascii="Times New Roman" w:eastAsia="Times New Roman" w:hAnsi="Times New Roman"/>
          <w:sz w:val="28"/>
          <w:szCs w:val="28"/>
          <w:lang w:eastAsia="ru-RU"/>
        </w:rPr>
        <w:t xml:space="preserve">частники цифровых рынков, используя </w:t>
      </w:r>
      <w:r w:rsidR="00A60DE6">
        <w:rPr>
          <w:rFonts w:ascii="Times New Roman" w:eastAsia="Times New Roman" w:hAnsi="Times New Roman"/>
          <w:sz w:val="28"/>
          <w:szCs w:val="28"/>
          <w:lang w:eastAsia="ru-RU"/>
        </w:rPr>
        <w:t>ИКТ</w:t>
      </w:r>
      <w:r w:rsidR="0093193D">
        <w:rPr>
          <w:rFonts w:ascii="Times New Roman" w:eastAsia="Times New Roman" w:hAnsi="Times New Roman"/>
          <w:sz w:val="28"/>
          <w:szCs w:val="28"/>
          <w:lang w:eastAsia="ru-RU"/>
        </w:rPr>
        <w:t>,</w:t>
      </w:r>
      <w:r w:rsidRPr="00803403">
        <w:rPr>
          <w:rFonts w:ascii="Times New Roman" w:eastAsia="Times New Roman" w:hAnsi="Times New Roman"/>
          <w:sz w:val="28"/>
          <w:szCs w:val="28"/>
          <w:lang w:eastAsia="ru-RU"/>
        </w:rPr>
        <w:t xml:space="preserve"> имеют больше возможностей занять лидирующие позиции на рынке, которые могут привести к недобросовестной деятельности, что требует формирования новых подходов в антимонопольном регулировании для защиты и развития конкуренции. Антимонопольный орган как никогда должен уделять внимание не только защите интеллектуальной собственности присущей цифровой экономики, но и не допускать </w:t>
      </w:r>
      <w:r w:rsidR="00A60DE6">
        <w:rPr>
          <w:rFonts w:ascii="Times New Roman" w:eastAsia="Times New Roman" w:hAnsi="Times New Roman"/>
          <w:sz w:val="28"/>
          <w:szCs w:val="28"/>
          <w:lang w:eastAsia="ru-RU"/>
        </w:rPr>
        <w:t xml:space="preserve">контроля </w:t>
      </w:r>
      <w:r w:rsidRPr="00803403">
        <w:rPr>
          <w:rFonts w:ascii="Times New Roman" w:eastAsia="Times New Roman" w:hAnsi="Times New Roman"/>
          <w:sz w:val="28"/>
          <w:szCs w:val="28"/>
          <w:lang w:eastAsia="ru-RU"/>
        </w:rPr>
        <w:t xml:space="preserve">отдельными </w:t>
      </w:r>
      <w:r w:rsidR="00F37202">
        <w:rPr>
          <w:rFonts w:ascii="Times New Roman" w:eastAsia="Times New Roman" w:hAnsi="Times New Roman"/>
          <w:sz w:val="28"/>
          <w:szCs w:val="28"/>
          <w:lang w:val="en-US" w:eastAsia="ru-RU"/>
        </w:rPr>
        <w:t>I</w:t>
      </w:r>
      <w:r w:rsidRPr="00803403">
        <w:rPr>
          <w:rFonts w:ascii="Times New Roman" w:eastAsia="Times New Roman" w:hAnsi="Times New Roman"/>
          <w:sz w:val="28"/>
          <w:szCs w:val="28"/>
          <w:lang w:eastAsia="ru-RU"/>
        </w:rPr>
        <w:t>Т-компаниям контролировать по средствам своих сервисов и технологий предпочтения потребителей лишая их права выбора.</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эти новации антимонопольный орган обязан учесть и разраб</w:t>
      </w:r>
      <w:r w:rsidR="00A60DE6">
        <w:rPr>
          <w:rFonts w:ascii="Times New Roman" w:eastAsia="Times New Roman" w:hAnsi="Times New Roman"/>
          <w:sz w:val="28"/>
          <w:szCs w:val="28"/>
          <w:lang w:eastAsia="ru-RU"/>
        </w:rPr>
        <w:t>атыва</w:t>
      </w:r>
      <w:r>
        <w:rPr>
          <w:rFonts w:ascii="Times New Roman" w:eastAsia="Times New Roman" w:hAnsi="Times New Roman"/>
          <w:sz w:val="28"/>
          <w:szCs w:val="28"/>
          <w:lang w:eastAsia="ru-RU"/>
        </w:rPr>
        <w:t>ть политик</w:t>
      </w:r>
      <w:r w:rsidR="00A60DE6">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не только эффективно пресекающ</w:t>
      </w:r>
      <w:r w:rsidR="00A60DE6">
        <w:rPr>
          <w:rFonts w:ascii="Times New Roman" w:eastAsia="Times New Roman" w:hAnsi="Times New Roman"/>
          <w:sz w:val="28"/>
          <w:szCs w:val="28"/>
          <w:lang w:eastAsia="ru-RU"/>
        </w:rPr>
        <w:t>ую</w:t>
      </w:r>
      <w:r>
        <w:rPr>
          <w:rFonts w:ascii="Times New Roman" w:eastAsia="Times New Roman" w:hAnsi="Times New Roman"/>
          <w:sz w:val="28"/>
          <w:szCs w:val="28"/>
          <w:lang w:eastAsia="ru-RU"/>
        </w:rPr>
        <w:t xml:space="preserve"> ограничение конкуренции, но и обеспечивающ</w:t>
      </w:r>
      <w:r w:rsidR="00A60DE6">
        <w:rPr>
          <w:rFonts w:ascii="Times New Roman" w:eastAsia="Times New Roman" w:hAnsi="Times New Roman"/>
          <w:sz w:val="28"/>
          <w:szCs w:val="28"/>
          <w:lang w:eastAsia="ru-RU"/>
        </w:rPr>
        <w:t>ую</w:t>
      </w:r>
      <w:r>
        <w:rPr>
          <w:rFonts w:ascii="Times New Roman" w:eastAsia="Times New Roman" w:hAnsi="Times New Roman"/>
          <w:sz w:val="28"/>
          <w:szCs w:val="28"/>
          <w:lang w:eastAsia="ru-RU"/>
        </w:rPr>
        <w:t xml:space="preserve"> развитие инноваций в будущем.</w:t>
      </w:r>
    </w:p>
    <w:p w:rsidR="0068434D" w:rsidRDefault="00A60DE6" w:rsidP="004D2C9E">
      <w:pPr>
        <w:pStyle w:val="2"/>
      </w:pPr>
      <w:bookmarkStart w:id="10" w:name="_Toc526253880"/>
      <w:r>
        <w:t>2.</w:t>
      </w:r>
      <w:r w:rsidR="00BD638F">
        <w:t>2. </w:t>
      </w:r>
      <w:r w:rsidR="0068434D" w:rsidRPr="00DF4197">
        <w:t>Анализ международных практик</w:t>
      </w:r>
      <w:bookmarkEnd w:id="10"/>
    </w:p>
    <w:p w:rsidR="0068434D" w:rsidRDefault="001E3EA1" w:rsidP="004D2C9E">
      <w:pPr>
        <w:spacing w:after="0" w:line="240" w:lineRule="auto"/>
        <w:ind w:firstLine="709"/>
        <w:jc w:val="both"/>
        <w:rPr>
          <w:rFonts w:ascii="Times New Roman" w:hAnsi="Times New Roman"/>
          <w:sz w:val="28"/>
          <w:szCs w:val="28"/>
        </w:rPr>
      </w:pPr>
      <w:r>
        <w:rPr>
          <w:rFonts w:ascii="Times New Roman" w:hAnsi="Times New Roman"/>
          <w:sz w:val="28"/>
          <w:szCs w:val="28"/>
        </w:rPr>
        <w:t>Рассмотрим ряд конкретных случаев в международной практике по изменению конкурентного законодательства.</w:t>
      </w:r>
      <w:r w:rsidR="0068434D">
        <w:rPr>
          <w:rFonts w:ascii="Times New Roman" w:hAnsi="Times New Roman"/>
          <w:sz w:val="28"/>
          <w:szCs w:val="28"/>
        </w:rPr>
        <w:t xml:space="preserve"> Например, в </w:t>
      </w:r>
      <w:r w:rsidR="0068434D" w:rsidRPr="001E226B">
        <w:rPr>
          <w:rFonts w:ascii="Times New Roman" w:hAnsi="Times New Roman"/>
          <w:sz w:val="28"/>
          <w:szCs w:val="28"/>
        </w:rPr>
        <w:t xml:space="preserve">контексте слияния Facebook/WhatsApp, Европейская </w:t>
      </w:r>
      <w:r w:rsidR="0068434D">
        <w:rPr>
          <w:rFonts w:ascii="Times New Roman" w:hAnsi="Times New Roman"/>
          <w:sz w:val="28"/>
          <w:szCs w:val="28"/>
        </w:rPr>
        <w:t>к</w:t>
      </w:r>
      <w:r w:rsidR="0068434D" w:rsidRPr="001E226B">
        <w:rPr>
          <w:rFonts w:ascii="Times New Roman" w:hAnsi="Times New Roman"/>
          <w:sz w:val="28"/>
          <w:szCs w:val="28"/>
        </w:rPr>
        <w:t xml:space="preserve">омиссия оценила, </w:t>
      </w:r>
      <w:r w:rsidR="0093193D">
        <w:rPr>
          <w:rFonts w:ascii="Times New Roman" w:hAnsi="Times New Roman"/>
          <w:sz w:val="28"/>
          <w:szCs w:val="28"/>
        </w:rPr>
        <w:t>позволит</w:t>
      </w:r>
      <w:r w:rsidR="0068434D" w:rsidRPr="001E226B">
        <w:rPr>
          <w:rFonts w:ascii="Times New Roman" w:hAnsi="Times New Roman"/>
          <w:sz w:val="28"/>
          <w:szCs w:val="28"/>
        </w:rPr>
        <w:t xml:space="preserve"> ли потенциальная интеграция между платформой социальной сети Facebook и приложением для общения WhatsApp возможность Facebook получить доступ к дополнительным данным пользовате</w:t>
      </w:r>
      <w:r w:rsidR="0068434D">
        <w:rPr>
          <w:rFonts w:ascii="Times New Roman" w:hAnsi="Times New Roman"/>
          <w:sz w:val="28"/>
          <w:szCs w:val="28"/>
        </w:rPr>
        <w:t>лей WhatsApp</w:t>
      </w:r>
      <w:r w:rsidR="0068434D" w:rsidRPr="001E226B">
        <w:rPr>
          <w:rFonts w:ascii="Times New Roman" w:hAnsi="Times New Roman"/>
          <w:sz w:val="28"/>
          <w:szCs w:val="28"/>
        </w:rPr>
        <w:t xml:space="preserve"> и повлияет л</w:t>
      </w:r>
      <w:r w:rsidR="0068434D">
        <w:rPr>
          <w:rFonts w:ascii="Times New Roman" w:hAnsi="Times New Roman"/>
          <w:sz w:val="28"/>
          <w:szCs w:val="28"/>
        </w:rPr>
        <w:t>и это на изменение конкуренции.</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В октябре 2014 года европейский п</w:t>
      </w:r>
      <w:r w:rsidRPr="0087011A">
        <w:rPr>
          <w:rFonts w:ascii="Times New Roman" w:hAnsi="Times New Roman"/>
          <w:sz w:val="28"/>
          <w:szCs w:val="28"/>
        </w:rPr>
        <w:t>равоприменител</w:t>
      </w:r>
      <w:r>
        <w:rPr>
          <w:rFonts w:ascii="Times New Roman" w:hAnsi="Times New Roman"/>
          <w:sz w:val="28"/>
          <w:szCs w:val="28"/>
        </w:rPr>
        <w:t>ь</w:t>
      </w:r>
      <w:r w:rsidRPr="0087011A">
        <w:rPr>
          <w:rFonts w:ascii="Times New Roman" w:hAnsi="Times New Roman"/>
          <w:sz w:val="28"/>
          <w:szCs w:val="28"/>
        </w:rPr>
        <w:t xml:space="preserve"> одобрил сделку ме</w:t>
      </w:r>
      <w:r>
        <w:rPr>
          <w:rFonts w:ascii="Times New Roman" w:hAnsi="Times New Roman"/>
          <w:sz w:val="28"/>
          <w:szCs w:val="28"/>
        </w:rPr>
        <w:t xml:space="preserve">жду двумя компаниями. Однако в августе 2016 года, после того как </w:t>
      </w:r>
      <w:r w:rsidRPr="0087011A">
        <w:rPr>
          <w:rFonts w:ascii="Times New Roman" w:hAnsi="Times New Roman"/>
          <w:sz w:val="28"/>
          <w:szCs w:val="28"/>
        </w:rPr>
        <w:t xml:space="preserve">WhatsApp объявила о своих планах обновить условия и политику приватности, </w:t>
      </w:r>
      <w:r>
        <w:rPr>
          <w:rFonts w:ascii="Times New Roman" w:hAnsi="Times New Roman"/>
          <w:sz w:val="28"/>
          <w:szCs w:val="28"/>
        </w:rPr>
        <w:t>которые</w:t>
      </w:r>
      <w:r w:rsidRPr="0087011A">
        <w:rPr>
          <w:rFonts w:ascii="Times New Roman" w:hAnsi="Times New Roman"/>
          <w:sz w:val="28"/>
          <w:szCs w:val="28"/>
        </w:rPr>
        <w:t xml:space="preserve"> включал</w:t>
      </w:r>
      <w:r>
        <w:rPr>
          <w:rFonts w:ascii="Times New Roman" w:hAnsi="Times New Roman"/>
          <w:sz w:val="28"/>
          <w:szCs w:val="28"/>
        </w:rPr>
        <w:t>и</w:t>
      </w:r>
      <w:r w:rsidRPr="0087011A">
        <w:rPr>
          <w:rFonts w:ascii="Times New Roman" w:hAnsi="Times New Roman"/>
          <w:sz w:val="28"/>
          <w:szCs w:val="28"/>
        </w:rPr>
        <w:t xml:space="preserve"> возможность связывания номеров телефонов пользователей WhatsApp с</w:t>
      </w:r>
      <w:r>
        <w:rPr>
          <w:rFonts w:ascii="Times New Roman" w:hAnsi="Times New Roman"/>
          <w:sz w:val="28"/>
          <w:szCs w:val="28"/>
        </w:rPr>
        <w:t xml:space="preserve"> данными пользователей Facebook, </w:t>
      </w:r>
      <w:r w:rsidRPr="0087011A">
        <w:rPr>
          <w:rFonts w:ascii="Times New Roman" w:hAnsi="Times New Roman"/>
          <w:sz w:val="28"/>
          <w:szCs w:val="28"/>
        </w:rPr>
        <w:t>Генеральный директорат по конкуренции Европейской комиссии</w:t>
      </w:r>
      <w:r>
        <w:rPr>
          <w:rFonts w:ascii="Times New Roman" w:hAnsi="Times New Roman"/>
          <w:sz w:val="28"/>
          <w:szCs w:val="28"/>
        </w:rPr>
        <w:t xml:space="preserve"> посчитал, что </w:t>
      </w:r>
      <w:r w:rsidRPr="0087011A">
        <w:rPr>
          <w:rFonts w:ascii="Times New Roman" w:hAnsi="Times New Roman"/>
          <w:sz w:val="28"/>
          <w:szCs w:val="28"/>
        </w:rPr>
        <w:t>Facebook</w:t>
      </w:r>
      <w:r>
        <w:rPr>
          <w:rFonts w:ascii="Times New Roman" w:hAnsi="Times New Roman"/>
          <w:sz w:val="28"/>
          <w:szCs w:val="28"/>
        </w:rPr>
        <w:t xml:space="preserve"> ввела его</w:t>
      </w:r>
      <w:r w:rsidRPr="0087011A">
        <w:rPr>
          <w:rFonts w:ascii="Times New Roman" w:hAnsi="Times New Roman"/>
          <w:sz w:val="28"/>
          <w:szCs w:val="28"/>
        </w:rPr>
        <w:t xml:space="preserve"> в заблуждение, сообщив об отсутствии потенциальной возможности объединения аккаунтов пользователей</w:t>
      </w:r>
      <w:r>
        <w:rPr>
          <w:rFonts w:ascii="Times New Roman" w:hAnsi="Times New Roman"/>
          <w:sz w:val="28"/>
          <w:szCs w:val="28"/>
        </w:rPr>
        <w:t>.</w:t>
      </w:r>
      <w:r w:rsidR="0093193D">
        <w:rPr>
          <w:rFonts w:ascii="Times New Roman" w:hAnsi="Times New Roman"/>
          <w:sz w:val="28"/>
          <w:szCs w:val="28"/>
        </w:rPr>
        <w:t xml:space="preserve"> </w:t>
      </w:r>
      <w:r>
        <w:rPr>
          <w:rFonts w:ascii="Times New Roman" w:hAnsi="Times New Roman"/>
          <w:sz w:val="28"/>
          <w:szCs w:val="28"/>
        </w:rPr>
        <w:t xml:space="preserve">При этом </w:t>
      </w:r>
      <w:r w:rsidRPr="0087011A">
        <w:rPr>
          <w:rFonts w:ascii="Times New Roman" w:hAnsi="Times New Roman"/>
          <w:sz w:val="28"/>
          <w:szCs w:val="28"/>
        </w:rPr>
        <w:t xml:space="preserve">Генеральный директорат </w:t>
      </w:r>
      <w:r>
        <w:rPr>
          <w:rFonts w:ascii="Times New Roman" w:hAnsi="Times New Roman"/>
          <w:sz w:val="28"/>
          <w:szCs w:val="28"/>
        </w:rPr>
        <w:t xml:space="preserve">заявил, что </w:t>
      </w:r>
      <w:r w:rsidRPr="0087011A">
        <w:rPr>
          <w:rFonts w:ascii="Times New Roman" w:hAnsi="Times New Roman"/>
          <w:sz w:val="28"/>
          <w:szCs w:val="28"/>
        </w:rPr>
        <w:t xml:space="preserve">сохранит решение об одобрении </w:t>
      </w:r>
      <w:r>
        <w:rPr>
          <w:rFonts w:ascii="Times New Roman" w:hAnsi="Times New Roman"/>
          <w:sz w:val="28"/>
          <w:szCs w:val="28"/>
        </w:rPr>
        <w:t xml:space="preserve">сделки </w:t>
      </w:r>
      <w:r w:rsidRPr="0087011A">
        <w:rPr>
          <w:rFonts w:ascii="Times New Roman" w:hAnsi="Times New Roman"/>
          <w:sz w:val="28"/>
          <w:szCs w:val="28"/>
        </w:rPr>
        <w:t xml:space="preserve">в силе, </w:t>
      </w:r>
      <w:r>
        <w:rPr>
          <w:rFonts w:ascii="Times New Roman" w:hAnsi="Times New Roman"/>
          <w:sz w:val="28"/>
          <w:szCs w:val="28"/>
        </w:rPr>
        <w:t xml:space="preserve">однако </w:t>
      </w:r>
      <w:r w:rsidRPr="0087011A">
        <w:rPr>
          <w:rFonts w:ascii="Times New Roman" w:hAnsi="Times New Roman"/>
          <w:sz w:val="28"/>
          <w:szCs w:val="28"/>
        </w:rPr>
        <w:t>проведет расследование в отношении Facebook за нарушение процедурных правил</w:t>
      </w:r>
      <w:r>
        <w:rPr>
          <w:rFonts w:ascii="Times New Roman" w:hAnsi="Times New Roman"/>
          <w:sz w:val="28"/>
          <w:szCs w:val="28"/>
        </w:rPr>
        <w:t>.</w:t>
      </w:r>
      <w:r w:rsidRPr="00A9034D">
        <w:rPr>
          <w:rFonts w:ascii="Times New Roman" w:hAnsi="Times New Roman"/>
          <w:sz w:val="28"/>
          <w:szCs w:val="28"/>
        </w:rPr>
        <w:t xml:space="preserve"> </w:t>
      </w:r>
      <w:r>
        <w:rPr>
          <w:rFonts w:ascii="Times New Roman" w:hAnsi="Times New Roman"/>
          <w:sz w:val="28"/>
          <w:szCs w:val="28"/>
        </w:rPr>
        <w:t>В январе 2017 года Еврокомиссия</w:t>
      </w:r>
      <w:r w:rsidRPr="0087011A">
        <w:rPr>
          <w:rFonts w:ascii="Times New Roman" w:hAnsi="Times New Roman"/>
          <w:sz w:val="28"/>
          <w:szCs w:val="28"/>
        </w:rPr>
        <w:t xml:space="preserve"> направил</w:t>
      </w:r>
      <w:r>
        <w:rPr>
          <w:rFonts w:ascii="Times New Roman" w:hAnsi="Times New Roman"/>
          <w:sz w:val="28"/>
          <w:szCs w:val="28"/>
        </w:rPr>
        <w:t>а</w:t>
      </w:r>
      <w:r w:rsidRPr="0087011A">
        <w:rPr>
          <w:rFonts w:ascii="Times New Roman" w:hAnsi="Times New Roman"/>
          <w:sz w:val="28"/>
          <w:szCs w:val="28"/>
        </w:rPr>
        <w:t xml:space="preserve"> официальные обвинения в адрес Facebook</w:t>
      </w:r>
      <w:r>
        <w:rPr>
          <w:rFonts w:ascii="Times New Roman" w:hAnsi="Times New Roman"/>
          <w:sz w:val="28"/>
          <w:szCs w:val="28"/>
        </w:rPr>
        <w:t>.</w:t>
      </w:r>
    </w:p>
    <w:p w:rsidR="0068434D" w:rsidRPr="00736DE1"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В 2016 году Конкурентное ведомство Великобритании наложило штраф на двух участников картеля по пр</w:t>
      </w:r>
      <w:r>
        <w:rPr>
          <w:rFonts w:ascii="Times New Roman" w:hAnsi="Times New Roman"/>
          <w:sz w:val="28"/>
          <w:szCs w:val="28"/>
        </w:rPr>
        <w:t>одаже рекламных постеров через И</w:t>
      </w:r>
      <w:r w:rsidRPr="00571A5C">
        <w:rPr>
          <w:rFonts w:ascii="Times New Roman" w:hAnsi="Times New Roman"/>
          <w:sz w:val="28"/>
          <w:szCs w:val="28"/>
        </w:rPr>
        <w:t xml:space="preserve">нтернет. Как указано в докладе </w:t>
      </w:r>
      <w:r w:rsidR="00CA3DEF">
        <w:rPr>
          <w:rFonts w:ascii="Times New Roman" w:hAnsi="Times New Roman"/>
          <w:sz w:val="28"/>
          <w:szCs w:val="28"/>
        </w:rPr>
        <w:t>в</w:t>
      </w:r>
      <w:r w:rsidRPr="00571A5C">
        <w:rPr>
          <w:rFonts w:ascii="Times New Roman" w:hAnsi="Times New Roman"/>
          <w:sz w:val="28"/>
          <w:szCs w:val="28"/>
        </w:rPr>
        <w:t xml:space="preserve">едомства, участники </w:t>
      </w:r>
      <w:r w:rsidR="00CA3DEF">
        <w:rPr>
          <w:rFonts w:ascii="Times New Roman" w:hAnsi="Times New Roman"/>
          <w:sz w:val="28"/>
          <w:szCs w:val="28"/>
        </w:rPr>
        <w:t xml:space="preserve">картеля </w:t>
      </w:r>
      <w:r w:rsidRPr="00571A5C">
        <w:rPr>
          <w:rFonts w:ascii="Times New Roman" w:hAnsi="Times New Roman"/>
          <w:sz w:val="28"/>
          <w:szCs w:val="28"/>
        </w:rPr>
        <w:t>использовали специальное программное обеспечение и специальные алгоритмы, которые автоматически поднимали цену товара на сайте Amazon. Срок существования картеля был определен как 2011</w:t>
      </w:r>
      <w:r w:rsidR="00F9318B">
        <w:rPr>
          <w:rFonts w:ascii="Times New Roman" w:hAnsi="Times New Roman"/>
          <w:sz w:val="28"/>
          <w:szCs w:val="28"/>
        </w:rPr>
        <w:t>–</w:t>
      </w:r>
      <w:r w:rsidRPr="00571A5C">
        <w:rPr>
          <w:rFonts w:ascii="Times New Roman" w:hAnsi="Times New Roman"/>
          <w:sz w:val="28"/>
          <w:szCs w:val="28"/>
        </w:rPr>
        <w:t>2015 годы.</w:t>
      </w:r>
    </w:p>
    <w:p w:rsidR="0068434D" w:rsidRDefault="0068434D" w:rsidP="004D2C9E">
      <w:pPr>
        <w:spacing w:after="0" w:line="240" w:lineRule="auto"/>
        <w:ind w:firstLine="709"/>
        <w:jc w:val="both"/>
        <w:rPr>
          <w:rFonts w:ascii="Times New Roman" w:hAnsi="Times New Roman"/>
          <w:sz w:val="28"/>
          <w:szCs w:val="28"/>
        </w:rPr>
      </w:pPr>
      <w:r w:rsidRPr="00571A5C">
        <w:rPr>
          <w:rFonts w:ascii="Times New Roman" w:hAnsi="Times New Roman"/>
          <w:sz w:val="28"/>
          <w:szCs w:val="28"/>
        </w:rPr>
        <w:t>На участников картеля был наложен штраф в размере 163 тыс</w:t>
      </w:r>
      <w:r w:rsidR="00CA3DEF">
        <w:rPr>
          <w:rFonts w:ascii="Times New Roman" w:hAnsi="Times New Roman"/>
          <w:sz w:val="28"/>
          <w:szCs w:val="28"/>
        </w:rPr>
        <w:t>.</w:t>
      </w:r>
      <w:r w:rsidRPr="00571A5C">
        <w:rPr>
          <w:rFonts w:ascii="Times New Roman" w:hAnsi="Times New Roman"/>
          <w:sz w:val="28"/>
          <w:szCs w:val="28"/>
        </w:rPr>
        <w:t xml:space="preserve"> фунтов стерлингов. Однако участники картеля получили 20</w:t>
      </w:r>
      <w:r w:rsidR="004D2C9E">
        <w:rPr>
          <w:rFonts w:ascii="Times New Roman" w:hAnsi="Times New Roman"/>
          <w:sz w:val="28"/>
          <w:szCs w:val="28"/>
        </w:rPr>
        <w:t>%</w:t>
      </w:r>
      <w:r w:rsidR="008C2AE0">
        <w:rPr>
          <w:rFonts w:ascii="Times New Roman" w:hAnsi="Times New Roman"/>
          <w:sz w:val="28"/>
          <w:szCs w:val="28"/>
        </w:rPr>
        <w:t>-ное</w:t>
      </w:r>
      <w:r w:rsidRPr="00571A5C">
        <w:rPr>
          <w:rFonts w:ascii="Times New Roman" w:hAnsi="Times New Roman"/>
          <w:sz w:val="28"/>
          <w:szCs w:val="28"/>
        </w:rPr>
        <w:t xml:space="preserve"> сокращени</w:t>
      </w:r>
      <w:r w:rsidR="00772162">
        <w:rPr>
          <w:rFonts w:ascii="Times New Roman" w:hAnsi="Times New Roman"/>
          <w:sz w:val="28"/>
          <w:szCs w:val="28"/>
        </w:rPr>
        <w:t>е</w:t>
      </w:r>
      <w:r w:rsidRPr="00571A5C">
        <w:rPr>
          <w:rFonts w:ascii="Times New Roman" w:hAnsi="Times New Roman"/>
          <w:sz w:val="28"/>
          <w:szCs w:val="28"/>
        </w:rPr>
        <w:t xml:space="preserve"> суммы, поскольку активно сотрудничали с правоприменителем и признали свою вину.</w:t>
      </w:r>
    </w:p>
    <w:p w:rsidR="0068434D" w:rsidRPr="001B1E37"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Примером расследования по признакам злоупотребления доминирующим положением на цифровых рынках является расследование конкурентного ведомства Франции против </w:t>
      </w:r>
      <w:r w:rsidRPr="001B1E37">
        <w:rPr>
          <w:rFonts w:ascii="Times New Roman" w:eastAsia="Times New Roman" w:hAnsi="Times New Roman"/>
          <w:sz w:val="28"/>
          <w:szCs w:val="28"/>
          <w:lang w:val="en-US" w:eastAsia="ru-RU"/>
        </w:rPr>
        <w:t>Booking</w:t>
      </w:r>
      <w:r w:rsidRPr="001B1E37">
        <w:rPr>
          <w:rFonts w:ascii="Times New Roman" w:eastAsia="Times New Roman" w:hAnsi="Times New Roman"/>
          <w:sz w:val="28"/>
          <w:szCs w:val="28"/>
          <w:lang w:eastAsia="ru-RU"/>
        </w:rPr>
        <w:t>.</w:t>
      </w:r>
      <w:r w:rsidRPr="001B1E37">
        <w:rPr>
          <w:rFonts w:ascii="Times New Roman" w:eastAsia="Times New Roman" w:hAnsi="Times New Roman"/>
          <w:sz w:val="28"/>
          <w:szCs w:val="28"/>
          <w:lang w:val="en-US" w:eastAsia="ru-RU"/>
        </w:rPr>
        <w:t>com</w:t>
      </w:r>
      <w:r>
        <w:rPr>
          <w:rFonts w:ascii="Times New Roman" w:eastAsia="Times New Roman" w:hAnsi="Times New Roman"/>
          <w:sz w:val="28"/>
          <w:szCs w:val="28"/>
          <w:lang w:eastAsia="ru-RU"/>
        </w:rPr>
        <w:t>.</w:t>
      </w:r>
    </w:p>
    <w:p w:rsidR="0068434D" w:rsidRPr="00A609BC"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Французский правоприменитель признал злоупотреблением условия, накладываемые сайтом на отели, которые должны были на</w:t>
      </w:r>
      <w:r w:rsidRPr="00A609BC">
        <w:rPr>
          <w:rFonts w:ascii="Times New Roman" w:eastAsia="Times New Roman" w:hAnsi="Times New Roman"/>
          <w:sz w:val="28"/>
          <w:szCs w:val="28"/>
          <w:lang w:eastAsia="ru-RU"/>
        </w:rPr>
        <w:t xml:space="preserve"> </w:t>
      </w:r>
      <w:r w:rsidRPr="00A609BC">
        <w:rPr>
          <w:rFonts w:ascii="Times New Roman" w:eastAsia="Times New Roman" w:hAnsi="Times New Roman"/>
          <w:sz w:val="28"/>
          <w:szCs w:val="28"/>
          <w:lang w:val="en-US" w:eastAsia="ru-RU"/>
        </w:rPr>
        <w:t>Booking</w:t>
      </w:r>
      <w:r w:rsidRPr="00A609BC">
        <w:rPr>
          <w:rFonts w:ascii="Times New Roman" w:eastAsia="Times New Roman" w:hAnsi="Times New Roman"/>
          <w:sz w:val="28"/>
          <w:szCs w:val="28"/>
          <w:lang w:eastAsia="ru-RU"/>
        </w:rPr>
        <w:t>.</w:t>
      </w:r>
      <w:r w:rsidRPr="00A609BC">
        <w:rPr>
          <w:rFonts w:ascii="Times New Roman" w:eastAsia="Times New Roman" w:hAnsi="Times New Roman"/>
          <w:sz w:val="28"/>
          <w:szCs w:val="28"/>
          <w:lang w:val="en-US" w:eastAsia="ru-RU"/>
        </w:rPr>
        <w:t>com</w:t>
      </w:r>
      <w:r w:rsidRPr="001B1E37">
        <w:rPr>
          <w:rFonts w:ascii="Times New Roman" w:eastAsia="Times New Roman" w:hAnsi="Times New Roman"/>
          <w:sz w:val="28"/>
          <w:szCs w:val="28"/>
          <w:lang w:eastAsia="ru-RU"/>
        </w:rPr>
        <w:t xml:space="preserve"> </w:t>
      </w:r>
      <w:r w:rsidRPr="00A609BC">
        <w:rPr>
          <w:rFonts w:ascii="Times New Roman" w:eastAsia="Times New Roman" w:hAnsi="Times New Roman"/>
          <w:sz w:val="28"/>
          <w:szCs w:val="28"/>
          <w:lang w:eastAsia="ru-RU"/>
        </w:rPr>
        <w:t xml:space="preserve">предлагать </w:t>
      </w:r>
      <w:r>
        <w:rPr>
          <w:rFonts w:ascii="Times New Roman" w:eastAsia="Times New Roman" w:hAnsi="Times New Roman"/>
          <w:sz w:val="28"/>
          <w:szCs w:val="28"/>
          <w:lang w:eastAsia="ru-RU"/>
        </w:rPr>
        <w:t xml:space="preserve">условия, </w:t>
      </w:r>
      <w:r w:rsidRPr="00A609BC">
        <w:rPr>
          <w:rFonts w:ascii="Times New Roman" w:eastAsia="Times New Roman" w:hAnsi="Times New Roman"/>
          <w:sz w:val="28"/>
          <w:szCs w:val="28"/>
          <w:lang w:eastAsia="ru-RU"/>
        </w:rPr>
        <w:t>включая цены, количество ночей и пр</w:t>
      </w:r>
      <w:r w:rsidR="008C2AE0">
        <w:rPr>
          <w:rFonts w:ascii="Times New Roman" w:eastAsia="Times New Roman" w:hAnsi="Times New Roman"/>
          <w:sz w:val="28"/>
          <w:szCs w:val="28"/>
          <w:lang w:eastAsia="ru-RU"/>
        </w:rPr>
        <w:t>.</w:t>
      </w:r>
      <w:r w:rsidR="00555E97">
        <w:rPr>
          <w:rFonts w:ascii="Times New Roman" w:eastAsia="Times New Roman" w:hAnsi="Times New Roman"/>
          <w:sz w:val="28"/>
          <w:szCs w:val="28"/>
          <w:lang w:eastAsia="ru-RU"/>
        </w:rPr>
        <w:t>,</w:t>
      </w:r>
      <w:r w:rsidRPr="00A609BC">
        <w:rPr>
          <w:rFonts w:ascii="Times New Roman" w:eastAsia="Times New Roman" w:hAnsi="Times New Roman"/>
          <w:sz w:val="28"/>
          <w:szCs w:val="28"/>
          <w:lang w:eastAsia="ru-RU"/>
        </w:rPr>
        <w:t xml:space="preserve"> </w:t>
      </w:r>
      <w:r w:rsidR="004D2C9E">
        <w:rPr>
          <w:rFonts w:ascii="Times New Roman" w:eastAsia="Times New Roman" w:hAnsi="Times New Roman"/>
          <w:sz w:val="28"/>
          <w:szCs w:val="28"/>
          <w:lang w:eastAsia="ru-RU"/>
        </w:rPr>
        <w:t>«</w:t>
      </w:r>
      <w:r w:rsidRPr="00A609BC">
        <w:rPr>
          <w:rFonts w:ascii="Times New Roman" w:eastAsia="Times New Roman" w:hAnsi="Times New Roman"/>
          <w:sz w:val="28"/>
          <w:szCs w:val="28"/>
          <w:lang w:eastAsia="ru-RU"/>
        </w:rPr>
        <w:t>не менее благоприятные, чем предлагаемые по другим каналам</w:t>
      </w:r>
      <w:r w:rsidR="004D2C9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Конкурентное ведомство Франции определило эти условия как </w:t>
      </w:r>
      <w:r w:rsidR="004D2C9E">
        <w:rPr>
          <w:rFonts w:ascii="Times New Roman" w:eastAsia="Times New Roman" w:hAnsi="Times New Roman"/>
          <w:i/>
          <w:sz w:val="28"/>
          <w:szCs w:val="28"/>
          <w:lang w:eastAsia="ru-RU"/>
        </w:rPr>
        <w:t>«</w:t>
      </w:r>
      <w:r w:rsidRPr="001B1E37">
        <w:rPr>
          <w:rFonts w:ascii="Times New Roman" w:eastAsia="Times New Roman" w:hAnsi="Times New Roman"/>
          <w:i/>
          <w:sz w:val="28"/>
          <w:szCs w:val="28"/>
          <w:lang w:eastAsia="ru-RU"/>
        </w:rPr>
        <w:t>условие паритета</w:t>
      </w:r>
      <w:r w:rsidR="004D2C9E">
        <w:rPr>
          <w:rFonts w:ascii="Times New Roman" w:eastAsia="Times New Roman" w:hAnsi="Times New Roman"/>
          <w:i/>
          <w:sz w:val="28"/>
          <w:szCs w:val="28"/>
          <w:lang w:eastAsia="ru-RU"/>
        </w:rPr>
        <w:t>»</w:t>
      </w:r>
      <w:r w:rsidRPr="001B1E37">
        <w:rPr>
          <w:rFonts w:ascii="Times New Roman" w:eastAsia="Times New Roman" w:hAnsi="Times New Roman"/>
          <w:sz w:val="28"/>
          <w:szCs w:val="28"/>
          <w:lang w:eastAsia="ru-RU"/>
        </w:rPr>
        <w:t>,</w:t>
      </w:r>
      <w:r w:rsidRPr="00A609BC">
        <w:rPr>
          <w:rFonts w:ascii="Times New Roman" w:eastAsia="Times New Roman" w:hAnsi="Times New Roman"/>
          <w:sz w:val="28"/>
          <w:szCs w:val="28"/>
          <w:lang w:eastAsia="ru-RU"/>
        </w:rPr>
        <w:t xml:space="preserve"> в том числе на онлайн-пространстве и в реальности.</w:t>
      </w:r>
      <w:r>
        <w:rPr>
          <w:rFonts w:ascii="Times New Roman" w:eastAsia="Times New Roman" w:hAnsi="Times New Roman"/>
          <w:sz w:val="28"/>
          <w:szCs w:val="28"/>
          <w:lang w:eastAsia="ru-RU"/>
        </w:rPr>
        <w:t xml:space="preserve"> Доминирующее же положение </w:t>
      </w:r>
      <w:r w:rsidRPr="00A609BC">
        <w:rPr>
          <w:rFonts w:ascii="Times New Roman" w:eastAsia="Times New Roman" w:hAnsi="Times New Roman"/>
          <w:sz w:val="28"/>
          <w:szCs w:val="28"/>
          <w:lang w:val="en-US" w:eastAsia="ru-RU"/>
        </w:rPr>
        <w:t>Booking</w:t>
      </w:r>
      <w:r w:rsidRPr="00A609BC">
        <w:rPr>
          <w:rFonts w:ascii="Times New Roman" w:eastAsia="Times New Roman" w:hAnsi="Times New Roman"/>
          <w:sz w:val="28"/>
          <w:szCs w:val="28"/>
          <w:lang w:eastAsia="ru-RU"/>
        </w:rPr>
        <w:t>.</w:t>
      </w:r>
      <w:r w:rsidRPr="00A609BC">
        <w:rPr>
          <w:rFonts w:ascii="Times New Roman" w:eastAsia="Times New Roman" w:hAnsi="Times New Roman"/>
          <w:sz w:val="28"/>
          <w:szCs w:val="28"/>
          <w:lang w:val="en-US" w:eastAsia="ru-RU"/>
        </w:rPr>
        <w:t>com</w:t>
      </w:r>
      <w:r>
        <w:rPr>
          <w:rFonts w:ascii="Times New Roman" w:eastAsia="Times New Roman" w:hAnsi="Times New Roman"/>
          <w:sz w:val="28"/>
          <w:szCs w:val="28"/>
          <w:lang w:eastAsia="ru-RU"/>
        </w:rPr>
        <w:t xml:space="preserve"> было установлено на основе информации о получении сайтом количества бронирований, которое составило </w:t>
      </w:r>
      <w:r w:rsidRPr="00A609BC">
        <w:rPr>
          <w:rFonts w:ascii="Times New Roman" w:eastAsia="Times New Roman" w:hAnsi="Times New Roman"/>
          <w:sz w:val="28"/>
          <w:szCs w:val="28"/>
          <w:lang w:eastAsia="ru-RU"/>
        </w:rPr>
        <w:t>60</w:t>
      </w:r>
      <w:r w:rsidR="00DD5186">
        <w:rPr>
          <w:rFonts w:ascii="Times New Roman" w:eastAsia="Times New Roman" w:hAnsi="Times New Roman"/>
          <w:sz w:val="28"/>
          <w:szCs w:val="28"/>
          <w:lang w:val="en-US" w:eastAsia="ru-RU"/>
        </w:rPr>
        <w:t> </w:t>
      </w:r>
      <w:r w:rsidR="004D2C9E">
        <w:rPr>
          <w:rFonts w:ascii="Times New Roman" w:eastAsia="Times New Roman" w:hAnsi="Times New Roman"/>
          <w:sz w:val="28"/>
          <w:szCs w:val="28"/>
          <w:lang w:eastAsia="ru-RU"/>
        </w:rPr>
        <w:t>%</w:t>
      </w:r>
      <w:r w:rsidR="00CA3DEF">
        <w:rPr>
          <w:rFonts w:ascii="Times New Roman" w:eastAsia="Times New Roman" w:hAnsi="Times New Roman"/>
          <w:sz w:val="28"/>
          <w:szCs w:val="28"/>
          <w:lang w:eastAsia="ru-RU"/>
        </w:rPr>
        <w:t xml:space="preserve"> </w:t>
      </w:r>
      <w:r w:rsidRPr="00A609BC">
        <w:rPr>
          <w:rFonts w:ascii="Times New Roman" w:eastAsia="Times New Roman" w:hAnsi="Times New Roman"/>
          <w:sz w:val="28"/>
          <w:szCs w:val="28"/>
          <w:lang w:eastAsia="ru-RU"/>
        </w:rPr>
        <w:t>общего количества бронирований отелей в Интернет</w:t>
      </w:r>
      <w:r w:rsidR="008C2AE0">
        <w:rPr>
          <w:rFonts w:ascii="Times New Roman" w:eastAsia="Times New Roman" w:hAnsi="Times New Roman"/>
          <w:sz w:val="28"/>
          <w:szCs w:val="28"/>
          <w:lang w:eastAsia="ru-RU"/>
        </w:rPr>
        <w:t>е</w:t>
      </w:r>
      <w:r w:rsidRPr="00A609BC">
        <w:rPr>
          <w:rFonts w:ascii="Times New Roman" w:eastAsia="Times New Roman" w:hAnsi="Times New Roman"/>
          <w:sz w:val="28"/>
          <w:szCs w:val="28"/>
          <w:lang w:eastAsia="ru-RU"/>
        </w:rPr>
        <w:t>.</w:t>
      </w:r>
      <w:r w:rsidRPr="00356F87">
        <w:rPr>
          <w:rFonts w:ascii="Times New Roman" w:eastAsia="Times New Roman" w:hAnsi="Times New Roman"/>
          <w:sz w:val="28"/>
          <w:szCs w:val="28"/>
          <w:lang w:eastAsia="ru-RU"/>
        </w:rPr>
        <w:t xml:space="preserve"> </w:t>
      </w:r>
      <w:r w:rsidRPr="00A609BC">
        <w:rPr>
          <w:rFonts w:ascii="Times New Roman" w:eastAsia="Times New Roman" w:hAnsi="Times New Roman"/>
          <w:sz w:val="28"/>
          <w:szCs w:val="28"/>
          <w:lang w:eastAsia="ru-RU"/>
        </w:rPr>
        <w:t xml:space="preserve">Для определения границ рынка был применен </w:t>
      </w:r>
      <w:r w:rsidR="004D2C9E">
        <w:rPr>
          <w:rFonts w:ascii="Times New Roman" w:eastAsia="Times New Roman" w:hAnsi="Times New Roman"/>
          <w:sz w:val="28"/>
          <w:szCs w:val="28"/>
          <w:lang w:eastAsia="ru-RU"/>
        </w:rPr>
        <w:t>«</w:t>
      </w:r>
      <w:r w:rsidRPr="00A609BC">
        <w:rPr>
          <w:rFonts w:ascii="Times New Roman" w:eastAsia="Times New Roman" w:hAnsi="Times New Roman"/>
          <w:sz w:val="28"/>
          <w:szCs w:val="28"/>
          <w:lang w:eastAsia="ru-RU"/>
        </w:rPr>
        <w:t>тест гипотетического монополиста</w:t>
      </w:r>
      <w:r w:rsidR="004D2C9E">
        <w:rPr>
          <w:rFonts w:ascii="Times New Roman" w:eastAsia="Times New Roman" w:hAnsi="Times New Roman"/>
          <w:sz w:val="28"/>
          <w:szCs w:val="28"/>
          <w:lang w:eastAsia="ru-RU"/>
        </w:rPr>
        <w:t>»</w:t>
      </w:r>
      <w:r w:rsidRPr="00A609BC">
        <w:rPr>
          <w:rFonts w:ascii="Times New Roman" w:eastAsia="Times New Roman" w:hAnsi="Times New Roman"/>
          <w:sz w:val="28"/>
          <w:szCs w:val="28"/>
          <w:lang w:eastAsia="ru-RU"/>
        </w:rPr>
        <w:t>.</w:t>
      </w:r>
    </w:p>
    <w:p w:rsidR="0068434D" w:rsidRPr="00A609BC" w:rsidRDefault="0068434D" w:rsidP="004D2C9E">
      <w:pPr>
        <w:spacing w:after="0" w:line="240" w:lineRule="auto"/>
        <w:ind w:firstLine="709"/>
        <w:jc w:val="both"/>
        <w:rPr>
          <w:rFonts w:ascii="Times New Roman" w:eastAsia="Times New Roman" w:hAnsi="Times New Roman"/>
          <w:sz w:val="28"/>
          <w:szCs w:val="28"/>
          <w:lang w:eastAsia="ru-RU"/>
        </w:rPr>
      </w:pPr>
      <w:r w:rsidRPr="00A609BC">
        <w:rPr>
          <w:rFonts w:ascii="Times New Roman" w:eastAsia="Times New Roman" w:hAnsi="Times New Roman"/>
          <w:sz w:val="28"/>
          <w:szCs w:val="28"/>
          <w:lang w:eastAsia="ru-RU"/>
        </w:rPr>
        <w:t xml:space="preserve">Координируя деятельность с итальянским и шведским конкурентными ведомствами, французский орган завершил расследование наложением на </w:t>
      </w:r>
      <w:r w:rsidRPr="00A609BC">
        <w:rPr>
          <w:rFonts w:ascii="Times New Roman" w:eastAsia="Times New Roman" w:hAnsi="Times New Roman"/>
          <w:sz w:val="28"/>
          <w:szCs w:val="28"/>
          <w:lang w:val="en-US" w:eastAsia="ru-RU"/>
        </w:rPr>
        <w:t>Booking</w:t>
      </w:r>
      <w:r w:rsidRPr="00A609BC">
        <w:rPr>
          <w:rFonts w:ascii="Times New Roman" w:eastAsia="Times New Roman" w:hAnsi="Times New Roman"/>
          <w:sz w:val="28"/>
          <w:szCs w:val="28"/>
          <w:lang w:eastAsia="ru-RU"/>
        </w:rPr>
        <w:t>.</w:t>
      </w:r>
      <w:r w:rsidRPr="00A609BC">
        <w:rPr>
          <w:rFonts w:ascii="Times New Roman" w:eastAsia="Times New Roman" w:hAnsi="Times New Roman"/>
          <w:sz w:val="28"/>
          <w:szCs w:val="28"/>
          <w:lang w:val="en-US" w:eastAsia="ru-RU"/>
        </w:rPr>
        <w:t>com</w:t>
      </w:r>
      <w:r w:rsidRPr="00A609BC">
        <w:rPr>
          <w:rFonts w:ascii="Times New Roman" w:eastAsia="Times New Roman" w:hAnsi="Times New Roman"/>
          <w:sz w:val="28"/>
          <w:szCs w:val="28"/>
          <w:lang w:eastAsia="ru-RU"/>
        </w:rPr>
        <w:t xml:space="preserve"> услови</w:t>
      </w:r>
      <w:r>
        <w:rPr>
          <w:rFonts w:ascii="Times New Roman" w:eastAsia="Times New Roman" w:hAnsi="Times New Roman"/>
          <w:sz w:val="28"/>
          <w:szCs w:val="28"/>
          <w:lang w:eastAsia="ru-RU"/>
        </w:rPr>
        <w:t>й, обязательных для исполнения.</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Х</w:t>
      </w:r>
      <w:r w:rsidRPr="00574948">
        <w:rPr>
          <w:rFonts w:ascii="Times New Roman" w:hAnsi="Times New Roman"/>
          <w:sz w:val="28"/>
          <w:szCs w:val="28"/>
        </w:rPr>
        <w:t xml:space="preserve">арактер информации </w:t>
      </w:r>
      <w:r>
        <w:rPr>
          <w:rFonts w:ascii="Times New Roman" w:hAnsi="Times New Roman"/>
          <w:sz w:val="28"/>
          <w:szCs w:val="28"/>
        </w:rPr>
        <w:t xml:space="preserve">имеет существенное значение и демонстрирует важность учета повышения </w:t>
      </w:r>
      <w:r w:rsidRPr="0087011A">
        <w:rPr>
          <w:rFonts w:ascii="Times New Roman" w:hAnsi="Times New Roman"/>
          <w:sz w:val="28"/>
          <w:szCs w:val="28"/>
        </w:rPr>
        <w:t>ценност</w:t>
      </w:r>
      <w:r>
        <w:rPr>
          <w:rFonts w:ascii="Times New Roman" w:hAnsi="Times New Roman"/>
          <w:sz w:val="28"/>
          <w:szCs w:val="28"/>
        </w:rPr>
        <w:t>и</w:t>
      </w:r>
      <w:r w:rsidRPr="0087011A">
        <w:rPr>
          <w:rFonts w:ascii="Times New Roman" w:hAnsi="Times New Roman"/>
          <w:sz w:val="28"/>
          <w:szCs w:val="28"/>
        </w:rPr>
        <w:t xml:space="preserve"> наборов больших данных</w:t>
      </w:r>
      <w:r>
        <w:rPr>
          <w:rFonts w:ascii="Times New Roman" w:hAnsi="Times New Roman"/>
          <w:sz w:val="28"/>
          <w:szCs w:val="28"/>
        </w:rPr>
        <w:t xml:space="preserve"> при рассмотрении антимонопольными органами сделок экономической концентрации.</w:t>
      </w:r>
    </w:p>
    <w:p w:rsidR="0068434D" w:rsidRPr="00F94B12"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П</w:t>
      </w:r>
      <w:r w:rsidRPr="00B172E1">
        <w:rPr>
          <w:rFonts w:ascii="Times New Roman" w:hAnsi="Times New Roman"/>
          <w:sz w:val="28"/>
          <w:szCs w:val="28"/>
        </w:rPr>
        <w:t>римером европейских подходо</w:t>
      </w:r>
      <w:r>
        <w:rPr>
          <w:rFonts w:ascii="Times New Roman" w:hAnsi="Times New Roman"/>
          <w:sz w:val="28"/>
          <w:szCs w:val="28"/>
        </w:rPr>
        <w:t>в</w:t>
      </w:r>
      <w:r w:rsidRPr="00B172E1">
        <w:rPr>
          <w:rFonts w:ascii="Times New Roman" w:hAnsi="Times New Roman"/>
          <w:sz w:val="28"/>
          <w:szCs w:val="28"/>
        </w:rPr>
        <w:t xml:space="preserve"> к рассмотрению сделок слияния на рынках цифровых технологий является слияние </w:t>
      </w:r>
      <w:r>
        <w:rPr>
          <w:rFonts w:ascii="Times New Roman" w:hAnsi="Times New Roman"/>
          <w:sz w:val="28"/>
          <w:szCs w:val="28"/>
        </w:rPr>
        <w:t xml:space="preserve">в 2016 году </w:t>
      </w:r>
      <w:r w:rsidRPr="00D778DD">
        <w:rPr>
          <w:rFonts w:ascii="Times New Roman" w:eastAsia="Times New Roman" w:hAnsi="Times New Roman"/>
          <w:color w:val="000000"/>
          <w:sz w:val="28"/>
          <w:szCs w:val="28"/>
          <w:lang w:eastAsia="ru-RU"/>
        </w:rPr>
        <w:t xml:space="preserve">Microsoft и </w:t>
      </w:r>
      <w:r w:rsidRPr="00F94B12">
        <w:rPr>
          <w:rFonts w:ascii="Times New Roman" w:eastAsia="Times New Roman" w:hAnsi="Times New Roman"/>
          <w:sz w:val="28"/>
          <w:szCs w:val="28"/>
          <w:lang w:eastAsia="ru-RU"/>
        </w:rPr>
        <w:t>LinkedIn (</w:t>
      </w:r>
      <w:r w:rsidRPr="00F94B12">
        <w:rPr>
          <w:rFonts w:ascii="Times New Roman" w:hAnsi="Times New Roman"/>
          <w:sz w:val="28"/>
          <w:szCs w:val="28"/>
          <w:shd w:val="clear" w:color="auto" w:fill="FFFFFF"/>
        </w:rPr>
        <w:t>социальная сеть для поиска и установления деловых контактов).</w:t>
      </w:r>
    </w:p>
    <w:p w:rsidR="0068434D" w:rsidRPr="00D778DD" w:rsidRDefault="0068434D" w:rsidP="004D2C9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172E1">
        <w:rPr>
          <w:rFonts w:ascii="Times New Roman" w:eastAsia="Times New Roman" w:hAnsi="Times New Roman"/>
          <w:color w:val="000000"/>
          <w:sz w:val="28"/>
          <w:szCs w:val="28"/>
          <w:lang w:eastAsia="ru-RU"/>
        </w:rPr>
        <w:t>Еврок</w:t>
      </w:r>
      <w:r w:rsidRPr="00D778DD">
        <w:rPr>
          <w:rFonts w:ascii="Times New Roman" w:eastAsia="Times New Roman" w:hAnsi="Times New Roman"/>
          <w:color w:val="000000"/>
          <w:sz w:val="28"/>
          <w:szCs w:val="28"/>
          <w:lang w:eastAsia="ru-RU"/>
        </w:rPr>
        <w:t>омиссия пы</w:t>
      </w:r>
      <w:r>
        <w:rPr>
          <w:rFonts w:ascii="Times New Roman" w:eastAsia="Times New Roman" w:hAnsi="Times New Roman"/>
          <w:color w:val="000000"/>
          <w:sz w:val="28"/>
          <w:szCs w:val="28"/>
          <w:lang w:eastAsia="ru-RU"/>
        </w:rPr>
        <w:t xml:space="preserve">талась понять, воспользуется ли </w:t>
      </w:r>
      <w:r w:rsidRPr="00D778DD">
        <w:rPr>
          <w:rFonts w:ascii="Times New Roman" w:eastAsia="Times New Roman" w:hAnsi="Times New Roman"/>
          <w:color w:val="000000"/>
          <w:sz w:val="28"/>
          <w:szCs w:val="28"/>
          <w:lang w:val="en-US" w:eastAsia="ru-RU"/>
        </w:rPr>
        <w:t>Microsoft</w:t>
      </w:r>
      <w:r>
        <w:rPr>
          <w:rFonts w:ascii="Times New Roman" w:eastAsia="Times New Roman" w:hAnsi="Times New Roman"/>
          <w:color w:val="000000"/>
          <w:sz w:val="28"/>
          <w:szCs w:val="28"/>
          <w:lang w:eastAsia="ru-RU"/>
        </w:rPr>
        <w:t xml:space="preserve"> </w:t>
      </w:r>
      <w:r w:rsidRPr="00D778DD">
        <w:rPr>
          <w:rFonts w:ascii="Times New Roman" w:eastAsia="Times New Roman" w:hAnsi="Times New Roman"/>
          <w:color w:val="000000"/>
          <w:sz w:val="28"/>
          <w:szCs w:val="28"/>
          <w:lang w:eastAsia="ru-RU"/>
        </w:rPr>
        <w:t>после слияния своей сильной рыночной позицией в сегменте операционных систем</w:t>
      </w:r>
      <w:r w:rsidR="00F94B12">
        <w:rPr>
          <w:rFonts w:ascii="Times New Roman" w:eastAsia="Times New Roman" w:hAnsi="Times New Roman"/>
          <w:color w:val="000000"/>
          <w:sz w:val="28"/>
          <w:szCs w:val="28"/>
          <w:lang w:eastAsia="ru-RU"/>
        </w:rPr>
        <w:t xml:space="preserve"> </w:t>
      </w:r>
      <w:r w:rsidRPr="00D778DD">
        <w:rPr>
          <w:rFonts w:ascii="Times New Roman" w:eastAsia="Times New Roman" w:hAnsi="Times New Roman"/>
          <w:color w:val="000000"/>
          <w:sz w:val="28"/>
          <w:szCs w:val="28"/>
          <w:lang w:eastAsia="ru-RU"/>
        </w:rPr>
        <w:t>(</w:t>
      </w:r>
      <w:r w:rsidRPr="00D778DD">
        <w:rPr>
          <w:rFonts w:ascii="Times New Roman" w:eastAsia="Times New Roman" w:hAnsi="Times New Roman"/>
          <w:color w:val="000000"/>
          <w:sz w:val="28"/>
          <w:szCs w:val="28"/>
          <w:lang w:val="en-US" w:eastAsia="ru-RU"/>
        </w:rPr>
        <w:t>Windows</w:t>
      </w:r>
      <w:r w:rsidRPr="00D778DD">
        <w:rPr>
          <w:rFonts w:ascii="Times New Roman" w:eastAsia="Times New Roman" w:hAnsi="Times New Roman"/>
          <w:color w:val="000000"/>
          <w:sz w:val="28"/>
          <w:szCs w:val="28"/>
          <w:lang w:eastAsia="ru-RU"/>
        </w:rPr>
        <w:t>) для персональных компьютеров и специализиров</w:t>
      </w:r>
      <w:r>
        <w:rPr>
          <w:rFonts w:ascii="Times New Roman" w:eastAsia="Times New Roman" w:hAnsi="Times New Roman"/>
          <w:color w:val="000000"/>
          <w:sz w:val="28"/>
          <w:szCs w:val="28"/>
          <w:lang w:eastAsia="ru-RU"/>
        </w:rPr>
        <w:t xml:space="preserve">анного программного обеспечения </w:t>
      </w:r>
      <w:r w:rsidRPr="00D778DD">
        <w:rPr>
          <w:rFonts w:ascii="Times New Roman" w:eastAsia="Times New Roman" w:hAnsi="Times New Roman"/>
          <w:color w:val="000000"/>
          <w:sz w:val="28"/>
          <w:szCs w:val="28"/>
          <w:lang w:eastAsia="ru-RU"/>
        </w:rPr>
        <w:t>(включая </w:t>
      </w:r>
      <w:r w:rsidRPr="00D778DD">
        <w:rPr>
          <w:rFonts w:ascii="Times New Roman" w:eastAsia="Times New Roman" w:hAnsi="Times New Roman"/>
          <w:color w:val="000000"/>
          <w:sz w:val="28"/>
          <w:szCs w:val="28"/>
          <w:lang w:val="en-US" w:eastAsia="ru-RU"/>
        </w:rPr>
        <w:t>Outlook</w:t>
      </w:r>
      <w:r w:rsidRPr="00D778DD">
        <w:rPr>
          <w:rFonts w:ascii="Times New Roman" w:eastAsia="Times New Roman" w:hAnsi="Times New Roman"/>
          <w:color w:val="000000"/>
          <w:sz w:val="28"/>
          <w:szCs w:val="28"/>
          <w:lang w:eastAsia="ru-RU"/>
        </w:rPr>
        <w:t>, </w:t>
      </w:r>
      <w:r w:rsidRPr="00D778DD">
        <w:rPr>
          <w:rFonts w:ascii="Times New Roman" w:eastAsia="Times New Roman" w:hAnsi="Times New Roman"/>
          <w:color w:val="000000"/>
          <w:sz w:val="28"/>
          <w:szCs w:val="28"/>
          <w:lang w:val="en-US" w:eastAsia="ru-RU"/>
        </w:rPr>
        <w:t>Word</w:t>
      </w:r>
      <w:r w:rsidRPr="00D778DD">
        <w:rPr>
          <w:rFonts w:ascii="Times New Roman" w:eastAsia="Times New Roman" w:hAnsi="Times New Roman"/>
          <w:color w:val="000000"/>
          <w:sz w:val="28"/>
          <w:szCs w:val="28"/>
          <w:lang w:eastAsia="ru-RU"/>
        </w:rPr>
        <w:t>, </w:t>
      </w:r>
      <w:r w:rsidRPr="00D778DD">
        <w:rPr>
          <w:rFonts w:ascii="Times New Roman" w:eastAsia="Times New Roman" w:hAnsi="Times New Roman"/>
          <w:color w:val="000000"/>
          <w:sz w:val="28"/>
          <w:szCs w:val="28"/>
          <w:lang w:val="en-US" w:eastAsia="ru-RU"/>
        </w:rPr>
        <w:t>Excel</w:t>
      </w:r>
      <w:r w:rsidRPr="00D778DD">
        <w:rPr>
          <w:rFonts w:ascii="Times New Roman" w:eastAsia="Times New Roman" w:hAnsi="Times New Roman"/>
          <w:color w:val="000000"/>
          <w:sz w:val="28"/>
          <w:szCs w:val="28"/>
          <w:lang w:eastAsia="ru-RU"/>
        </w:rPr>
        <w:t> и </w:t>
      </w:r>
      <w:r w:rsidRPr="00D778DD">
        <w:rPr>
          <w:rFonts w:ascii="Times New Roman" w:eastAsia="Times New Roman" w:hAnsi="Times New Roman"/>
          <w:color w:val="000000"/>
          <w:sz w:val="28"/>
          <w:szCs w:val="28"/>
          <w:lang w:val="en-US" w:eastAsia="ru-RU"/>
        </w:rPr>
        <w:t>Power Point</w:t>
      </w:r>
      <w:r w:rsidRPr="00D778DD">
        <w:rPr>
          <w:rFonts w:ascii="Times New Roman" w:eastAsia="Times New Roman" w:hAnsi="Times New Roman"/>
          <w:color w:val="000000"/>
          <w:sz w:val="28"/>
          <w:szCs w:val="28"/>
          <w:lang w:eastAsia="ru-RU"/>
        </w:rPr>
        <w:t>) с целью укрепления позиций </w:t>
      </w:r>
      <w:r w:rsidRPr="00D778DD">
        <w:rPr>
          <w:rFonts w:ascii="Times New Roman" w:eastAsia="Times New Roman" w:hAnsi="Times New Roman"/>
          <w:color w:val="000000"/>
          <w:sz w:val="28"/>
          <w:szCs w:val="28"/>
          <w:lang w:val="en-US" w:eastAsia="ru-RU"/>
        </w:rPr>
        <w:t>LinkedIn</w:t>
      </w:r>
      <w:r w:rsidRPr="00D778DD">
        <w:rPr>
          <w:rFonts w:ascii="Times New Roman" w:eastAsia="Times New Roman" w:hAnsi="Times New Roman"/>
          <w:color w:val="000000"/>
          <w:sz w:val="28"/>
          <w:szCs w:val="28"/>
          <w:lang w:eastAsia="ru-RU"/>
        </w:rPr>
        <w:t> среди профессиональных социальных сетей.</w:t>
      </w:r>
    </w:p>
    <w:p w:rsidR="0068434D" w:rsidRPr="00D778DD" w:rsidRDefault="0068434D" w:rsidP="004D2C9E">
      <w:pPr>
        <w:spacing w:after="0" w:line="240" w:lineRule="auto"/>
        <w:ind w:firstLine="709"/>
        <w:jc w:val="both"/>
        <w:rPr>
          <w:rFonts w:ascii="Times New Roman" w:eastAsia="Times New Roman" w:hAnsi="Times New Roman"/>
          <w:sz w:val="28"/>
          <w:szCs w:val="28"/>
          <w:lang w:eastAsia="ru-RU"/>
        </w:rPr>
      </w:pPr>
      <w:r w:rsidRPr="00D778DD">
        <w:rPr>
          <w:rFonts w:ascii="Times New Roman" w:eastAsia="Times New Roman" w:hAnsi="Times New Roman"/>
          <w:sz w:val="28"/>
          <w:szCs w:val="28"/>
          <w:lang w:eastAsia="ru-RU"/>
        </w:rPr>
        <w:t>Комиссия проанализировала потенциальную концентрацию данных в результате слияния в контексте влияния на конкуренцию на Едином рынке ЕС</w:t>
      </w:r>
      <w:r>
        <w:rPr>
          <w:rFonts w:ascii="Times New Roman" w:eastAsia="Times New Roman" w:hAnsi="Times New Roman"/>
          <w:sz w:val="28"/>
          <w:szCs w:val="28"/>
          <w:lang w:eastAsia="ru-RU"/>
        </w:rPr>
        <w:t xml:space="preserve"> и</w:t>
      </w:r>
      <w:r w:rsidR="008C2A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всесторонне изучив вопрос</w:t>
      </w:r>
      <w:r w:rsidR="008C2A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согласовала сделку, выставив ряд требований, направленных на недопущение в будущем угроз для конкуренции.</w:t>
      </w:r>
    </w:p>
    <w:p w:rsidR="0068434D" w:rsidRPr="00D778DD" w:rsidRDefault="00D53848"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Компания </w:t>
      </w:r>
      <w:r w:rsidR="0068434D" w:rsidRPr="00D778DD">
        <w:rPr>
          <w:rFonts w:ascii="Times New Roman" w:eastAsia="Times New Roman" w:hAnsi="Times New Roman"/>
          <w:sz w:val="28"/>
          <w:szCs w:val="28"/>
          <w:lang w:val="en-US" w:eastAsia="ru-RU"/>
        </w:rPr>
        <w:t>Microsoft</w:t>
      </w:r>
      <w:r w:rsidR="0068434D" w:rsidRPr="00D778DD">
        <w:rPr>
          <w:rFonts w:ascii="Times New Roman" w:eastAsia="Times New Roman" w:hAnsi="Times New Roman"/>
          <w:sz w:val="28"/>
          <w:szCs w:val="28"/>
          <w:lang w:eastAsia="ru-RU"/>
        </w:rPr>
        <w:t> взял</w:t>
      </w:r>
      <w:r>
        <w:rPr>
          <w:rFonts w:ascii="Times New Roman" w:eastAsia="Times New Roman" w:hAnsi="Times New Roman"/>
          <w:sz w:val="28"/>
          <w:szCs w:val="28"/>
          <w:lang w:eastAsia="ru-RU"/>
        </w:rPr>
        <w:t>а</w:t>
      </w:r>
      <w:r w:rsidR="0068434D">
        <w:rPr>
          <w:rFonts w:ascii="Times New Roman" w:eastAsia="Times New Roman" w:hAnsi="Times New Roman"/>
          <w:sz w:val="28"/>
          <w:szCs w:val="28"/>
          <w:lang w:eastAsia="ru-RU"/>
        </w:rPr>
        <w:t xml:space="preserve"> </w:t>
      </w:r>
      <w:r w:rsidR="0068434D" w:rsidRPr="00D778DD">
        <w:rPr>
          <w:rFonts w:ascii="Times New Roman" w:eastAsia="Times New Roman" w:hAnsi="Times New Roman"/>
          <w:sz w:val="28"/>
          <w:szCs w:val="28"/>
          <w:lang w:eastAsia="ru-RU"/>
        </w:rPr>
        <w:t>на себя ряд обязательств:</w:t>
      </w:r>
    </w:p>
    <w:p w:rsidR="0068434D" w:rsidRPr="00D778DD" w:rsidRDefault="0068434D" w:rsidP="00FA59CA">
      <w:pPr>
        <w:spacing w:after="0" w:line="315"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D778DD">
        <w:rPr>
          <w:rFonts w:ascii="Times New Roman" w:eastAsia="Times New Roman" w:hAnsi="Times New Roman"/>
          <w:sz w:val="28"/>
          <w:szCs w:val="28"/>
          <w:lang w:eastAsia="ru-RU"/>
        </w:rPr>
        <w:t xml:space="preserve">роизводители </w:t>
      </w:r>
      <w:r w:rsidR="008C2AE0">
        <w:rPr>
          <w:rFonts w:ascii="Times New Roman" w:eastAsia="Times New Roman" w:hAnsi="Times New Roman"/>
          <w:sz w:val="28"/>
          <w:szCs w:val="28"/>
          <w:lang w:eastAsia="ru-RU"/>
        </w:rPr>
        <w:t>персональных компьютеров</w:t>
      </w:r>
      <w:r w:rsidRPr="00D778DD">
        <w:rPr>
          <w:rFonts w:ascii="Times New Roman" w:eastAsia="Times New Roman" w:hAnsi="Times New Roman"/>
          <w:sz w:val="28"/>
          <w:szCs w:val="28"/>
          <w:lang w:eastAsia="ru-RU"/>
        </w:rPr>
        <w:t xml:space="preserve"> и дистрибьюторы не будут обязаны устанавливать </w:t>
      </w:r>
      <w:r w:rsidRPr="00D778DD">
        <w:rPr>
          <w:rFonts w:ascii="Times New Roman" w:eastAsia="Times New Roman" w:hAnsi="Times New Roman"/>
          <w:sz w:val="28"/>
          <w:szCs w:val="28"/>
          <w:lang w:val="en-US" w:eastAsia="ru-RU"/>
        </w:rPr>
        <w:t>LinkedIn</w:t>
      </w:r>
      <w:r>
        <w:rPr>
          <w:rFonts w:ascii="Times New Roman" w:eastAsia="Times New Roman" w:hAnsi="Times New Roman"/>
          <w:sz w:val="28"/>
          <w:szCs w:val="28"/>
          <w:lang w:eastAsia="ru-RU"/>
        </w:rPr>
        <w:t xml:space="preserve"> </w:t>
      </w:r>
      <w:r w:rsidRPr="00D778DD">
        <w:rPr>
          <w:rFonts w:ascii="Times New Roman" w:eastAsia="Times New Roman" w:hAnsi="Times New Roman"/>
          <w:sz w:val="28"/>
          <w:szCs w:val="28"/>
          <w:lang w:eastAsia="ru-RU"/>
        </w:rPr>
        <w:t xml:space="preserve">на </w:t>
      </w:r>
      <w:r w:rsidRPr="00D778DD">
        <w:rPr>
          <w:rFonts w:ascii="Times New Roman" w:eastAsia="Times New Roman" w:hAnsi="Times New Roman"/>
          <w:sz w:val="28"/>
          <w:szCs w:val="28"/>
          <w:lang w:val="en-US" w:eastAsia="ru-RU"/>
        </w:rPr>
        <w:t>Windows</w:t>
      </w:r>
      <w:r w:rsidRPr="00D778DD">
        <w:rPr>
          <w:rFonts w:ascii="Times New Roman" w:eastAsia="Times New Roman" w:hAnsi="Times New Roman"/>
          <w:sz w:val="28"/>
          <w:szCs w:val="28"/>
          <w:lang w:eastAsia="ru-RU"/>
        </w:rPr>
        <w:t>, а пользователи будут иметь возможность удалять </w:t>
      </w:r>
      <w:r w:rsidRPr="00D778DD">
        <w:rPr>
          <w:rFonts w:ascii="Times New Roman" w:eastAsia="Times New Roman" w:hAnsi="Times New Roman"/>
          <w:sz w:val="28"/>
          <w:szCs w:val="28"/>
          <w:lang w:val="en-US" w:eastAsia="ru-RU"/>
        </w:rPr>
        <w:t>LinkedIn</w:t>
      </w:r>
      <w:r w:rsidRPr="00D778DD">
        <w:rPr>
          <w:rFonts w:ascii="Times New Roman" w:eastAsia="Times New Roman" w:hAnsi="Times New Roman"/>
          <w:sz w:val="28"/>
          <w:szCs w:val="28"/>
          <w:lang w:eastAsia="ru-RU"/>
        </w:rPr>
        <w:t xml:space="preserve"> из </w:t>
      </w:r>
      <w:r w:rsidRPr="00D778DD">
        <w:rPr>
          <w:rFonts w:ascii="Times New Roman" w:eastAsia="Times New Roman" w:hAnsi="Times New Roman"/>
          <w:sz w:val="28"/>
          <w:szCs w:val="28"/>
          <w:lang w:val="en-US" w:eastAsia="ru-RU"/>
        </w:rPr>
        <w:t>Windows</w:t>
      </w:r>
      <w:r w:rsidRPr="00D778DD">
        <w:rPr>
          <w:rFonts w:ascii="Times New Roman" w:eastAsia="Times New Roman" w:hAnsi="Times New Roman"/>
          <w:sz w:val="28"/>
          <w:szCs w:val="28"/>
          <w:lang w:eastAsia="ru-RU"/>
        </w:rPr>
        <w:t>;</w:t>
      </w:r>
    </w:p>
    <w:p w:rsidR="0068434D" w:rsidRPr="00D778DD" w:rsidRDefault="0068434D" w:rsidP="00FA59CA">
      <w:pPr>
        <w:spacing w:after="0" w:line="315"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D778DD">
        <w:rPr>
          <w:rFonts w:ascii="Times New Roman" w:eastAsia="Times New Roman" w:hAnsi="Times New Roman"/>
          <w:sz w:val="28"/>
          <w:szCs w:val="28"/>
          <w:lang w:eastAsia="ru-RU"/>
        </w:rPr>
        <w:t>онкурирующие поставщики услуг профессиональных социальных сетей будут иметь возможность сохранять существующий уровень межоперационной совместимости с набором продуктов</w:t>
      </w:r>
      <w:r>
        <w:rPr>
          <w:rFonts w:ascii="Times New Roman" w:eastAsia="Times New Roman" w:hAnsi="Times New Roman"/>
          <w:sz w:val="28"/>
          <w:szCs w:val="28"/>
          <w:lang w:eastAsia="ru-RU"/>
        </w:rPr>
        <w:t xml:space="preserve"> </w:t>
      </w:r>
      <w:r w:rsidRPr="00D778DD">
        <w:rPr>
          <w:rFonts w:ascii="Times New Roman" w:eastAsia="Times New Roman" w:hAnsi="Times New Roman"/>
          <w:sz w:val="28"/>
          <w:szCs w:val="28"/>
          <w:lang w:val="en-US" w:eastAsia="ru-RU"/>
        </w:rPr>
        <w:t>Microsoft Office</w:t>
      </w:r>
      <w:r>
        <w:rPr>
          <w:rFonts w:ascii="Times New Roman" w:eastAsia="Times New Roman" w:hAnsi="Times New Roman"/>
          <w:sz w:val="28"/>
          <w:szCs w:val="28"/>
          <w:lang w:eastAsia="ru-RU"/>
        </w:rPr>
        <w:t xml:space="preserve"> </w:t>
      </w:r>
      <w:r w:rsidRPr="00D778DD">
        <w:rPr>
          <w:rFonts w:ascii="Times New Roman" w:eastAsia="Times New Roman" w:hAnsi="Times New Roman"/>
          <w:sz w:val="28"/>
          <w:szCs w:val="28"/>
          <w:lang w:eastAsia="ru-RU"/>
        </w:rPr>
        <w:t>через так называемую программу-надстройку</w:t>
      </w:r>
      <w:r>
        <w:rPr>
          <w:rFonts w:ascii="Times New Roman" w:eastAsia="Times New Roman" w:hAnsi="Times New Roman"/>
          <w:sz w:val="28"/>
          <w:szCs w:val="28"/>
          <w:lang w:eastAsia="ru-RU"/>
        </w:rPr>
        <w:t xml:space="preserve"> </w:t>
      </w:r>
      <w:r w:rsidRPr="00D778DD">
        <w:rPr>
          <w:rFonts w:ascii="Times New Roman" w:eastAsia="Times New Roman" w:hAnsi="Times New Roman"/>
          <w:sz w:val="28"/>
          <w:szCs w:val="28"/>
          <w:lang w:val="en-US" w:eastAsia="ru-RU"/>
        </w:rPr>
        <w:t>Office</w:t>
      </w:r>
      <w:r>
        <w:rPr>
          <w:rFonts w:ascii="Times New Roman" w:eastAsia="Times New Roman" w:hAnsi="Times New Roman"/>
          <w:sz w:val="28"/>
          <w:szCs w:val="28"/>
          <w:lang w:eastAsia="ru-RU"/>
        </w:rPr>
        <w:t xml:space="preserve"> </w:t>
      </w:r>
      <w:r w:rsidRPr="00D778DD">
        <w:rPr>
          <w:rFonts w:ascii="Times New Roman" w:eastAsia="Times New Roman" w:hAnsi="Times New Roman"/>
          <w:sz w:val="28"/>
          <w:szCs w:val="28"/>
          <w:lang w:eastAsia="ru-RU"/>
        </w:rPr>
        <w:t>(</w:t>
      </w:r>
      <w:r w:rsidRPr="00D778DD">
        <w:rPr>
          <w:rFonts w:ascii="Times New Roman" w:eastAsia="Times New Roman" w:hAnsi="Times New Roman"/>
          <w:sz w:val="28"/>
          <w:szCs w:val="28"/>
          <w:lang w:val="en-US" w:eastAsia="ru-RU"/>
        </w:rPr>
        <w:t>Office</w:t>
      </w:r>
      <w:r>
        <w:rPr>
          <w:rFonts w:ascii="Times New Roman" w:eastAsia="Times New Roman" w:hAnsi="Times New Roman"/>
          <w:sz w:val="28"/>
          <w:szCs w:val="28"/>
          <w:lang w:eastAsia="ru-RU"/>
        </w:rPr>
        <w:t xml:space="preserve"> </w:t>
      </w:r>
      <w:r w:rsidRPr="00D778DD">
        <w:rPr>
          <w:rFonts w:ascii="Times New Roman" w:eastAsia="Times New Roman" w:hAnsi="Times New Roman"/>
          <w:sz w:val="28"/>
          <w:szCs w:val="28"/>
          <w:lang w:val="en-US" w:eastAsia="ru-RU"/>
        </w:rPr>
        <w:t>add</w:t>
      </w:r>
      <w:r w:rsidRPr="00D778DD">
        <w:rPr>
          <w:rFonts w:ascii="Times New Roman" w:eastAsia="Times New Roman" w:hAnsi="Times New Roman"/>
          <w:sz w:val="28"/>
          <w:szCs w:val="28"/>
          <w:lang w:eastAsia="ru-RU"/>
        </w:rPr>
        <w:t>-</w:t>
      </w:r>
      <w:r w:rsidRPr="00D778DD">
        <w:rPr>
          <w:rFonts w:ascii="Times New Roman" w:eastAsia="Times New Roman" w:hAnsi="Times New Roman"/>
          <w:sz w:val="28"/>
          <w:szCs w:val="28"/>
          <w:lang w:val="en-US" w:eastAsia="ru-RU"/>
        </w:rPr>
        <w:t>in</w:t>
      </w:r>
      <w:r>
        <w:rPr>
          <w:rFonts w:ascii="Times New Roman" w:eastAsia="Times New Roman" w:hAnsi="Times New Roman"/>
          <w:sz w:val="28"/>
          <w:szCs w:val="28"/>
          <w:lang w:eastAsia="ru-RU"/>
        </w:rPr>
        <w:t xml:space="preserve"> </w:t>
      </w:r>
      <w:r w:rsidRPr="00D778DD">
        <w:rPr>
          <w:rFonts w:ascii="Times New Roman" w:eastAsia="Times New Roman" w:hAnsi="Times New Roman"/>
          <w:sz w:val="28"/>
          <w:szCs w:val="28"/>
          <w:lang w:val="en-US" w:eastAsia="ru-RU"/>
        </w:rPr>
        <w:t>program</w:t>
      </w:r>
      <w:r w:rsidRPr="00D778DD">
        <w:rPr>
          <w:rFonts w:ascii="Times New Roman" w:eastAsia="Times New Roman" w:hAnsi="Times New Roman"/>
          <w:sz w:val="28"/>
          <w:szCs w:val="28"/>
          <w:lang w:eastAsia="ru-RU"/>
        </w:rPr>
        <w:t>) и</w:t>
      </w:r>
      <w:r>
        <w:rPr>
          <w:rFonts w:ascii="Times New Roman" w:eastAsia="Times New Roman" w:hAnsi="Times New Roman"/>
          <w:sz w:val="28"/>
          <w:szCs w:val="28"/>
          <w:lang w:eastAsia="ru-RU"/>
        </w:rPr>
        <w:t xml:space="preserve"> </w:t>
      </w:r>
      <w:r w:rsidRPr="00D778DD">
        <w:rPr>
          <w:rFonts w:ascii="Times New Roman" w:eastAsia="Times New Roman" w:hAnsi="Times New Roman"/>
          <w:sz w:val="28"/>
          <w:szCs w:val="28"/>
          <w:lang w:eastAsia="ru-RU"/>
        </w:rPr>
        <w:t>интерфейс программирования приложений </w:t>
      </w:r>
      <w:r w:rsidRPr="00D778DD">
        <w:rPr>
          <w:rFonts w:ascii="Times New Roman" w:eastAsia="Times New Roman" w:hAnsi="Times New Roman"/>
          <w:sz w:val="28"/>
          <w:szCs w:val="28"/>
          <w:lang w:val="en-US" w:eastAsia="ru-RU"/>
        </w:rPr>
        <w:t>Office</w:t>
      </w:r>
      <w:r>
        <w:rPr>
          <w:rFonts w:ascii="Times New Roman" w:eastAsia="Times New Roman" w:hAnsi="Times New Roman"/>
          <w:sz w:val="28"/>
          <w:szCs w:val="28"/>
          <w:lang w:eastAsia="ru-RU"/>
        </w:rPr>
        <w:t>;</w:t>
      </w:r>
    </w:p>
    <w:p w:rsidR="0068434D" w:rsidRPr="00FA59CA" w:rsidRDefault="0068434D" w:rsidP="00FA59CA">
      <w:pPr>
        <w:spacing w:after="0" w:line="315" w:lineRule="exact"/>
        <w:ind w:firstLine="709"/>
        <w:jc w:val="both"/>
        <w:rPr>
          <w:rFonts w:ascii="Times New Roman" w:eastAsia="Times New Roman" w:hAnsi="Times New Roman"/>
          <w:spacing w:val="-2"/>
          <w:sz w:val="28"/>
          <w:szCs w:val="28"/>
          <w:lang w:eastAsia="ru-RU"/>
        </w:rPr>
      </w:pPr>
      <w:r w:rsidRPr="00FA59CA">
        <w:rPr>
          <w:rFonts w:ascii="Times New Roman" w:eastAsia="Times New Roman" w:hAnsi="Times New Roman"/>
          <w:spacing w:val="-2"/>
          <w:sz w:val="28"/>
          <w:szCs w:val="28"/>
          <w:lang w:eastAsia="ru-RU"/>
        </w:rPr>
        <w:t xml:space="preserve">доступ конкурирующих провайдеров услуг профессиональных социальных сетей к </w:t>
      </w:r>
      <w:r w:rsidRPr="00FA59CA">
        <w:rPr>
          <w:rFonts w:ascii="Times New Roman" w:eastAsia="Times New Roman" w:hAnsi="Times New Roman"/>
          <w:spacing w:val="-2"/>
          <w:sz w:val="28"/>
          <w:szCs w:val="28"/>
          <w:lang w:val="en-US" w:eastAsia="ru-RU"/>
        </w:rPr>
        <w:t>Microsoft</w:t>
      </w:r>
      <w:r w:rsidRPr="00FA59CA">
        <w:rPr>
          <w:rFonts w:ascii="Times New Roman" w:eastAsia="Times New Roman" w:hAnsi="Times New Roman"/>
          <w:spacing w:val="-2"/>
          <w:sz w:val="28"/>
          <w:szCs w:val="28"/>
          <w:lang w:eastAsia="ru-RU"/>
        </w:rPr>
        <w:t xml:space="preserve"> </w:t>
      </w:r>
      <w:r w:rsidRPr="00FA59CA">
        <w:rPr>
          <w:rFonts w:ascii="Times New Roman" w:eastAsia="Times New Roman" w:hAnsi="Times New Roman"/>
          <w:spacing w:val="-2"/>
          <w:sz w:val="28"/>
          <w:szCs w:val="28"/>
          <w:lang w:val="en-US" w:eastAsia="ru-RU"/>
        </w:rPr>
        <w:t>Graph</w:t>
      </w:r>
      <w:r w:rsidRPr="00FA59CA">
        <w:rPr>
          <w:rFonts w:ascii="Times New Roman" w:eastAsia="Times New Roman" w:hAnsi="Times New Roman"/>
          <w:spacing w:val="-2"/>
          <w:sz w:val="28"/>
          <w:szCs w:val="28"/>
          <w:lang w:eastAsia="ru-RU"/>
        </w:rPr>
        <w:t>, шлюзу для разработчиков программного обеспечения.</w:t>
      </w:r>
    </w:p>
    <w:p w:rsidR="0068434D" w:rsidRDefault="0068434D" w:rsidP="00FA59CA">
      <w:pPr>
        <w:spacing w:after="0" w:line="315" w:lineRule="exact"/>
        <w:ind w:firstLine="709"/>
        <w:jc w:val="both"/>
        <w:rPr>
          <w:rFonts w:ascii="Times New Roman" w:eastAsia="Times New Roman" w:hAnsi="Times New Roman"/>
          <w:sz w:val="28"/>
          <w:szCs w:val="28"/>
          <w:lang w:eastAsia="ru-RU"/>
        </w:rPr>
      </w:pPr>
      <w:r w:rsidRPr="00D778DD">
        <w:rPr>
          <w:rFonts w:ascii="Times New Roman" w:eastAsia="Times New Roman" w:hAnsi="Times New Roman"/>
          <w:sz w:val="28"/>
          <w:szCs w:val="28"/>
          <w:lang w:eastAsia="ru-RU"/>
        </w:rPr>
        <w:t>Обязательства должны соблюдать в течени</w:t>
      </w:r>
      <w:r>
        <w:rPr>
          <w:rFonts w:ascii="Times New Roman" w:eastAsia="Times New Roman" w:hAnsi="Times New Roman"/>
          <w:sz w:val="28"/>
          <w:szCs w:val="28"/>
          <w:lang w:eastAsia="ru-RU"/>
        </w:rPr>
        <w:t>е</w:t>
      </w:r>
      <w:r w:rsidRPr="00D778DD">
        <w:rPr>
          <w:rFonts w:ascii="Times New Roman" w:eastAsia="Times New Roman" w:hAnsi="Times New Roman"/>
          <w:sz w:val="28"/>
          <w:szCs w:val="28"/>
          <w:lang w:eastAsia="ru-RU"/>
        </w:rPr>
        <w:t xml:space="preserve"> </w:t>
      </w:r>
      <w:r w:rsidR="00D53848">
        <w:rPr>
          <w:rFonts w:ascii="Times New Roman" w:eastAsia="Times New Roman" w:hAnsi="Times New Roman"/>
          <w:sz w:val="28"/>
          <w:szCs w:val="28"/>
          <w:lang w:eastAsia="ru-RU"/>
        </w:rPr>
        <w:t>пяти</w:t>
      </w:r>
      <w:r w:rsidRPr="00D778DD">
        <w:rPr>
          <w:rFonts w:ascii="Times New Roman" w:eastAsia="Times New Roman" w:hAnsi="Times New Roman"/>
          <w:sz w:val="28"/>
          <w:szCs w:val="28"/>
          <w:lang w:eastAsia="ru-RU"/>
        </w:rPr>
        <w:t xml:space="preserve"> лет</w:t>
      </w:r>
      <w:r>
        <w:rPr>
          <w:rFonts w:ascii="Times New Roman" w:eastAsia="Times New Roman" w:hAnsi="Times New Roman"/>
          <w:sz w:val="28"/>
          <w:szCs w:val="28"/>
          <w:lang w:eastAsia="ru-RU"/>
        </w:rPr>
        <w:t xml:space="preserve"> с момента совершения сделки.</w:t>
      </w:r>
    </w:p>
    <w:p w:rsidR="0068434D" w:rsidRDefault="00D53848" w:rsidP="00FA59CA">
      <w:pPr>
        <w:pStyle w:val="2"/>
        <w:spacing w:line="315" w:lineRule="exact"/>
      </w:pPr>
      <w:bookmarkStart w:id="11" w:name="_Toc526253881"/>
      <w:r>
        <w:t>2.</w:t>
      </w:r>
      <w:r w:rsidR="00BD638F">
        <w:t>3. </w:t>
      </w:r>
      <w:r w:rsidR="0068434D" w:rsidRPr="00DF4197">
        <w:t>Применение антимонопольного законодательства</w:t>
      </w:r>
      <w:r w:rsidR="00BD638F">
        <w:t xml:space="preserve"> </w:t>
      </w:r>
      <w:r w:rsidR="00BD638F">
        <w:br/>
      </w:r>
      <w:r w:rsidR="00F94B12">
        <w:t>в государствах – участниках СНГ</w:t>
      </w:r>
      <w:bookmarkEnd w:id="11"/>
    </w:p>
    <w:p w:rsidR="0068434D" w:rsidRDefault="0068434D" w:rsidP="00FA59CA">
      <w:pPr>
        <w:spacing w:after="0" w:line="315"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 уже указывалось </w:t>
      </w:r>
      <w:r w:rsidR="00D53848">
        <w:rPr>
          <w:rFonts w:ascii="Times New Roman" w:eastAsia="Times New Roman" w:hAnsi="Times New Roman"/>
          <w:sz w:val="28"/>
          <w:szCs w:val="28"/>
          <w:lang w:eastAsia="ru-RU"/>
        </w:rPr>
        <w:t>ранее</w:t>
      </w:r>
      <w:r>
        <w:rPr>
          <w:rFonts w:ascii="Times New Roman" w:eastAsia="Times New Roman" w:hAnsi="Times New Roman"/>
          <w:sz w:val="28"/>
          <w:szCs w:val="28"/>
          <w:lang w:eastAsia="ru-RU"/>
        </w:rPr>
        <w:t>, цифровые рынки функционируют в глобальных географических границах. Пресечение антиконкурентных практик и формирование условий для развития конкуренции долж</w:t>
      </w:r>
      <w:r w:rsidR="00F94B12">
        <w:rPr>
          <w:rFonts w:ascii="Times New Roman" w:eastAsia="Times New Roman" w:hAnsi="Times New Roman"/>
          <w:sz w:val="28"/>
          <w:szCs w:val="28"/>
          <w:lang w:eastAsia="ru-RU"/>
        </w:rPr>
        <w:t>н</w:t>
      </w:r>
      <w:r w:rsidR="008C2AE0">
        <w:rPr>
          <w:rFonts w:ascii="Times New Roman" w:eastAsia="Times New Roman" w:hAnsi="Times New Roman"/>
          <w:sz w:val="28"/>
          <w:szCs w:val="28"/>
          <w:lang w:eastAsia="ru-RU"/>
        </w:rPr>
        <w:t>ы</w:t>
      </w:r>
      <w:r w:rsidR="00F94B12">
        <w:rPr>
          <w:rFonts w:ascii="Times New Roman" w:eastAsia="Times New Roman" w:hAnsi="Times New Roman"/>
          <w:sz w:val="28"/>
          <w:szCs w:val="28"/>
          <w:lang w:eastAsia="ru-RU"/>
        </w:rPr>
        <w:t xml:space="preserve"> осуществляться</w:t>
      </w:r>
      <w:r w:rsidR="004D2C9E">
        <w:rPr>
          <w:rFonts w:ascii="Times New Roman" w:eastAsia="Times New Roman" w:hAnsi="Times New Roman"/>
          <w:sz w:val="28"/>
          <w:szCs w:val="28"/>
          <w:lang w:eastAsia="ru-RU"/>
        </w:rPr>
        <w:t xml:space="preserve"> </w:t>
      </w:r>
      <w:r w:rsidR="00F94B12">
        <w:rPr>
          <w:rFonts w:ascii="Times New Roman" w:eastAsia="Times New Roman" w:hAnsi="Times New Roman"/>
          <w:sz w:val="28"/>
          <w:szCs w:val="28"/>
          <w:lang w:eastAsia="ru-RU"/>
        </w:rPr>
        <w:t>согласованно</w:t>
      </w:r>
      <w:r>
        <w:rPr>
          <w:rFonts w:ascii="Times New Roman" w:eastAsia="Times New Roman" w:hAnsi="Times New Roman"/>
          <w:sz w:val="28"/>
          <w:szCs w:val="28"/>
          <w:lang w:eastAsia="ru-RU"/>
        </w:rPr>
        <w:t xml:space="preserve"> как на уровне обмена информацией о практике правоприменения, так и путем проведения совместных или скоординированных расследований.</w:t>
      </w:r>
    </w:p>
    <w:p w:rsidR="0068434D" w:rsidRDefault="00D53848" w:rsidP="00FA59CA">
      <w:pPr>
        <w:pStyle w:val="3"/>
        <w:spacing w:line="315" w:lineRule="exact"/>
        <w:ind w:firstLine="0"/>
        <w:jc w:val="center"/>
      </w:pPr>
      <w:bookmarkStart w:id="12" w:name="_Toc526253882"/>
      <w:r>
        <w:t>2.</w:t>
      </w:r>
      <w:r w:rsidR="0068434D" w:rsidRPr="007D7ED3">
        <w:t>3.1.</w:t>
      </w:r>
      <w:r w:rsidR="00BD638F">
        <w:t> </w:t>
      </w:r>
      <w:r w:rsidR="0068434D" w:rsidRPr="007D7ED3">
        <w:t xml:space="preserve">Применение антимонопольного законодательства </w:t>
      </w:r>
      <w:r w:rsidR="00FA59CA">
        <w:br/>
      </w:r>
      <w:r w:rsidR="0068434D" w:rsidRPr="007D7ED3">
        <w:t>к</w:t>
      </w:r>
      <w:r w:rsidR="00F94B12">
        <w:t xml:space="preserve"> объектам интеллектуальных прав</w:t>
      </w:r>
      <w:bookmarkEnd w:id="12"/>
    </w:p>
    <w:p w:rsidR="0068434D" w:rsidRPr="00DF4197" w:rsidRDefault="0068434D" w:rsidP="00FA59CA">
      <w:pPr>
        <w:spacing w:after="0" w:line="315" w:lineRule="exact"/>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Современное состояние экономики показывает значимость объектов интеллектуальной собственности для развития конкуренции и обеспечения эффективного функционирования товарных рынков.</w:t>
      </w:r>
    </w:p>
    <w:p w:rsidR="0068434D" w:rsidRDefault="0068434D" w:rsidP="00FA59CA">
      <w:pPr>
        <w:spacing w:after="0" w:line="315" w:lineRule="exact"/>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 xml:space="preserve">В настоящее время практически отсутствуют отрасли экономики и товары, которые были бы </w:t>
      </w:r>
      <w:r w:rsidR="004D2C9E">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свободны</w:t>
      </w:r>
      <w:r w:rsidR="004D2C9E">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 от интеллектуальной собственности. </w:t>
      </w:r>
    </w:p>
    <w:p w:rsidR="0068434D" w:rsidRPr="00DF4197" w:rsidRDefault="0068434D" w:rsidP="00FA59CA">
      <w:pPr>
        <w:spacing w:after="0" w:line="315" w:lineRule="exact"/>
        <w:ind w:firstLine="709"/>
        <w:jc w:val="both"/>
        <w:rPr>
          <w:rFonts w:ascii="Times New Roman" w:eastAsia="Times New Roman" w:hAnsi="Times New Roman"/>
          <w:sz w:val="28"/>
          <w:szCs w:val="28"/>
          <w:lang w:eastAsia="ru-RU"/>
        </w:rPr>
      </w:pPr>
      <w:r w:rsidRPr="000E3CB5">
        <w:rPr>
          <w:rFonts w:ascii="Times New Roman" w:eastAsia="Times New Roman" w:hAnsi="Times New Roman"/>
          <w:sz w:val="28"/>
          <w:szCs w:val="28"/>
          <w:lang w:eastAsia="ru-RU"/>
        </w:rPr>
        <w:t>В современной экономике информация является важнейшим ресурсом. От доступа к информации и ее эффективного использования зависит сегодня эффективность любой отрасли экономики. Жестко разграничить объекты, охраняемые правом интеллектуальной собственности, от информации в чистом виде как совокупности данных в условиях информационного общества не представляется возможным. Объекты интеллектуальной собственности, по сути, являются информационными объектами и наряду с прочей информацией включены в общий процесс информационного обмена, без которого немыслимо современное общество.</w:t>
      </w:r>
    </w:p>
    <w:p w:rsidR="0068434D" w:rsidRDefault="0068434D" w:rsidP="00FA59CA">
      <w:pPr>
        <w:spacing w:after="0" w:line="315" w:lineRule="exact"/>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В современной экономике практически нет сфер, где не реализуется интеллектуальная деятельность. Результаты такой деятельности охраняются нормами права, причем такое регулирование и охрана носят более жесткий характер по отношению к охране и защите иных объектов гражданских прав, иных вещей, иных объектов собственности. Существование такой охраны определило интеллектуальную собственность фактически как легальную правовую монополию.</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66D80">
        <w:rPr>
          <w:rFonts w:ascii="Times New Roman" w:eastAsia="Times New Roman" w:hAnsi="Times New Roman"/>
          <w:sz w:val="28"/>
          <w:szCs w:val="28"/>
          <w:lang w:eastAsia="ru-RU"/>
        </w:rPr>
        <w:t xml:space="preserve">Цифровая трансформация рынка товаров приведет к значительному упрощению торговых процедур путем перехода в цифровую форму, активному использованию электронной торговли, а также к эффективной реализации и использованию механизмов </w:t>
      </w:r>
      <w:r w:rsidR="004D2C9E">
        <w:rPr>
          <w:rFonts w:ascii="Times New Roman" w:eastAsia="Times New Roman" w:hAnsi="Times New Roman"/>
          <w:sz w:val="28"/>
          <w:szCs w:val="28"/>
          <w:lang w:eastAsia="ru-RU"/>
        </w:rPr>
        <w:t>«</w:t>
      </w:r>
      <w:r w:rsidRPr="00D66D80">
        <w:rPr>
          <w:rFonts w:ascii="Times New Roman" w:eastAsia="Times New Roman" w:hAnsi="Times New Roman"/>
          <w:sz w:val="28"/>
          <w:szCs w:val="28"/>
          <w:lang w:eastAsia="ru-RU"/>
        </w:rPr>
        <w:t>единого окна</w:t>
      </w:r>
      <w:r w:rsidR="004D2C9E">
        <w:rPr>
          <w:rFonts w:ascii="Times New Roman" w:eastAsia="Times New Roman" w:hAnsi="Times New Roman"/>
          <w:sz w:val="28"/>
          <w:szCs w:val="28"/>
          <w:lang w:eastAsia="ru-RU"/>
        </w:rPr>
        <w:t>»</w:t>
      </w:r>
      <w:r w:rsidRPr="00D66D80">
        <w:rPr>
          <w:rFonts w:ascii="Times New Roman" w:eastAsia="Times New Roman" w:hAnsi="Times New Roman"/>
          <w:sz w:val="28"/>
          <w:szCs w:val="28"/>
          <w:lang w:eastAsia="ru-RU"/>
        </w:rPr>
        <w:t xml:space="preserve"> в сфере экономики. Это потребует не только проведения дальнейшей гармонизации в сфере правил ведения трансграничной электронной торговли, стимулирования ведения бизнеса в цифровой форме, но и координации действий в сфере защиты прав на объекты интеллектуальной собственности и прав потребителей цифрового рынка.</w:t>
      </w:r>
    </w:p>
    <w:p w:rsidR="0068434D" w:rsidRPr="00A13A36" w:rsidRDefault="0068434D" w:rsidP="004D2C9E">
      <w:pPr>
        <w:spacing w:after="0" w:line="240" w:lineRule="auto"/>
        <w:ind w:firstLine="709"/>
        <w:jc w:val="both"/>
        <w:rPr>
          <w:rFonts w:ascii="Times New Roman" w:eastAsia="Times New Roman" w:hAnsi="Times New Roman"/>
          <w:sz w:val="28"/>
          <w:szCs w:val="28"/>
          <w:lang w:eastAsia="ru-RU"/>
        </w:rPr>
      </w:pPr>
      <w:r w:rsidRPr="00A13A36">
        <w:rPr>
          <w:rFonts w:ascii="Times New Roman" w:eastAsia="Times New Roman" w:hAnsi="Times New Roman"/>
          <w:sz w:val="28"/>
          <w:szCs w:val="28"/>
          <w:lang w:eastAsia="ru-RU"/>
        </w:rPr>
        <w:t xml:space="preserve">В динамично развивающемся секторе информационных технологий защита исключительных прав занимает особое место. В сфере информационных технологий, телекоммуникаций, медиаиндустрии обладание исключительными правами нередко обеспечивает правообладателю доминирующее положение на рынке. Актуальна и другая тенденция: экономический успех новых достижений в сфере информационных технологий приводит к распространению правовой защиты на новые объекты. Режимы патентной и авторско-правовой защиты стали применяться к компьютерным программам, методам ведения бизнеса, базам данных, полупроводникам, биотехнологиям и т.д. Благодаря минимальным стандартам защиты, установленным Соглашением </w:t>
      </w:r>
      <w:r w:rsidR="008C2AE0" w:rsidRPr="008C2AE0">
        <w:rPr>
          <w:rFonts w:ascii="Times New Roman" w:eastAsia="Times New Roman" w:hAnsi="Times New Roman"/>
          <w:sz w:val="28"/>
          <w:szCs w:val="28"/>
          <w:lang w:eastAsia="ru-RU"/>
        </w:rPr>
        <w:t xml:space="preserve">по торговым аспектам прав интеллектуальной собственности </w:t>
      </w:r>
      <w:r w:rsidR="008C2AE0">
        <w:rPr>
          <w:rFonts w:ascii="Times New Roman" w:eastAsia="Times New Roman" w:hAnsi="Times New Roman"/>
          <w:sz w:val="28"/>
          <w:szCs w:val="28"/>
          <w:lang w:eastAsia="ru-RU"/>
        </w:rPr>
        <w:t>(</w:t>
      </w:r>
      <w:r w:rsidRPr="00A13A36">
        <w:rPr>
          <w:rFonts w:ascii="Times New Roman" w:eastAsia="Times New Roman" w:hAnsi="Times New Roman"/>
          <w:sz w:val="28"/>
          <w:szCs w:val="28"/>
          <w:lang w:eastAsia="ru-RU"/>
        </w:rPr>
        <w:t>ТРИПС</w:t>
      </w:r>
      <w:r w:rsidR="008C2AE0">
        <w:rPr>
          <w:rFonts w:ascii="Times New Roman" w:eastAsia="Times New Roman" w:hAnsi="Times New Roman"/>
          <w:sz w:val="28"/>
          <w:szCs w:val="28"/>
          <w:lang w:eastAsia="ru-RU"/>
        </w:rPr>
        <w:t>)</w:t>
      </w:r>
      <w:r w:rsidRPr="00A13A36">
        <w:rPr>
          <w:rFonts w:ascii="Times New Roman" w:eastAsia="Times New Roman" w:hAnsi="Times New Roman"/>
          <w:sz w:val="28"/>
          <w:szCs w:val="28"/>
          <w:lang w:eastAsia="ru-RU"/>
        </w:rPr>
        <w:t>, говорить можно также и о географической экспансии правовой защиты результатов интеллектуальной деятельности. Такое расширение и усиление правовой защиты обусловлен</w:t>
      </w:r>
      <w:r w:rsidR="008C2AE0">
        <w:rPr>
          <w:rFonts w:ascii="Times New Roman" w:eastAsia="Times New Roman" w:hAnsi="Times New Roman"/>
          <w:sz w:val="28"/>
          <w:szCs w:val="28"/>
          <w:lang w:eastAsia="ru-RU"/>
        </w:rPr>
        <w:t>ы</w:t>
      </w:r>
      <w:r w:rsidRPr="00A13A36">
        <w:rPr>
          <w:rFonts w:ascii="Times New Roman" w:eastAsia="Times New Roman" w:hAnsi="Times New Roman"/>
          <w:sz w:val="28"/>
          <w:szCs w:val="28"/>
          <w:lang w:eastAsia="ru-RU"/>
        </w:rPr>
        <w:t xml:space="preserve"> не только появлением новых легких способов </w:t>
      </w:r>
      <w:r w:rsidR="004D2C9E">
        <w:rPr>
          <w:rFonts w:ascii="Times New Roman" w:eastAsia="Times New Roman" w:hAnsi="Times New Roman"/>
          <w:sz w:val="28"/>
          <w:szCs w:val="28"/>
          <w:lang w:eastAsia="ru-RU"/>
        </w:rPr>
        <w:t>«</w:t>
      </w:r>
      <w:r w:rsidRPr="00A13A36">
        <w:rPr>
          <w:rFonts w:ascii="Times New Roman" w:eastAsia="Times New Roman" w:hAnsi="Times New Roman"/>
          <w:sz w:val="28"/>
          <w:szCs w:val="28"/>
          <w:lang w:eastAsia="ru-RU"/>
        </w:rPr>
        <w:t>заимствования</w:t>
      </w:r>
      <w:r w:rsidR="004D2C9E">
        <w:rPr>
          <w:rFonts w:ascii="Times New Roman" w:eastAsia="Times New Roman" w:hAnsi="Times New Roman"/>
          <w:sz w:val="28"/>
          <w:szCs w:val="28"/>
          <w:lang w:eastAsia="ru-RU"/>
        </w:rPr>
        <w:t>»</w:t>
      </w:r>
      <w:r w:rsidRPr="00A13A36">
        <w:rPr>
          <w:rFonts w:ascii="Times New Roman" w:eastAsia="Times New Roman" w:hAnsi="Times New Roman"/>
          <w:sz w:val="28"/>
          <w:szCs w:val="28"/>
          <w:lang w:eastAsia="ru-RU"/>
        </w:rPr>
        <w:t xml:space="preserve"> продуктов творчества, но также ключевой ролью, которую играют права на технологии в </w:t>
      </w:r>
      <w:r w:rsidR="004D2C9E">
        <w:rPr>
          <w:rFonts w:ascii="Times New Roman" w:eastAsia="Times New Roman" w:hAnsi="Times New Roman"/>
          <w:sz w:val="28"/>
          <w:szCs w:val="28"/>
          <w:lang w:eastAsia="ru-RU"/>
        </w:rPr>
        <w:t>«</w:t>
      </w:r>
      <w:r w:rsidRPr="00A13A36">
        <w:rPr>
          <w:rFonts w:ascii="Times New Roman" w:eastAsia="Times New Roman" w:hAnsi="Times New Roman"/>
          <w:sz w:val="28"/>
          <w:szCs w:val="28"/>
          <w:lang w:eastAsia="ru-RU"/>
        </w:rPr>
        <w:t>новой экономике</w:t>
      </w:r>
      <w:r w:rsidR="004D2C9E">
        <w:rPr>
          <w:rFonts w:ascii="Times New Roman" w:eastAsia="Times New Roman" w:hAnsi="Times New Roman"/>
          <w:sz w:val="28"/>
          <w:szCs w:val="28"/>
          <w:lang w:eastAsia="ru-RU"/>
        </w:rPr>
        <w:t>»</w:t>
      </w:r>
      <w:r w:rsidRPr="00A13A36">
        <w:rPr>
          <w:rFonts w:ascii="Times New Roman" w:eastAsia="Times New Roman" w:hAnsi="Times New Roman"/>
          <w:sz w:val="28"/>
          <w:szCs w:val="28"/>
          <w:lang w:eastAsia="ru-RU"/>
        </w:rPr>
        <w:t>.</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A13A36">
        <w:rPr>
          <w:rFonts w:ascii="Times New Roman" w:eastAsia="Times New Roman" w:hAnsi="Times New Roman"/>
          <w:sz w:val="28"/>
          <w:szCs w:val="28"/>
          <w:lang w:eastAsia="ru-RU"/>
        </w:rPr>
        <w:t xml:space="preserve">Перечисленные тенденции, хотя и вызваны стремлением решить возникающие проблемы, приносят с собой новые проблемы и новые риски. Например, обладание исключительным правом на технологии, которые стали общепризнанным стандартом, нередко позволяет компаниям-производителям контролировать как процесс усовершенствования стандарта, так и производство основанных на нем продуктов и приложений. </w:t>
      </w:r>
      <w:r w:rsidRPr="00DF4197">
        <w:rPr>
          <w:rFonts w:ascii="Times New Roman" w:eastAsia="Times New Roman" w:hAnsi="Times New Roman"/>
          <w:sz w:val="28"/>
          <w:szCs w:val="28"/>
          <w:lang w:eastAsia="ru-RU"/>
        </w:rPr>
        <w:t>Но сфера публичных интересов с учетом современного рынка, рынка, основанного на интеллектуальной собственности, на информационных технологиях</w:t>
      </w:r>
      <w:r w:rsidR="008C2AE0">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 не может быть ограничена.</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Такая сфера интересов включает интересы обороны и безопасности страны и государства, жизнь и здоровье граждан, защиту конкуренции, свободное перемещение товаров и единство экономического пространства.</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Вопросы соотношения частного интереса (частного права), абсолютизированные в исключительных правах на интеллектуальную собственность, и публичного интереса, обеспечивающего рыночную экономику как таковую и существование демократического государства в целом</w:t>
      </w:r>
      <w:r w:rsidR="00B41D71">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 уже сейчас вызывают множество научных дискуссий.</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Решению именно этих вопросов во многих отраслях права будут посвящены ближайшие исследования и разработки.</w:t>
      </w:r>
    </w:p>
    <w:p w:rsidR="0068434D" w:rsidRPr="00524937" w:rsidRDefault="0068434D" w:rsidP="004D2C9E">
      <w:pPr>
        <w:pStyle w:val="4"/>
      </w:pPr>
      <w:r w:rsidRPr="00524937">
        <w:t>Республика Беларусь</w:t>
      </w:r>
    </w:p>
    <w:p w:rsidR="0068434D" w:rsidRPr="00524937" w:rsidRDefault="0068434D" w:rsidP="004D2C9E">
      <w:pPr>
        <w:spacing w:after="0" w:line="240" w:lineRule="auto"/>
        <w:ind w:firstLine="709"/>
        <w:jc w:val="both"/>
        <w:rPr>
          <w:rFonts w:ascii="Times New Roman" w:eastAsia="Times New Roman" w:hAnsi="Times New Roman"/>
          <w:sz w:val="28"/>
          <w:szCs w:val="28"/>
          <w:lang w:eastAsia="ru-RU"/>
        </w:rPr>
      </w:pPr>
      <w:r w:rsidRPr="00524937">
        <w:rPr>
          <w:rFonts w:ascii="Times New Roman" w:eastAsia="Times New Roman" w:hAnsi="Times New Roman"/>
          <w:sz w:val="28"/>
          <w:szCs w:val="28"/>
          <w:lang w:eastAsia="ru-RU"/>
        </w:rPr>
        <w:t>До настоящего времени в антимонопольном закон</w:t>
      </w:r>
      <w:r w:rsidR="00B41D71">
        <w:rPr>
          <w:rFonts w:ascii="Times New Roman" w:eastAsia="Times New Roman" w:hAnsi="Times New Roman"/>
          <w:sz w:val="28"/>
          <w:szCs w:val="28"/>
          <w:lang w:eastAsia="ru-RU"/>
        </w:rPr>
        <w:t>одательстве Республики Беларусь</w:t>
      </w:r>
      <w:r w:rsidRPr="00524937">
        <w:rPr>
          <w:rFonts w:ascii="Times New Roman" w:eastAsia="Times New Roman" w:hAnsi="Times New Roman"/>
          <w:sz w:val="28"/>
          <w:szCs w:val="28"/>
          <w:lang w:eastAsia="ru-RU"/>
        </w:rPr>
        <w:t xml:space="preserve"> так же, как и в Российской Федерации, отсутствуют специальные правила применения запретов на монополистическую деятельность, которые бы учитывали особенности интеллектуальной собственности. </w:t>
      </w:r>
    </w:p>
    <w:p w:rsidR="0068434D" w:rsidRPr="00CF6C98" w:rsidRDefault="0068434D" w:rsidP="00CF6C98">
      <w:pPr>
        <w:pStyle w:val="af8"/>
        <w:rPr>
          <w:rFonts w:eastAsia="Times New Roman"/>
          <w:lang w:eastAsia="ru-RU"/>
        </w:rPr>
      </w:pPr>
      <w:r w:rsidRPr="00CF6C98">
        <w:rPr>
          <w:rFonts w:eastAsia="Times New Roman"/>
          <w:lang w:eastAsia="ru-RU"/>
        </w:rPr>
        <w:t xml:space="preserve">Так, статья </w:t>
      </w:r>
      <w:r w:rsidR="006A5352">
        <w:rPr>
          <w:rFonts w:eastAsia="Times New Roman"/>
          <w:lang w:eastAsia="ru-RU"/>
        </w:rPr>
        <w:t>21</w:t>
      </w:r>
      <w:r w:rsidRPr="00CF6C98">
        <w:rPr>
          <w:rFonts w:eastAsia="Times New Roman"/>
          <w:lang w:eastAsia="ru-RU"/>
        </w:rPr>
        <w:t xml:space="preserve"> Закона Республики Беларусь от 12 декабря 2013 года </w:t>
      </w:r>
      <w:r w:rsidR="00FD65C1" w:rsidRPr="00CF6C98">
        <w:rPr>
          <w:rFonts w:eastAsia="Times New Roman"/>
          <w:lang w:eastAsia="ru-RU"/>
        </w:rPr>
        <w:br/>
      </w:r>
      <w:r w:rsidR="004D2C9E" w:rsidRPr="00965C04">
        <w:rPr>
          <w:rFonts w:eastAsia="Times New Roman"/>
          <w:spacing w:val="-4"/>
          <w:lang w:eastAsia="ru-RU"/>
        </w:rPr>
        <w:t>«</w:t>
      </w:r>
      <w:r w:rsidRPr="00965C04">
        <w:rPr>
          <w:rFonts w:eastAsia="Times New Roman"/>
          <w:spacing w:val="-4"/>
          <w:lang w:eastAsia="ru-RU"/>
        </w:rPr>
        <w:t>О противодействии монополистической деятельности и развитии конкуренции</w:t>
      </w:r>
      <w:r w:rsidR="004D2C9E" w:rsidRPr="00CF6C98">
        <w:rPr>
          <w:rFonts w:eastAsia="Times New Roman"/>
          <w:lang w:eastAsia="ru-RU"/>
        </w:rPr>
        <w:t>»</w:t>
      </w:r>
      <w:r w:rsidRPr="00CF6C98">
        <w:rPr>
          <w:rFonts w:eastAsia="Times New Roman"/>
          <w:lang w:eastAsia="ru-RU"/>
        </w:rPr>
        <w:t>, которая устанавливает запрет на ограничивающие конкуренцию соглашения, согласованные действия хозяйствующих субъектов, содержит исключение относительно распространения этих запретов на соглашения об осуществлении исключительных прав на результаты интеллектуальной деятельности, а также на средства индивидуализации участников гражданского оборота, товаров.</w:t>
      </w:r>
    </w:p>
    <w:p w:rsidR="0068434D" w:rsidRPr="00524937" w:rsidRDefault="0068434D" w:rsidP="004D2C9E">
      <w:pPr>
        <w:spacing w:after="0" w:line="240" w:lineRule="auto"/>
        <w:ind w:firstLine="709"/>
        <w:jc w:val="both"/>
        <w:rPr>
          <w:rFonts w:ascii="Times New Roman" w:eastAsia="Times New Roman" w:hAnsi="Times New Roman"/>
          <w:sz w:val="28"/>
          <w:szCs w:val="28"/>
          <w:lang w:eastAsia="ru-RU"/>
        </w:rPr>
      </w:pPr>
      <w:r w:rsidRPr="00524937">
        <w:rPr>
          <w:rFonts w:ascii="Times New Roman" w:eastAsia="Times New Roman" w:hAnsi="Times New Roman"/>
          <w:sz w:val="28"/>
          <w:szCs w:val="28"/>
          <w:lang w:eastAsia="ru-RU"/>
        </w:rPr>
        <w:t>Статья 1</w:t>
      </w:r>
      <w:r w:rsidR="006A5352">
        <w:rPr>
          <w:rFonts w:ascii="Times New Roman" w:eastAsia="Times New Roman" w:hAnsi="Times New Roman"/>
          <w:sz w:val="28"/>
          <w:szCs w:val="28"/>
          <w:lang w:eastAsia="ru-RU"/>
        </w:rPr>
        <w:t>8</w:t>
      </w:r>
      <w:r w:rsidRPr="00524937">
        <w:rPr>
          <w:rFonts w:ascii="Times New Roman" w:eastAsia="Times New Roman" w:hAnsi="Times New Roman"/>
          <w:sz w:val="28"/>
          <w:szCs w:val="28"/>
          <w:lang w:eastAsia="ru-RU"/>
        </w:rPr>
        <w:t xml:space="preserve"> Закона в отличие от </w:t>
      </w:r>
      <w:r w:rsidR="006A5352">
        <w:rPr>
          <w:rFonts w:ascii="Times New Roman" w:eastAsia="Times New Roman" w:hAnsi="Times New Roman"/>
          <w:sz w:val="28"/>
          <w:szCs w:val="28"/>
          <w:lang w:eastAsia="ru-RU"/>
        </w:rPr>
        <w:t>Федерального закона «О защите конкуренции»</w:t>
      </w:r>
      <w:r w:rsidRPr="00524937">
        <w:rPr>
          <w:rFonts w:ascii="Times New Roman" w:eastAsia="Times New Roman" w:hAnsi="Times New Roman"/>
          <w:sz w:val="28"/>
          <w:szCs w:val="28"/>
          <w:lang w:eastAsia="ru-RU"/>
        </w:rPr>
        <w:t xml:space="preserve"> (часть 4 статьи 10) не содержит подобных исключений в отношении действий по осуществлению исключительных прав. </w:t>
      </w:r>
    </w:p>
    <w:p w:rsidR="0068434D" w:rsidRPr="00524937" w:rsidRDefault="0068434D" w:rsidP="004D2C9E">
      <w:pPr>
        <w:spacing w:after="0" w:line="240" w:lineRule="auto"/>
        <w:ind w:firstLine="709"/>
        <w:jc w:val="both"/>
        <w:rPr>
          <w:rFonts w:ascii="Times New Roman" w:eastAsia="Times New Roman" w:hAnsi="Times New Roman"/>
          <w:sz w:val="28"/>
          <w:szCs w:val="28"/>
          <w:lang w:eastAsia="ru-RU"/>
        </w:rPr>
      </w:pPr>
      <w:r w:rsidRPr="00524937">
        <w:rPr>
          <w:rFonts w:ascii="Times New Roman" w:eastAsia="Times New Roman" w:hAnsi="Times New Roman"/>
          <w:sz w:val="28"/>
          <w:szCs w:val="28"/>
          <w:lang w:eastAsia="ru-RU"/>
        </w:rPr>
        <w:t>Подобного рода исключения создают преимущества правообладателям в ущерб развитию конкуренции на товарных рынках.</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sidRPr="00524937">
        <w:rPr>
          <w:rFonts w:ascii="Times New Roman" w:eastAsia="Times New Roman" w:hAnsi="Times New Roman"/>
          <w:sz w:val="28"/>
          <w:szCs w:val="28"/>
          <w:lang w:eastAsia="ru-RU"/>
        </w:rPr>
        <w:t>Для устранения возможности использования хозяйствующими субъектами данных преимуществ необходимо внесение изменений в действующую редакцию Закона, которые позволят применять запреты, содержащиеся в статях 1</w:t>
      </w:r>
      <w:r w:rsidR="006A5352">
        <w:rPr>
          <w:rFonts w:ascii="Times New Roman" w:eastAsia="Times New Roman" w:hAnsi="Times New Roman"/>
          <w:sz w:val="28"/>
          <w:szCs w:val="28"/>
          <w:lang w:eastAsia="ru-RU"/>
        </w:rPr>
        <w:t>8</w:t>
      </w:r>
      <w:r w:rsidRPr="00524937">
        <w:rPr>
          <w:rFonts w:ascii="Times New Roman" w:eastAsia="Times New Roman" w:hAnsi="Times New Roman"/>
          <w:sz w:val="28"/>
          <w:szCs w:val="28"/>
          <w:lang w:eastAsia="ru-RU"/>
        </w:rPr>
        <w:t xml:space="preserve">, </w:t>
      </w:r>
      <w:r w:rsidR="006A5352">
        <w:rPr>
          <w:rFonts w:ascii="Times New Roman" w:eastAsia="Times New Roman" w:hAnsi="Times New Roman"/>
          <w:sz w:val="28"/>
          <w:szCs w:val="28"/>
          <w:lang w:eastAsia="ru-RU"/>
        </w:rPr>
        <w:t>21</w:t>
      </w:r>
      <w:r w:rsidR="00B41D71">
        <w:rPr>
          <w:rFonts w:ascii="Times New Roman" w:eastAsia="Times New Roman" w:hAnsi="Times New Roman"/>
          <w:sz w:val="28"/>
          <w:szCs w:val="28"/>
          <w:lang w:eastAsia="ru-RU"/>
        </w:rPr>
        <w:t>,</w:t>
      </w:r>
      <w:r w:rsidRPr="00524937">
        <w:rPr>
          <w:rFonts w:ascii="Times New Roman" w:eastAsia="Times New Roman" w:hAnsi="Times New Roman"/>
          <w:sz w:val="28"/>
          <w:szCs w:val="28"/>
          <w:lang w:eastAsia="ru-RU"/>
        </w:rPr>
        <w:t xml:space="preserve"> на действия (бездействия) и соглашения с использованием исключительных прав на результаты интеллектуальной деятельности.</w:t>
      </w:r>
    </w:p>
    <w:p w:rsidR="002306CA" w:rsidRPr="002306CA" w:rsidRDefault="002306CA" w:rsidP="004D2C9E">
      <w:pPr>
        <w:pStyle w:val="4"/>
        <w:rPr>
          <w:lang w:eastAsia="ru-RU"/>
        </w:rPr>
      </w:pPr>
      <w:r>
        <w:rPr>
          <w:lang w:eastAsia="ru-RU"/>
        </w:rPr>
        <w:t>Республика Казахстан</w:t>
      </w:r>
    </w:p>
    <w:p w:rsidR="002306CA" w:rsidRPr="002306CA" w:rsidRDefault="002306CA" w:rsidP="004D2C9E">
      <w:pPr>
        <w:spacing w:after="0" w:line="240" w:lineRule="auto"/>
        <w:ind w:firstLine="709"/>
        <w:jc w:val="both"/>
        <w:rPr>
          <w:rFonts w:ascii="Times New Roman" w:eastAsia="Times New Roman" w:hAnsi="Times New Roman"/>
          <w:sz w:val="28"/>
          <w:szCs w:val="28"/>
          <w:lang w:eastAsia="ru-RU"/>
        </w:rPr>
      </w:pPr>
      <w:r w:rsidRPr="002306CA">
        <w:rPr>
          <w:rFonts w:ascii="Times New Roman" w:eastAsia="Times New Roman" w:hAnsi="Times New Roman"/>
          <w:sz w:val="28"/>
          <w:szCs w:val="28"/>
          <w:lang w:eastAsia="ru-RU"/>
        </w:rPr>
        <w:t xml:space="preserve">В антимонопольном законодательстве Республики Казахстан также отсутствуют специальные правила применения запретов на монополистическую деятельность, которые бы учитывали особенности интеллектуальной собственности. </w:t>
      </w:r>
    </w:p>
    <w:p w:rsidR="002306CA" w:rsidRPr="00965C04" w:rsidRDefault="002306CA" w:rsidP="004D2C9E">
      <w:pPr>
        <w:spacing w:after="0" w:line="240" w:lineRule="auto"/>
        <w:ind w:firstLine="709"/>
        <w:jc w:val="both"/>
        <w:rPr>
          <w:rFonts w:ascii="Times New Roman" w:eastAsia="Times New Roman" w:hAnsi="Times New Roman"/>
          <w:spacing w:val="-4"/>
          <w:sz w:val="28"/>
          <w:szCs w:val="28"/>
          <w:lang w:eastAsia="ru-RU"/>
        </w:rPr>
      </w:pPr>
      <w:r w:rsidRPr="00965C04">
        <w:rPr>
          <w:rFonts w:ascii="Times New Roman" w:eastAsia="Times New Roman" w:hAnsi="Times New Roman"/>
          <w:spacing w:val="-4"/>
          <w:sz w:val="28"/>
          <w:szCs w:val="28"/>
          <w:lang w:eastAsia="ru-RU"/>
        </w:rPr>
        <w:t xml:space="preserve">В частности, до недавнего времени запрет на заключение антиконкурентных соглашений не распространялся на заключаемые соглашения об осуществлении исключительных прав на результаты интеллектуальной собственности. В связи с </w:t>
      </w:r>
      <w:r w:rsidR="008625AA" w:rsidRPr="00965C04">
        <w:rPr>
          <w:rFonts w:ascii="Times New Roman" w:eastAsia="Times New Roman" w:hAnsi="Times New Roman"/>
          <w:spacing w:val="-4"/>
          <w:sz w:val="28"/>
          <w:szCs w:val="28"/>
          <w:lang w:eastAsia="ru-RU"/>
        </w:rPr>
        <w:t>этим</w:t>
      </w:r>
      <w:r w:rsidRPr="00965C04">
        <w:rPr>
          <w:rFonts w:ascii="Times New Roman" w:eastAsia="Times New Roman" w:hAnsi="Times New Roman"/>
          <w:spacing w:val="-4"/>
          <w:sz w:val="28"/>
          <w:szCs w:val="28"/>
          <w:lang w:eastAsia="ru-RU"/>
        </w:rPr>
        <w:t xml:space="preserve"> действия правообладателя, приводящие к ограничению конкуренции</w:t>
      </w:r>
      <w:r w:rsidR="00560777" w:rsidRPr="00965C04">
        <w:rPr>
          <w:rFonts w:ascii="Times New Roman" w:eastAsia="Times New Roman" w:hAnsi="Times New Roman"/>
          <w:spacing w:val="-4"/>
          <w:sz w:val="28"/>
          <w:szCs w:val="28"/>
          <w:lang w:eastAsia="ru-RU"/>
        </w:rPr>
        <w:t>,</w:t>
      </w:r>
      <w:r w:rsidRPr="00965C04">
        <w:rPr>
          <w:rFonts w:ascii="Times New Roman" w:eastAsia="Times New Roman" w:hAnsi="Times New Roman"/>
          <w:spacing w:val="-4"/>
          <w:sz w:val="28"/>
          <w:szCs w:val="28"/>
          <w:lang w:eastAsia="ru-RU"/>
        </w:rPr>
        <w:t xml:space="preserve"> не могли быть рассмотрены антимонопольным органом на предмет нарушений антимонопольного законодательства, что могло привести к тому, что в отношении антиконкурентных соглашений, заключенных, к примеру, в форме лицензионного договора, не могли быть применены меры антимонопольного реагирования. </w:t>
      </w:r>
    </w:p>
    <w:p w:rsidR="002306CA" w:rsidRDefault="00624A55"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Вместе с тем</w:t>
      </w:r>
      <w:r w:rsidR="002306CA" w:rsidRPr="002306CA">
        <w:rPr>
          <w:rFonts w:ascii="Times New Roman" w:eastAsia="Times New Roman" w:hAnsi="Times New Roman"/>
          <w:sz w:val="28"/>
          <w:szCs w:val="28"/>
          <w:lang w:eastAsia="ru-RU"/>
        </w:rPr>
        <w:t xml:space="preserve"> в рамках имплементации 53-го шага </w:t>
      </w:r>
      <w:r w:rsidR="004D2C9E">
        <w:rPr>
          <w:rFonts w:ascii="Times New Roman" w:eastAsia="Times New Roman" w:hAnsi="Times New Roman"/>
          <w:sz w:val="28"/>
          <w:szCs w:val="28"/>
          <w:lang w:eastAsia="ru-RU"/>
        </w:rPr>
        <w:t>«</w:t>
      </w:r>
      <w:r w:rsidR="002306CA" w:rsidRPr="002306CA">
        <w:rPr>
          <w:rFonts w:ascii="Times New Roman" w:eastAsia="Times New Roman" w:hAnsi="Times New Roman"/>
          <w:sz w:val="28"/>
          <w:szCs w:val="28"/>
          <w:lang w:eastAsia="ru-RU"/>
        </w:rPr>
        <w:t>Изменение концепции работы антимонопольной службы и ее приведение в соответствие со стандартами ОЭСР</w:t>
      </w:r>
      <w:r w:rsidR="004D2C9E">
        <w:rPr>
          <w:rFonts w:ascii="Times New Roman" w:eastAsia="Times New Roman" w:hAnsi="Times New Roman"/>
          <w:sz w:val="28"/>
          <w:szCs w:val="28"/>
          <w:lang w:eastAsia="ru-RU"/>
        </w:rPr>
        <w:t>»</w:t>
      </w:r>
      <w:r w:rsidR="002306CA" w:rsidRPr="002306CA">
        <w:rPr>
          <w:rFonts w:ascii="Times New Roman" w:eastAsia="Times New Roman" w:hAnsi="Times New Roman"/>
          <w:sz w:val="28"/>
          <w:szCs w:val="28"/>
          <w:lang w:eastAsia="ru-RU"/>
        </w:rPr>
        <w:t xml:space="preserve"> Плана нации по реализации пяти институциональных реформ </w:t>
      </w:r>
      <w:r w:rsidR="004D2C9E">
        <w:rPr>
          <w:rFonts w:ascii="Times New Roman" w:eastAsia="Times New Roman" w:hAnsi="Times New Roman"/>
          <w:sz w:val="28"/>
          <w:szCs w:val="28"/>
          <w:lang w:eastAsia="ru-RU"/>
        </w:rPr>
        <w:t>«</w:t>
      </w:r>
      <w:r w:rsidR="002306CA" w:rsidRPr="002306CA">
        <w:rPr>
          <w:rFonts w:ascii="Times New Roman" w:eastAsia="Times New Roman" w:hAnsi="Times New Roman"/>
          <w:sz w:val="28"/>
          <w:szCs w:val="28"/>
          <w:lang w:eastAsia="ru-RU"/>
        </w:rPr>
        <w:t>Сто конкретных шагов</w:t>
      </w:r>
      <w:r w:rsidR="004D2C9E">
        <w:rPr>
          <w:rFonts w:ascii="Times New Roman" w:eastAsia="Times New Roman" w:hAnsi="Times New Roman"/>
          <w:sz w:val="28"/>
          <w:szCs w:val="28"/>
          <w:lang w:eastAsia="ru-RU"/>
        </w:rPr>
        <w:t>»</w:t>
      </w:r>
      <w:r w:rsidR="002306CA" w:rsidRPr="002306CA">
        <w:rPr>
          <w:rFonts w:ascii="Times New Roman" w:eastAsia="Times New Roman" w:hAnsi="Times New Roman"/>
          <w:sz w:val="28"/>
          <w:szCs w:val="28"/>
          <w:lang w:eastAsia="ru-RU"/>
        </w:rPr>
        <w:t xml:space="preserve"> Главы государст</w:t>
      </w:r>
      <w:r w:rsidR="00F94B12">
        <w:rPr>
          <w:rFonts w:ascii="Times New Roman" w:eastAsia="Times New Roman" w:hAnsi="Times New Roman"/>
          <w:sz w:val="28"/>
          <w:szCs w:val="28"/>
          <w:lang w:eastAsia="ru-RU"/>
        </w:rPr>
        <w:t xml:space="preserve">ва </w:t>
      </w:r>
      <w:r>
        <w:rPr>
          <w:rFonts w:ascii="Times New Roman" w:eastAsia="Times New Roman" w:hAnsi="Times New Roman"/>
          <w:sz w:val="28"/>
          <w:szCs w:val="28"/>
          <w:lang w:eastAsia="ru-RU"/>
        </w:rPr>
        <w:t>Нурсултана</w:t>
      </w:r>
      <w:r w:rsidR="002306CA" w:rsidRPr="002306CA">
        <w:rPr>
          <w:rFonts w:ascii="Times New Roman" w:eastAsia="Times New Roman" w:hAnsi="Times New Roman"/>
          <w:sz w:val="28"/>
          <w:szCs w:val="28"/>
          <w:lang w:eastAsia="ru-RU"/>
        </w:rPr>
        <w:t xml:space="preserve"> Назарбаева, с 1 января 2017</w:t>
      </w:r>
      <w:r w:rsidR="00F94B12">
        <w:rPr>
          <w:rFonts w:ascii="Times New Roman" w:eastAsia="Times New Roman" w:hAnsi="Times New Roman"/>
          <w:sz w:val="28"/>
          <w:szCs w:val="28"/>
          <w:lang w:eastAsia="ru-RU"/>
        </w:rPr>
        <w:t xml:space="preserve"> года</w:t>
      </w:r>
      <w:r w:rsidR="002306CA" w:rsidRPr="002306CA">
        <w:rPr>
          <w:rFonts w:ascii="Times New Roman" w:eastAsia="Times New Roman" w:hAnsi="Times New Roman"/>
          <w:sz w:val="28"/>
          <w:szCs w:val="28"/>
          <w:lang w:eastAsia="ru-RU"/>
        </w:rPr>
        <w:t xml:space="preserve"> вступили в силу поправки в отношении предусмотренных изъятий по антиконкурентным соглашениям, в том числе в отношении соглашений об осуществлении исключительных прав. Так, если соглашения об осуществлении исключительных прав на объекты интеллектуальной собственности носят антиконкурентный характер и могут создавать угрозу для конкуренции, то к ним уже могут быть применены меры антимонопольного реагирования.</w:t>
      </w:r>
    </w:p>
    <w:p w:rsidR="0068434D" w:rsidRPr="00524937" w:rsidRDefault="0068434D" w:rsidP="004D2C9E">
      <w:pPr>
        <w:pStyle w:val="4"/>
        <w:rPr>
          <w:lang w:eastAsia="ru-RU"/>
        </w:rPr>
      </w:pPr>
      <w:r w:rsidRPr="00524937">
        <w:rPr>
          <w:lang w:eastAsia="ru-RU"/>
        </w:rPr>
        <w:t>Российская Федерация</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DF4197">
        <w:rPr>
          <w:rFonts w:ascii="Times New Roman" w:eastAsia="Times New Roman" w:hAnsi="Times New Roman"/>
          <w:sz w:val="28"/>
          <w:szCs w:val="28"/>
          <w:lang w:eastAsia="ru-RU"/>
        </w:rPr>
        <w:t xml:space="preserve">о настоящего времени в </w:t>
      </w:r>
      <w:r>
        <w:rPr>
          <w:rFonts w:ascii="Times New Roman" w:eastAsia="Times New Roman" w:hAnsi="Times New Roman"/>
          <w:sz w:val="28"/>
          <w:szCs w:val="28"/>
          <w:lang w:eastAsia="ru-RU"/>
        </w:rPr>
        <w:t xml:space="preserve">российском </w:t>
      </w:r>
      <w:r w:rsidRPr="00DF4197">
        <w:rPr>
          <w:rFonts w:ascii="Times New Roman" w:eastAsia="Times New Roman" w:hAnsi="Times New Roman"/>
          <w:sz w:val="28"/>
          <w:szCs w:val="28"/>
          <w:lang w:eastAsia="ru-RU"/>
        </w:rPr>
        <w:t xml:space="preserve">антимонопольном законодательстве отсутствуют специальные правила применения запретов на монополистическую деятельность, которые бы учитывали особенности интеллектуальной собственности. </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При этом</w:t>
      </w:r>
      <w:r>
        <w:rPr>
          <w:rFonts w:ascii="Times New Roman" w:eastAsia="Times New Roman" w:hAnsi="Times New Roman"/>
          <w:sz w:val="28"/>
          <w:szCs w:val="28"/>
          <w:lang w:eastAsia="ru-RU"/>
        </w:rPr>
        <w:t xml:space="preserve"> в Российской Федерации</w:t>
      </w:r>
      <w:r w:rsidRPr="00DF4197">
        <w:rPr>
          <w:rFonts w:ascii="Times New Roman" w:eastAsia="Times New Roman" w:hAnsi="Times New Roman"/>
          <w:sz w:val="28"/>
          <w:szCs w:val="28"/>
          <w:lang w:eastAsia="ru-RU"/>
        </w:rPr>
        <w:t xml:space="preserve"> отсутствует единое понимание содержания исключений, установленных часть</w:t>
      </w:r>
      <w:r w:rsidR="008625AA">
        <w:rPr>
          <w:rFonts w:ascii="Times New Roman" w:eastAsia="Times New Roman" w:hAnsi="Times New Roman"/>
          <w:sz w:val="28"/>
          <w:szCs w:val="28"/>
          <w:lang w:eastAsia="ru-RU"/>
        </w:rPr>
        <w:t>ю</w:t>
      </w:r>
      <w:r w:rsidRPr="00DF4197">
        <w:rPr>
          <w:rFonts w:ascii="Times New Roman" w:eastAsia="Times New Roman" w:hAnsi="Times New Roman"/>
          <w:sz w:val="28"/>
          <w:szCs w:val="28"/>
          <w:lang w:eastAsia="ru-RU"/>
        </w:rPr>
        <w:t xml:space="preserve"> 4 статьи 10 и частью 9 статьи 11 </w:t>
      </w:r>
      <w:r w:rsidR="008625AA" w:rsidRPr="008625AA">
        <w:rPr>
          <w:rFonts w:ascii="Times New Roman" w:eastAsia="Times New Roman" w:hAnsi="Times New Roman"/>
          <w:sz w:val="28"/>
          <w:szCs w:val="28"/>
          <w:lang w:eastAsia="ru-RU"/>
        </w:rPr>
        <w:t>Федеральн</w:t>
      </w:r>
      <w:r w:rsidR="008625AA">
        <w:rPr>
          <w:rFonts w:ascii="Times New Roman" w:eastAsia="Times New Roman" w:hAnsi="Times New Roman"/>
          <w:sz w:val="28"/>
          <w:szCs w:val="28"/>
          <w:lang w:eastAsia="ru-RU"/>
        </w:rPr>
        <w:t>ого</w:t>
      </w:r>
      <w:r w:rsidR="008625AA" w:rsidRPr="008625AA">
        <w:rPr>
          <w:rFonts w:ascii="Times New Roman" w:eastAsia="Times New Roman" w:hAnsi="Times New Roman"/>
          <w:sz w:val="28"/>
          <w:szCs w:val="28"/>
          <w:lang w:eastAsia="ru-RU"/>
        </w:rPr>
        <w:t xml:space="preserve"> закон</w:t>
      </w:r>
      <w:r w:rsidR="008625AA">
        <w:rPr>
          <w:rFonts w:ascii="Times New Roman" w:eastAsia="Times New Roman" w:hAnsi="Times New Roman"/>
          <w:sz w:val="28"/>
          <w:szCs w:val="28"/>
          <w:lang w:eastAsia="ru-RU"/>
        </w:rPr>
        <w:t>а</w:t>
      </w:r>
      <w:r w:rsidR="008625AA" w:rsidRPr="008625AA">
        <w:rPr>
          <w:rFonts w:ascii="Times New Roman" w:eastAsia="Times New Roman" w:hAnsi="Times New Roman"/>
          <w:sz w:val="28"/>
          <w:szCs w:val="28"/>
          <w:lang w:eastAsia="ru-RU"/>
        </w:rPr>
        <w:t xml:space="preserve"> </w:t>
      </w:r>
      <w:r w:rsidR="00555E97">
        <w:rPr>
          <w:rFonts w:ascii="Times New Roman" w:eastAsia="Times New Roman" w:hAnsi="Times New Roman"/>
          <w:sz w:val="28"/>
          <w:szCs w:val="28"/>
          <w:lang w:eastAsia="ru-RU"/>
        </w:rPr>
        <w:t>«</w:t>
      </w:r>
      <w:r w:rsidR="008625AA" w:rsidRPr="008625AA">
        <w:rPr>
          <w:rFonts w:ascii="Times New Roman" w:eastAsia="Times New Roman" w:hAnsi="Times New Roman"/>
          <w:sz w:val="28"/>
          <w:szCs w:val="28"/>
          <w:lang w:eastAsia="ru-RU"/>
        </w:rPr>
        <w:t>О защите конкуренции</w:t>
      </w:r>
      <w:r w:rsidR="00555E97">
        <w:rPr>
          <w:rFonts w:ascii="Times New Roman" w:eastAsia="Times New Roman" w:hAnsi="Times New Roman"/>
          <w:sz w:val="28"/>
          <w:szCs w:val="28"/>
          <w:lang w:eastAsia="ru-RU"/>
        </w:rPr>
        <w:t>»</w:t>
      </w:r>
      <w:r w:rsidR="008625AA">
        <w:rPr>
          <w:rFonts w:ascii="Times New Roman" w:eastAsia="Times New Roman" w:hAnsi="Times New Roman"/>
          <w:sz w:val="28"/>
          <w:szCs w:val="28"/>
          <w:lang w:eastAsia="ru-RU"/>
        </w:rPr>
        <w:t>.</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 xml:space="preserve">Часть специалистов придерживается мнения, и эта точка зрения в настоящее время поддерживается судами, </w:t>
      </w:r>
      <w:r w:rsidR="008625AA">
        <w:rPr>
          <w:rFonts w:ascii="Times New Roman" w:eastAsia="Times New Roman" w:hAnsi="Times New Roman"/>
          <w:sz w:val="28"/>
          <w:szCs w:val="28"/>
          <w:lang w:eastAsia="ru-RU"/>
        </w:rPr>
        <w:t>что должно осуществляться</w:t>
      </w:r>
      <w:r w:rsidRPr="00DF4197">
        <w:rPr>
          <w:rFonts w:ascii="Times New Roman" w:eastAsia="Times New Roman" w:hAnsi="Times New Roman"/>
          <w:sz w:val="28"/>
          <w:szCs w:val="28"/>
          <w:lang w:eastAsia="ru-RU"/>
        </w:rPr>
        <w:t xml:space="preserve"> разграничение между воздействием правообладателя на товарный рынок и реализацией им своего исключительного права.</w:t>
      </w:r>
      <w:r w:rsidR="004D2C9E">
        <w:rPr>
          <w:rFonts w:ascii="Times New Roman" w:eastAsia="Times New Roman" w:hAnsi="Times New Roman"/>
          <w:sz w:val="28"/>
          <w:szCs w:val="28"/>
          <w:lang w:eastAsia="ru-RU"/>
        </w:rPr>
        <w:t xml:space="preserve"> </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Другая часть специалистов считает, что данные нормы предоставляют глобальный иммунитет от антимонопольных ограничений для всех отношений, которые связаны с интеллектуальной собственностью.</w:t>
      </w:r>
    </w:p>
    <w:p w:rsidR="0068434D" w:rsidRPr="00DF4197" w:rsidRDefault="008625AA"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Однако</w:t>
      </w:r>
      <w:r w:rsidR="0068434D" w:rsidRPr="00DF4197">
        <w:rPr>
          <w:rFonts w:ascii="Times New Roman" w:eastAsia="Times New Roman" w:hAnsi="Times New Roman"/>
          <w:sz w:val="28"/>
          <w:szCs w:val="28"/>
          <w:lang w:eastAsia="ru-RU"/>
        </w:rPr>
        <w:t xml:space="preserve"> ни Конституция Российской Федерации, ни отраслевое законодательство не содержат нормы, которые придавали бы интеллектуальным правам статус большего блага, чем правам и свободам, относящимся к предпринимательской деятельности и конкуренции. Поэтому законодательство об интеллектуальных правах в такой же степени должно учитывать особенности, ценности и функции конкуренции. Следовательно, речь может идти лишь о достижении баланса между двумя отраслями законодательства, но не о подчинении антимонопольного законодательства целям защиты интересов правообладателя.</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Большинство сов</w:t>
      </w:r>
      <w:r w:rsidR="008625AA">
        <w:rPr>
          <w:rFonts w:ascii="Times New Roman" w:eastAsia="Times New Roman" w:hAnsi="Times New Roman"/>
          <w:sz w:val="28"/>
          <w:szCs w:val="28"/>
          <w:lang w:eastAsia="ru-RU"/>
        </w:rPr>
        <w:t>ременных рыночных экономик строя</w:t>
      </w:r>
      <w:r w:rsidRPr="00DF4197">
        <w:rPr>
          <w:rFonts w:ascii="Times New Roman" w:eastAsia="Times New Roman" w:hAnsi="Times New Roman"/>
          <w:sz w:val="28"/>
          <w:szCs w:val="28"/>
          <w:lang w:eastAsia="ru-RU"/>
        </w:rPr>
        <w:t>т систему своего регулирования объектов интеллектуальной собственности исходя из приоритета защиты публичных интересов (защиты конкуренции) перед частными интересами правообладателей.</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Такое регулирование основывается на положениях статьи 40 Соглашения по торговым аспектам прав интеллектуальной собственности (ТРИПС/TRIPS), предусматривающей право государств самостоятельно закреплять в национальном законодательстве виды лицензионной практики, которые способны выразиться в злоупотреблениях правами на результаты интеллектуальной деятельности и оказывать неблагоприятное воздействие на конкуренцию на соответствующем товарном рынке.</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 xml:space="preserve">В развитие указанных положений международного права многие государства определили порядок применения антимонопольного законодательства к действиям и соглашениям по использованию исключительных прав на результаты интеллектуальной деятельности (Антимонопольные разъяснения о лицензировании интеллектуальной собственности, подготовленные Федеральной торговой комиссией и Министерством юстиции США в 1995 году; Положение Европейской </w:t>
      </w:r>
      <w:r w:rsidR="00624A55">
        <w:rPr>
          <w:rFonts w:ascii="Times New Roman" w:eastAsia="Times New Roman" w:hAnsi="Times New Roman"/>
          <w:sz w:val="28"/>
          <w:szCs w:val="28"/>
          <w:lang w:eastAsia="ru-RU"/>
        </w:rPr>
        <w:t>к</w:t>
      </w:r>
      <w:r w:rsidRPr="00DF4197">
        <w:rPr>
          <w:rFonts w:ascii="Times New Roman" w:eastAsia="Times New Roman" w:hAnsi="Times New Roman"/>
          <w:sz w:val="28"/>
          <w:szCs w:val="28"/>
          <w:lang w:eastAsia="ru-RU"/>
        </w:rPr>
        <w:t>омиссии от 21</w:t>
      </w:r>
      <w:r w:rsidR="00F94B12">
        <w:rPr>
          <w:rFonts w:ascii="Times New Roman" w:eastAsia="Times New Roman" w:hAnsi="Times New Roman"/>
          <w:sz w:val="28"/>
          <w:szCs w:val="28"/>
          <w:lang w:eastAsia="ru-RU"/>
        </w:rPr>
        <w:t xml:space="preserve"> марта </w:t>
      </w:r>
      <w:r w:rsidRPr="00DF4197">
        <w:rPr>
          <w:rFonts w:ascii="Times New Roman" w:eastAsia="Times New Roman" w:hAnsi="Times New Roman"/>
          <w:sz w:val="28"/>
          <w:szCs w:val="28"/>
          <w:lang w:eastAsia="ru-RU"/>
        </w:rPr>
        <w:t>2014</w:t>
      </w:r>
      <w:r w:rsidR="00F94B12">
        <w:rPr>
          <w:rFonts w:ascii="Times New Roman" w:eastAsia="Times New Roman" w:hAnsi="Times New Roman"/>
          <w:sz w:val="28"/>
          <w:szCs w:val="28"/>
          <w:lang w:eastAsia="ru-RU"/>
        </w:rPr>
        <w:t xml:space="preserve"> года</w:t>
      </w:r>
      <w:r w:rsidR="004D2C9E">
        <w:rPr>
          <w:rFonts w:ascii="Times New Roman" w:eastAsia="Times New Roman" w:hAnsi="Times New Roman"/>
          <w:sz w:val="28"/>
          <w:szCs w:val="28"/>
          <w:lang w:eastAsia="ru-RU"/>
        </w:rPr>
        <w:t xml:space="preserve"> </w:t>
      </w:r>
      <w:r w:rsidR="00E720B2">
        <w:rPr>
          <w:rFonts w:ascii="Times New Roman" w:eastAsia="Times New Roman" w:hAnsi="Times New Roman"/>
          <w:sz w:val="28"/>
          <w:szCs w:val="28"/>
          <w:lang w:eastAsia="ru-RU"/>
        </w:rPr>
        <w:t>№ </w:t>
      </w:r>
      <w:r w:rsidRPr="00DF4197">
        <w:rPr>
          <w:rFonts w:ascii="Times New Roman" w:eastAsia="Times New Roman" w:hAnsi="Times New Roman"/>
          <w:sz w:val="28"/>
          <w:szCs w:val="28"/>
          <w:lang w:eastAsia="ru-RU"/>
        </w:rPr>
        <w:t xml:space="preserve">316/2014 </w:t>
      </w:r>
      <w:r w:rsidR="004D2C9E">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О применении </w:t>
      </w:r>
      <w:r w:rsidR="00624A55">
        <w:rPr>
          <w:rFonts w:ascii="Times New Roman" w:eastAsia="Times New Roman" w:hAnsi="Times New Roman"/>
          <w:sz w:val="28"/>
          <w:szCs w:val="28"/>
          <w:lang w:eastAsia="ru-RU"/>
        </w:rPr>
        <w:t>с</w:t>
      </w:r>
      <w:r w:rsidRPr="00DF4197">
        <w:rPr>
          <w:rFonts w:ascii="Times New Roman" w:eastAsia="Times New Roman" w:hAnsi="Times New Roman"/>
          <w:sz w:val="28"/>
          <w:szCs w:val="28"/>
          <w:lang w:eastAsia="ru-RU"/>
        </w:rPr>
        <w:t xml:space="preserve">татьи 101(3) Соглашения о функционировании Европейского </w:t>
      </w:r>
      <w:r w:rsidR="00624A55">
        <w:rPr>
          <w:rFonts w:ascii="Times New Roman" w:eastAsia="Times New Roman" w:hAnsi="Times New Roman"/>
          <w:sz w:val="28"/>
          <w:szCs w:val="28"/>
          <w:lang w:eastAsia="ru-RU"/>
        </w:rPr>
        <w:t>с</w:t>
      </w:r>
      <w:r w:rsidRPr="00DF4197">
        <w:rPr>
          <w:rFonts w:ascii="Times New Roman" w:eastAsia="Times New Roman" w:hAnsi="Times New Roman"/>
          <w:sz w:val="28"/>
          <w:szCs w:val="28"/>
          <w:lang w:eastAsia="ru-RU"/>
        </w:rPr>
        <w:t>оюза к категориям соглашений о передаче технологий</w:t>
      </w:r>
      <w:r w:rsidR="004D2C9E">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Разъяснения об использовании интеллектуальной собственности в соответствии с Антимонопольным актом, подготовленные Комиссией по честной торговле Японии в 2007 году, и др.).</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Как отмечается в постановлении Пленума Высшего Арбитражного Суда Российской Федерации от 30</w:t>
      </w:r>
      <w:r w:rsidR="00F94B12">
        <w:rPr>
          <w:rFonts w:ascii="Times New Roman" w:eastAsia="Times New Roman" w:hAnsi="Times New Roman"/>
          <w:sz w:val="28"/>
          <w:szCs w:val="28"/>
          <w:lang w:eastAsia="ru-RU"/>
        </w:rPr>
        <w:t xml:space="preserve"> июня </w:t>
      </w:r>
      <w:r w:rsidRPr="00DF4197">
        <w:rPr>
          <w:rFonts w:ascii="Times New Roman" w:eastAsia="Times New Roman" w:hAnsi="Times New Roman"/>
          <w:sz w:val="28"/>
          <w:szCs w:val="28"/>
          <w:lang w:eastAsia="ru-RU"/>
        </w:rPr>
        <w:t>2008</w:t>
      </w:r>
      <w:r w:rsidR="00F94B12">
        <w:rPr>
          <w:rFonts w:ascii="Times New Roman" w:eastAsia="Times New Roman" w:hAnsi="Times New Roman"/>
          <w:sz w:val="28"/>
          <w:szCs w:val="28"/>
          <w:lang w:eastAsia="ru-RU"/>
        </w:rPr>
        <w:t xml:space="preserve"> года</w:t>
      </w:r>
      <w:r w:rsidRPr="00DF4197">
        <w:rPr>
          <w:rFonts w:ascii="Times New Roman" w:eastAsia="Times New Roman" w:hAnsi="Times New Roman"/>
          <w:sz w:val="28"/>
          <w:szCs w:val="28"/>
          <w:lang w:eastAsia="ru-RU"/>
        </w:rPr>
        <w:t xml:space="preserve"> </w:t>
      </w:r>
      <w:r w:rsidR="00E720B2">
        <w:rPr>
          <w:rFonts w:ascii="Times New Roman" w:eastAsia="Times New Roman" w:hAnsi="Times New Roman"/>
          <w:sz w:val="28"/>
          <w:szCs w:val="28"/>
          <w:lang w:eastAsia="ru-RU"/>
        </w:rPr>
        <w:t>№ </w:t>
      </w:r>
      <w:r w:rsidRPr="00DF4197">
        <w:rPr>
          <w:rFonts w:ascii="Times New Roman" w:eastAsia="Times New Roman" w:hAnsi="Times New Roman"/>
          <w:sz w:val="28"/>
          <w:szCs w:val="28"/>
          <w:lang w:eastAsia="ru-RU"/>
        </w:rPr>
        <w:t xml:space="preserve">30 </w:t>
      </w:r>
      <w:r w:rsidR="004D2C9E">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О некоторых вопросах, возникающих в связи с применением арбитражными судами антимонопольного законодательства</w:t>
      </w:r>
      <w:r w:rsidR="004D2C9E">
        <w:rPr>
          <w:rFonts w:ascii="Times New Roman" w:eastAsia="Times New Roman" w:hAnsi="Times New Roman"/>
          <w:sz w:val="28"/>
          <w:szCs w:val="28"/>
          <w:lang w:eastAsia="ru-RU"/>
        </w:rPr>
        <w:t>»</w:t>
      </w:r>
      <w:r w:rsidR="00C06E4F">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 статья 10 Гражданского кодекса Российской Федерации, запрещающая использование гражданских прав в целях ограничен</w:t>
      </w:r>
      <w:r w:rsidR="00624A55">
        <w:rPr>
          <w:rFonts w:ascii="Times New Roman" w:eastAsia="Times New Roman" w:hAnsi="Times New Roman"/>
          <w:sz w:val="28"/>
          <w:szCs w:val="28"/>
          <w:lang w:eastAsia="ru-RU"/>
        </w:rPr>
        <w:t>ия конкуренции и злоупотребления</w:t>
      </w:r>
      <w:r w:rsidRPr="00DF4197">
        <w:rPr>
          <w:rFonts w:ascii="Times New Roman" w:eastAsia="Times New Roman" w:hAnsi="Times New Roman"/>
          <w:sz w:val="28"/>
          <w:szCs w:val="28"/>
          <w:lang w:eastAsia="ru-RU"/>
        </w:rPr>
        <w:t xml:space="preserve"> доминирующим положением на рынке, относится к нормам Гражданского кодекса Российской Федерации, на которых основано антимонопольное законодательство, а существующие в Законе </w:t>
      </w:r>
      <w:r w:rsidR="00903F7A">
        <w:rPr>
          <w:rFonts w:ascii="Times New Roman" w:eastAsia="Times New Roman" w:hAnsi="Times New Roman"/>
          <w:sz w:val="28"/>
          <w:szCs w:val="28"/>
          <w:lang w:eastAsia="ru-RU"/>
        </w:rPr>
        <w:br/>
      </w:r>
      <w:r w:rsidR="00624A55">
        <w:rPr>
          <w:rFonts w:ascii="Times New Roman" w:eastAsia="Times New Roman" w:hAnsi="Times New Roman"/>
          <w:sz w:val="28"/>
          <w:szCs w:val="28"/>
          <w:lang w:eastAsia="ru-RU"/>
        </w:rPr>
        <w:t>«О</w:t>
      </w:r>
      <w:r w:rsidRPr="00DF4197">
        <w:rPr>
          <w:rFonts w:ascii="Times New Roman" w:eastAsia="Times New Roman" w:hAnsi="Times New Roman"/>
          <w:sz w:val="28"/>
          <w:szCs w:val="28"/>
          <w:lang w:eastAsia="ru-RU"/>
        </w:rPr>
        <w:t xml:space="preserve"> защите конкуренции</w:t>
      </w:r>
      <w:r w:rsidR="00624A55">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 ограничения представляют </w:t>
      </w:r>
      <w:r w:rsidR="00C06E4F">
        <w:rPr>
          <w:rFonts w:ascii="Times New Roman" w:eastAsia="Times New Roman" w:hAnsi="Times New Roman"/>
          <w:sz w:val="28"/>
          <w:szCs w:val="28"/>
          <w:lang w:eastAsia="ru-RU"/>
        </w:rPr>
        <w:t>собой</w:t>
      </w:r>
      <w:r w:rsidRPr="00DF4197">
        <w:rPr>
          <w:rFonts w:ascii="Times New Roman" w:eastAsia="Times New Roman" w:hAnsi="Times New Roman"/>
          <w:sz w:val="28"/>
          <w:szCs w:val="28"/>
          <w:lang w:eastAsia="ru-RU"/>
        </w:rPr>
        <w:t xml:space="preserve"> детализацию общего запрета злоупотребления правом, установленного</w:t>
      </w:r>
      <w:r w:rsidR="006730FB">
        <w:rPr>
          <w:rFonts w:ascii="Times New Roman" w:eastAsia="Times New Roman" w:hAnsi="Times New Roman"/>
          <w:sz w:val="28"/>
          <w:szCs w:val="28"/>
          <w:lang w:eastAsia="ru-RU"/>
        </w:rPr>
        <w:t xml:space="preserve"> указанной</w:t>
      </w:r>
      <w:r w:rsidRPr="00DF4197">
        <w:rPr>
          <w:rFonts w:ascii="Times New Roman" w:eastAsia="Times New Roman" w:hAnsi="Times New Roman"/>
          <w:sz w:val="28"/>
          <w:szCs w:val="28"/>
          <w:lang w:eastAsia="ru-RU"/>
        </w:rPr>
        <w:t xml:space="preserve"> статьей.</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 xml:space="preserve">Согласно части 4 статьи 10 </w:t>
      </w:r>
      <w:r w:rsidR="00C06E4F">
        <w:rPr>
          <w:rFonts w:ascii="Times New Roman" w:eastAsia="Times New Roman" w:hAnsi="Times New Roman"/>
          <w:sz w:val="28"/>
          <w:szCs w:val="28"/>
          <w:lang w:eastAsia="ru-RU"/>
        </w:rPr>
        <w:t>Федерального з</w:t>
      </w:r>
      <w:r w:rsidRPr="00DF4197">
        <w:rPr>
          <w:rFonts w:ascii="Times New Roman" w:eastAsia="Times New Roman" w:hAnsi="Times New Roman"/>
          <w:sz w:val="28"/>
          <w:szCs w:val="28"/>
          <w:lang w:eastAsia="ru-RU"/>
        </w:rPr>
        <w:t xml:space="preserve">акона </w:t>
      </w:r>
      <w:r w:rsidR="00C06E4F">
        <w:rPr>
          <w:rFonts w:ascii="Times New Roman" w:eastAsia="Times New Roman" w:hAnsi="Times New Roman"/>
          <w:sz w:val="28"/>
          <w:szCs w:val="28"/>
          <w:lang w:eastAsia="ru-RU"/>
        </w:rPr>
        <w:t>«О</w:t>
      </w:r>
      <w:r w:rsidRPr="00DF4197">
        <w:rPr>
          <w:rFonts w:ascii="Times New Roman" w:eastAsia="Times New Roman" w:hAnsi="Times New Roman"/>
          <w:sz w:val="28"/>
          <w:szCs w:val="28"/>
          <w:lang w:eastAsia="ru-RU"/>
        </w:rPr>
        <w:t xml:space="preserve"> защите конкуренции</w:t>
      </w:r>
      <w:r w:rsidR="00C06E4F">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 запрет злоупотребления доминирующим положением не распространяется на действия по осуществлению исключительных прав. Схожая оговорка имеется и в отношении антиконкурентных соглашений: часть 9 статьи 11 </w:t>
      </w:r>
      <w:r w:rsidR="00C06E4F" w:rsidRPr="00C06E4F">
        <w:rPr>
          <w:rFonts w:ascii="Times New Roman" w:eastAsia="Times New Roman" w:hAnsi="Times New Roman"/>
          <w:sz w:val="28"/>
          <w:szCs w:val="28"/>
          <w:lang w:eastAsia="ru-RU"/>
        </w:rPr>
        <w:t>Федерального закона «О защите конкуренции»</w:t>
      </w:r>
      <w:r w:rsidR="00C06E4F">
        <w:rPr>
          <w:rFonts w:ascii="Times New Roman" w:eastAsia="Times New Roman" w:hAnsi="Times New Roman"/>
          <w:sz w:val="28"/>
          <w:szCs w:val="28"/>
          <w:lang w:eastAsia="ru-RU"/>
        </w:rPr>
        <w:t xml:space="preserve"> </w:t>
      </w:r>
      <w:r w:rsidRPr="00DF4197">
        <w:rPr>
          <w:rFonts w:ascii="Times New Roman" w:eastAsia="Times New Roman" w:hAnsi="Times New Roman"/>
          <w:sz w:val="28"/>
          <w:szCs w:val="28"/>
          <w:lang w:eastAsia="ru-RU"/>
        </w:rPr>
        <w:t>указывает следующее: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965C04">
        <w:rPr>
          <w:rFonts w:ascii="Times New Roman" w:eastAsia="Times New Roman" w:hAnsi="Times New Roman"/>
          <w:spacing w:val="-2"/>
          <w:sz w:val="28"/>
          <w:szCs w:val="28"/>
          <w:lang w:eastAsia="ru-RU"/>
        </w:rPr>
        <w:t>Это создает необоснованные преимущества правообладателям (</w:t>
      </w:r>
      <w:r w:rsidR="00C06E4F" w:rsidRPr="00965C04">
        <w:rPr>
          <w:rFonts w:ascii="Times New Roman" w:eastAsia="Times New Roman" w:hAnsi="Times New Roman"/>
          <w:spacing w:val="-2"/>
          <w:sz w:val="28"/>
          <w:szCs w:val="28"/>
          <w:lang w:eastAsia="ru-RU"/>
        </w:rPr>
        <w:t>в основном</w:t>
      </w:r>
      <w:r w:rsidRPr="00DF4197">
        <w:rPr>
          <w:rFonts w:ascii="Times New Roman" w:eastAsia="Times New Roman" w:hAnsi="Times New Roman"/>
          <w:sz w:val="28"/>
          <w:szCs w:val="28"/>
          <w:lang w:eastAsia="ru-RU"/>
        </w:rPr>
        <w:t xml:space="preserve"> иностранным компаниям) в ущерб развитию конкуренции на товарных рынках.</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Нормы антимонопольного законодательства не предполаг</w:t>
      </w:r>
      <w:r w:rsidR="00C06E4F">
        <w:rPr>
          <w:rFonts w:ascii="Times New Roman" w:eastAsia="Times New Roman" w:hAnsi="Times New Roman"/>
          <w:sz w:val="28"/>
          <w:szCs w:val="28"/>
          <w:lang w:eastAsia="ru-RU"/>
        </w:rPr>
        <w:t>ают возможность правообладателя</w:t>
      </w:r>
      <w:r w:rsidRPr="00DF4197">
        <w:rPr>
          <w:rFonts w:ascii="Times New Roman" w:eastAsia="Times New Roman" w:hAnsi="Times New Roman"/>
          <w:sz w:val="28"/>
          <w:szCs w:val="28"/>
          <w:lang w:eastAsia="ru-RU"/>
        </w:rPr>
        <w:t xml:space="preserve"> как лица, которому принадлежат права на нематериальный объект, ограничить конкуренцию на товарном рынке, определяемом как сфера обращения товара.</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 xml:space="preserve">В последнее время в практике ФАС России </w:t>
      </w:r>
      <w:r w:rsidR="005752E1" w:rsidRPr="005752E1">
        <w:rPr>
          <w:rFonts w:ascii="Times New Roman" w:eastAsia="Times New Roman" w:hAnsi="Times New Roman"/>
          <w:sz w:val="28"/>
          <w:szCs w:val="28"/>
          <w:lang w:eastAsia="ru-RU"/>
        </w:rPr>
        <w:t xml:space="preserve">расследуется </w:t>
      </w:r>
      <w:r w:rsidRPr="00DF4197">
        <w:rPr>
          <w:rFonts w:ascii="Times New Roman" w:eastAsia="Times New Roman" w:hAnsi="Times New Roman"/>
          <w:sz w:val="28"/>
          <w:szCs w:val="28"/>
          <w:lang w:eastAsia="ru-RU"/>
        </w:rPr>
        <w:t>все больше дел, в которых ответчики предпринимают попытки использовать исключения, обосновывая свои антиконкурентные действия ссылками на исключения, связанные с осуществлением исключительных прав на результаты интеллектуальной деятельности.</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Так</w:t>
      </w:r>
      <w:r w:rsidR="005752E1">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 в деле, возбужденном по признакам нарушения пункта 5 части 1 статьи 10 </w:t>
      </w:r>
      <w:r w:rsidR="005752E1">
        <w:rPr>
          <w:rFonts w:ascii="Times New Roman" w:eastAsia="Times New Roman" w:hAnsi="Times New Roman"/>
          <w:sz w:val="28"/>
          <w:szCs w:val="28"/>
          <w:lang w:eastAsia="ru-RU"/>
        </w:rPr>
        <w:t>Федерального з</w:t>
      </w:r>
      <w:r w:rsidRPr="00DF4197">
        <w:rPr>
          <w:rFonts w:ascii="Times New Roman" w:eastAsia="Times New Roman" w:hAnsi="Times New Roman"/>
          <w:sz w:val="28"/>
          <w:szCs w:val="28"/>
          <w:lang w:eastAsia="ru-RU"/>
        </w:rPr>
        <w:t xml:space="preserve">акона </w:t>
      </w:r>
      <w:r w:rsidR="005752E1">
        <w:rPr>
          <w:rFonts w:ascii="Times New Roman" w:eastAsia="Times New Roman" w:hAnsi="Times New Roman"/>
          <w:sz w:val="28"/>
          <w:szCs w:val="28"/>
          <w:lang w:eastAsia="ru-RU"/>
        </w:rPr>
        <w:t>«О</w:t>
      </w:r>
      <w:r w:rsidRPr="00DF4197">
        <w:rPr>
          <w:rFonts w:ascii="Times New Roman" w:eastAsia="Times New Roman" w:hAnsi="Times New Roman"/>
          <w:sz w:val="28"/>
          <w:szCs w:val="28"/>
          <w:lang w:eastAsia="ru-RU"/>
        </w:rPr>
        <w:t xml:space="preserve"> защите конкуренции</w:t>
      </w:r>
      <w:r w:rsidR="005752E1">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 Teva Pharmaceutical Industries Ltd., связанном с уклонением (отказами) поставки лекарственного средства </w:t>
      </w:r>
      <w:r w:rsidR="004D2C9E">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Копаксон</w:t>
      </w:r>
      <w:r w:rsidR="004D2C9E">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компания ссылалась на то, что на нее не могут распространяться положения антимонопольного законодательства ввиду обладания товарным знаком на лекарственное средство. Следует отметить, что позиция ФАС России по данному делу не была поддержана судом первой инстанции и нашла свое подтверждение только в актах апелляционной, кассационной и надзорной инстанци</w:t>
      </w:r>
      <w:r w:rsidR="005752E1">
        <w:rPr>
          <w:rFonts w:ascii="Times New Roman" w:eastAsia="Times New Roman" w:hAnsi="Times New Roman"/>
          <w:sz w:val="28"/>
          <w:szCs w:val="28"/>
          <w:lang w:eastAsia="ru-RU"/>
        </w:rPr>
        <w:t>ях</w:t>
      </w:r>
      <w:r w:rsidRPr="00DF4197">
        <w:rPr>
          <w:rFonts w:ascii="Times New Roman" w:eastAsia="Times New Roman" w:hAnsi="Times New Roman"/>
          <w:sz w:val="28"/>
          <w:szCs w:val="28"/>
          <w:lang w:eastAsia="ru-RU"/>
        </w:rPr>
        <w:t xml:space="preserve"> (</w:t>
      </w:r>
      <w:r w:rsidR="00555E97">
        <w:rPr>
          <w:rFonts w:ascii="Times New Roman" w:eastAsia="Times New Roman" w:hAnsi="Times New Roman"/>
          <w:sz w:val="28"/>
          <w:szCs w:val="28"/>
          <w:lang w:eastAsia="ru-RU"/>
        </w:rPr>
        <w:t>п</w:t>
      </w:r>
      <w:r w:rsidRPr="00DF4197">
        <w:rPr>
          <w:rFonts w:ascii="Times New Roman" w:eastAsia="Times New Roman" w:hAnsi="Times New Roman"/>
          <w:sz w:val="28"/>
          <w:szCs w:val="28"/>
          <w:lang w:eastAsia="ru-RU"/>
        </w:rPr>
        <w:t xml:space="preserve">остановление Президиума </w:t>
      </w:r>
      <w:r w:rsidR="005752E1" w:rsidRPr="005752E1">
        <w:rPr>
          <w:rFonts w:ascii="Times New Roman" w:eastAsia="Times New Roman" w:hAnsi="Times New Roman"/>
          <w:sz w:val="28"/>
          <w:szCs w:val="28"/>
          <w:lang w:eastAsia="ru-RU"/>
        </w:rPr>
        <w:t>Верховного Суда</w:t>
      </w:r>
      <w:r w:rsidRPr="00DF4197">
        <w:rPr>
          <w:rFonts w:ascii="Times New Roman" w:eastAsia="Times New Roman" w:hAnsi="Times New Roman"/>
          <w:sz w:val="28"/>
          <w:szCs w:val="28"/>
          <w:lang w:eastAsia="ru-RU"/>
        </w:rPr>
        <w:t xml:space="preserve"> </w:t>
      </w:r>
      <w:r w:rsidR="005752E1" w:rsidRPr="005752E1">
        <w:rPr>
          <w:rFonts w:ascii="Times New Roman" w:eastAsia="Times New Roman" w:hAnsi="Times New Roman"/>
          <w:sz w:val="28"/>
          <w:szCs w:val="28"/>
          <w:lang w:eastAsia="ru-RU"/>
        </w:rPr>
        <w:t>Российской Федерации</w:t>
      </w:r>
      <w:r w:rsidRPr="00DF4197">
        <w:rPr>
          <w:rFonts w:ascii="Times New Roman" w:eastAsia="Times New Roman" w:hAnsi="Times New Roman"/>
          <w:sz w:val="28"/>
          <w:szCs w:val="28"/>
          <w:lang w:eastAsia="ru-RU"/>
        </w:rPr>
        <w:t xml:space="preserve"> </w:t>
      </w:r>
      <w:r w:rsidR="00555E97" w:rsidRPr="00555E97">
        <w:rPr>
          <w:rFonts w:ascii="Times New Roman" w:eastAsia="Times New Roman" w:hAnsi="Times New Roman"/>
          <w:sz w:val="28"/>
          <w:szCs w:val="28"/>
          <w:lang w:eastAsia="ru-RU"/>
        </w:rPr>
        <w:t>от 9</w:t>
      </w:r>
      <w:r w:rsidR="00555E97">
        <w:rPr>
          <w:rFonts w:ascii="Times New Roman" w:eastAsia="Times New Roman" w:hAnsi="Times New Roman"/>
          <w:sz w:val="28"/>
          <w:szCs w:val="28"/>
          <w:lang w:eastAsia="ru-RU"/>
        </w:rPr>
        <w:t xml:space="preserve"> ноября </w:t>
      </w:r>
      <w:r w:rsidR="00555E97" w:rsidRPr="00555E97">
        <w:rPr>
          <w:rFonts w:ascii="Times New Roman" w:eastAsia="Times New Roman" w:hAnsi="Times New Roman"/>
          <w:sz w:val="28"/>
          <w:szCs w:val="28"/>
          <w:lang w:eastAsia="ru-RU"/>
        </w:rPr>
        <w:t>2015 г</w:t>
      </w:r>
      <w:r w:rsidR="00555E97">
        <w:rPr>
          <w:rFonts w:ascii="Times New Roman" w:eastAsia="Times New Roman" w:hAnsi="Times New Roman"/>
          <w:sz w:val="28"/>
          <w:szCs w:val="28"/>
          <w:lang w:eastAsia="ru-RU"/>
        </w:rPr>
        <w:t xml:space="preserve">ода </w:t>
      </w:r>
      <w:r w:rsidR="00E720B2">
        <w:rPr>
          <w:rFonts w:ascii="Times New Roman" w:eastAsia="Times New Roman" w:hAnsi="Times New Roman"/>
          <w:sz w:val="28"/>
          <w:szCs w:val="28"/>
          <w:lang w:eastAsia="ru-RU"/>
        </w:rPr>
        <w:t>№ </w:t>
      </w:r>
      <w:r w:rsidRPr="00DF4197">
        <w:rPr>
          <w:rFonts w:ascii="Times New Roman" w:eastAsia="Times New Roman" w:hAnsi="Times New Roman"/>
          <w:sz w:val="28"/>
          <w:szCs w:val="28"/>
          <w:lang w:eastAsia="ru-RU"/>
        </w:rPr>
        <w:t xml:space="preserve">305-КГ15-7123 по делу </w:t>
      </w:r>
      <w:r w:rsidR="00965C04">
        <w:rPr>
          <w:rFonts w:ascii="Times New Roman" w:eastAsia="Times New Roman" w:hAnsi="Times New Roman"/>
          <w:sz w:val="28"/>
          <w:szCs w:val="28"/>
          <w:lang w:eastAsia="ru-RU"/>
        </w:rPr>
        <w:br/>
      </w:r>
      <w:r w:rsidR="00E720B2">
        <w:rPr>
          <w:rFonts w:ascii="Times New Roman" w:eastAsia="Times New Roman" w:hAnsi="Times New Roman"/>
          <w:sz w:val="28"/>
          <w:szCs w:val="28"/>
          <w:lang w:eastAsia="ru-RU"/>
        </w:rPr>
        <w:t>№ </w:t>
      </w:r>
      <w:r w:rsidRPr="00DF4197">
        <w:rPr>
          <w:rFonts w:ascii="Times New Roman" w:eastAsia="Times New Roman" w:hAnsi="Times New Roman"/>
          <w:sz w:val="28"/>
          <w:szCs w:val="28"/>
          <w:lang w:eastAsia="ru-RU"/>
        </w:rPr>
        <w:t>А40-42997/2014).</w:t>
      </w:r>
    </w:p>
    <w:p w:rsidR="0068434D" w:rsidRPr="004B066E" w:rsidRDefault="0068434D" w:rsidP="004B066E">
      <w:pPr>
        <w:pStyle w:val="af8"/>
        <w:rPr>
          <w:rFonts w:eastAsia="Times New Roman"/>
          <w:lang w:eastAsia="ru-RU"/>
        </w:rPr>
      </w:pPr>
      <w:r w:rsidRPr="004B066E">
        <w:rPr>
          <w:rFonts w:eastAsia="Times New Roman"/>
          <w:lang w:eastAsia="ru-RU"/>
        </w:rPr>
        <w:t>В деле в отношении компании Google Inc., рассмотренному по признакам злоупотребления доминирующим положением, антимонопольный орган также доказывал в судебных инстанциях, что</w:t>
      </w:r>
      <w:r w:rsidR="00911A7F" w:rsidRPr="004B066E">
        <w:rPr>
          <w:rFonts w:eastAsia="Times New Roman"/>
          <w:lang w:eastAsia="ru-RU"/>
        </w:rPr>
        <w:t>,</w:t>
      </w:r>
      <w:r w:rsidRPr="004B066E">
        <w:rPr>
          <w:rFonts w:eastAsia="Times New Roman"/>
          <w:lang w:eastAsia="ru-RU"/>
        </w:rPr>
        <w:t xml:space="preserve"> поскольку договоры компании являются смешанными, условия, не относимые к лицензионным, должны соответствовать установленным антимонопольным законодательством требованиям (постановление </w:t>
      </w:r>
      <w:r w:rsidR="00BD30E1" w:rsidRPr="004B066E">
        <w:rPr>
          <w:rFonts w:eastAsia="Times New Roman"/>
          <w:lang w:eastAsia="ru-RU"/>
        </w:rPr>
        <w:t>Девятого</w:t>
      </w:r>
      <w:r w:rsidRPr="004B066E">
        <w:rPr>
          <w:rFonts w:eastAsia="Times New Roman"/>
          <w:lang w:eastAsia="ru-RU"/>
        </w:rPr>
        <w:t xml:space="preserve"> арбитражного апелляционного суда по делу </w:t>
      </w:r>
      <w:r w:rsidR="00E720B2" w:rsidRPr="004B066E">
        <w:rPr>
          <w:rFonts w:eastAsia="Times New Roman"/>
          <w:lang w:eastAsia="ru-RU"/>
        </w:rPr>
        <w:t>№ </w:t>
      </w:r>
      <w:r w:rsidRPr="004B066E">
        <w:rPr>
          <w:rFonts w:eastAsia="Times New Roman"/>
          <w:lang w:eastAsia="ru-RU"/>
        </w:rPr>
        <w:t>А40</w:t>
      </w:r>
      <w:r w:rsidR="00F9318B" w:rsidRPr="004B066E">
        <w:rPr>
          <w:rFonts w:eastAsia="Times New Roman"/>
          <w:lang w:eastAsia="ru-RU"/>
        </w:rPr>
        <w:noBreakHyphen/>
      </w:r>
      <w:r w:rsidRPr="004B066E">
        <w:rPr>
          <w:rFonts w:eastAsia="Times New Roman"/>
          <w:lang w:eastAsia="ru-RU"/>
        </w:rPr>
        <w:t>240628/2015).</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 xml:space="preserve">Для решения обозначенных выше вопросов, повышения эффективности применения антимонопольного регулирования, а также снижения уровня зависимости Российской Федерации от иностранных патентообладателей, повышения уровня экономической безопасности Российской Федерации ФАС России разработан проект </w:t>
      </w:r>
      <w:r w:rsidR="00BD30E1">
        <w:rPr>
          <w:rFonts w:ascii="Times New Roman" w:eastAsia="Times New Roman" w:hAnsi="Times New Roman"/>
          <w:sz w:val="28"/>
          <w:szCs w:val="28"/>
          <w:lang w:eastAsia="ru-RU"/>
        </w:rPr>
        <w:t>Ф</w:t>
      </w:r>
      <w:r w:rsidRPr="00DF4197">
        <w:rPr>
          <w:rFonts w:ascii="Times New Roman" w:eastAsia="Times New Roman" w:hAnsi="Times New Roman"/>
          <w:sz w:val="28"/>
          <w:szCs w:val="28"/>
          <w:lang w:eastAsia="ru-RU"/>
        </w:rPr>
        <w:t xml:space="preserve">едерального закона </w:t>
      </w:r>
      <w:r w:rsidR="004D2C9E">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О внесении изменений в Федеральный закон </w:t>
      </w:r>
      <w:r w:rsidR="004D2C9E">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О защите конкуренции</w:t>
      </w:r>
      <w:r w:rsidR="004D2C9E">
        <w:rPr>
          <w:rFonts w:ascii="Times New Roman" w:eastAsia="Times New Roman" w:hAnsi="Times New Roman"/>
          <w:sz w:val="28"/>
          <w:szCs w:val="28"/>
          <w:lang w:eastAsia="ru-RU"/>
        </w:rPr>
        <w:t>»</w:t>
      </w:r>
      <w:r w:rsidR="00BD30E1">
        <w:rPr>
          <w:rFonts w:ascii="Times New Roman" w:eastAsia="Times New Roman" w:hAnsi="Times New Roman"/>
          <w:sz w:val="28"/>
          <w:szCs w:val="28"/>
          <w:lang w:eastAsia="ru-RU"/>
        </w:rPr>
        <w:t xml:space="preserve">, </w:t>
      </w:r>
      <w:r w:rsidRPr="00DF4197">
        <w:rPr>
          <w:rFonts w:ascii="Times New Roman" w:eastAsia="Times New Roman" w:hAnsi="Times New Roman"/>
          <w:sz w:val="28"/>
          <w:szCs w:val="28"/>
          <w:lang w:eastAsia="ru-RU"/>
        </w:rPr>
        <w:t>предусматривает</w:t>
      </w:r>
      <w:r w:rsidR="00BD30E1">
        <w:rPr>
          <w:rFonts w:ascii="Times New Roman" w:eastAsia="Times New Roman" w:hAnsi="Times New Roman"/>
          <w:sz w:val="28"/>
          <w:szCs w:val="28"/>
          <w:lang w:eastAsia="ru-RU"/>
        </w:rPr>
        <w:t>ся</w:t>
      </w:r>
      <w:r w:rsidRPr="00DF4197">
        <w:rPr>
          <w:rFonts w:ascii="Times New Roman" w:eastAsia="Times New Roman" w:hAnsi="Times New Roman"/>
          <w:sz w:val="28"/>
          <w:szCs w:val="28"/>
          <w:lang w:eastAsia="ru-RU"/>
        </w:rPr>
        <w:t xml:space="preserve"> признание утратившими силу части 4 статьи 10 и части 9 статьи 11 </w:t>
      </w:r>
      <w:r w:rsidR="00911A7F" w:rsidRPr="00911A7F">
        <w:rPr>
          <w:rFonts w:ascii="Times New Roman" w:eastAsia="Times New Roman" w:hAnsi="Times New Roman"/>
          <w:sz w:val="28"/>
          <w:szCs w:val="28"/>
          <w:lang w:eastAsia="ru-RU"/>
        </w:rPr>
        <w:t>Федерального закона «О защите конкуренции»</w:t>
      </w:r>
      <w:r w:rsidRPr="00DF4197">
        <w:rPr>
          <w:rFonts w:ascii="Times New Roman" w:eastAsia="Times New Roman" w:hAnsi="Times New Roman"/>
          <w:sz w:val="28"/>
          <w:szCs w:val="28"/>
          <w:lang w:eastAsia="ru-RU"/>
        </w:rPr>
        <w:t>и распространя</w:t>
      </w:r>
      <w:r w:rsidR="00BD30E1">
        <w:rPr>
          <w:rFonts w:ascii="Times New Roman" w:eastAsia="Times New Roman" w:hAnsi="Times New Roman"/>
          <w:sz w:val="28"/>
          <w:szCs w:val="28"/>
          <w:lang w:eastAsia="ru-RU"/>
        </w:rPr>
        <w:t>ю</w:t>
      </w:r>
      <w:r w:rsidRPr="00DF4197">
        <w:rPr>
          <w:rFonts w:ascii="Times New Roman" w:eastAsia="Times New Roman" w:hAnsi="Times New Roman"/>
          <w:sz w:val="28"/>
          <w:szCs w:val="28"/>
          <w:lang w:eastAsia="ru-RU"/>
        </w:rPr>
        <w:t>т</w:t>
      </w:r>
      <w:r w:rsidR="00BD30E1">
        <w:rPr>
          <w:rFonts w:ascii="Times New Roman" w:eastAsia="Times New Roman" w:hAnsi="Times New Roman"/>
          <w:sz w:val="28"/>
          <w:szCs w:val="28"/>
          <w:lang w:eastAsia="ru-RU"/>
        </w:rPr>
        <w:t>ся</w:t>
      </w:r>
      <w:r w:rsidRPr="00DF4197">
        <w:rPr>
          <w:rFonts w:ascii="Times New Roman" w:eastAsia="Times New Roman" w:hAnsi="Times New Roman"/>
          <w:sz w:val="28"/>
          <w:szCs w:val="28"/>
          <w:lang w:eastAsia="ru-RU"/>
        </w:rPr>
        <w:t xml:space="preserve"> запреты, содержащиеся в указанных статьях</w:t>
      </w:r>
      <w:r w:rsidR="00BD30E1">
        <w:rPr>
          <w:rFonts w:ascii="Times New Roman" w:eastAsia="Times New Roman" w:hAnsi="Times New Roman"/>
          <w:sz w:val="28"/>
          <w:szCs w:val="28"/>
          <w:lang w:eastAsia="ru-RU"/>
        </w:rPr>
        <w:t>,</w:t>
      </w:r>
      <w:r w:rsidRPr="00DF4197">
        <w:rPr>
          <w:rFonts w:ascii="Times New Roman" w:eastAsia="Times New Roman" w:hAnsi="Times New Roman"/>
          <w:sz w:val="28"/>
          <w:szCs w:val="28"/>
          <w:lang w:eastAsia="ru-RU"/>
        </w:rPr>
        <w:t xml:space="preserve"> на действия (бездействия) и соглашения с использованием исключительных прав на результаты интеллектуальной деятельности. </w:t>
      </w:r>
    </w:p>
    <w:p w:rsidR="0068434D" w:rsidRPr="00DF4197" w:rsidRDefault="0068434D" w:rsidP="004D2C9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392497">
        <w:rPr>
          <w:rFonts w:ascii="Times New Roman" w:eastAsia="Times New Roman" w:hAnsi="Times New Roman"/>
          <w:sz w:val="28"/>
          <w:szCs w:val="28"/>
          <w:lang w:eastAsia="ru-RU"/>
        </w:rPr>
        <w:t>ледует отметить, что указанные инициативы в настоящее время проходят широкое обсуждение с бизнес- и экспертным сообществом</w:t>
      </w:r>
      <w:r>
        <w:rPr>
          <w:rFonts w:ascii="Times New Roman" w:eastAsia="Times New Roman" w:hAnsi="Times New Roman"/>
          <w:sz w:val="28"/>
          <w:szCs w:val="28"/>
          <w:lang w:eastAsia="ru-RU"/>
        </w:rPr>
        <w:t>.</w:t>
      </w:r>
    </w:p>
    <w:p w:rsidR="0068434D" w:rsidRDefault="0068434D" w:rsidP="004D2C9E">
      <w:pPr>
        <w:spacing w:after="0" w:line="240" w:lineRule="auto"/>
        <w:ind w:firstLine="709"/>
        <w:jc w:val="both"/>
        <w:rPr>
          <w:rFonts w:ascii="Times New Roman" w:eastAsia="Times New Roman" w:hAnsi="Times New Roman"/>
          <w:sz w:val="28"/>
          <w:szCs w:val="28"/>
          <w:lang w:eastAsia="ru-RU"/>
        </w:rPr>
      </w:pPr>
      <w:r w:rsidRPr="00DF4197">
        <w:rPr>
          <w:rFonts w:ascii="Times New Roman" w:eastAsia="Times New Roman" w:hAnsi="Times New Roman"/>
          <w:sz w:val="28"/>
          <w:szCs w:val="28"/>
          <w:lang w:eastAsia="ru-RU"/>
        </w:rPr>
        <w:t xml:space="preserve">Принятие </w:t>
      </w:r>
      <w:r w:rsidR="00BD30E1">
        <w:rPr>
          <w:rFonts w:ascii="Times New Roman" w:eastAsia="Times New Roman" w:hAnsi="Times New Roman"/>
          <w:sz w:val="28"/>
          <w:szCs w:val="28"/>
          <w:lang w:eastAsia="ru-RU"/>
        </w:rPr>
        <w:t xml:space="preserve">данного </w:t>
      </w:r>
      <w:r w:rsidRPr="00DF4197">
        <w:rPr>
          <w:rFonts w:ascii="Times New Roman" w:eastAsia="Times New Roman" w:hAnsi="Times New Roman"/>
          <w:sz w:val="28"/>
          <w:szCs w:val="28"/>
          <w:lang w:eastAsia="ru-RU"/>
        </w:rPr>
        <w:t>законопроекта позволит решить проблемные вопросы, связанные с ограничением или возможным ограничением конкуренции при осуществлении правообладателями исключительных прав на результаты интеллектуальной деятельности.</w:t>
      </w:r>
    </w:p>
    <w:p w:rsidR="0068434D" w:rsidRPr="00262969" w:rsidRDefault="00A90555" w:rsidP="00A90555">
      <w:pPr>
        <w:pStyle w:val="3"/>
        <w:jc w:val="center"/>
      </w:pPr>
      <w:bookmarkStart w:id="13" w:name="_Toc526253883"/>
      <w:r>
        <w:t>2.</w:t>
      </w:r>
      <w:r w:rsidR="00BD638F">
        <w:t>3.2. </w:t>
      </w:r>
      <w:r w:rsidR="0068434D" w:rsidRPr="00262969">
        <w:t>Изменения подходов к контролю экономической концентрации</w:t>
      </w:r>
      <w:bookmarkEnd w:id="13"/>
    </w:p>
    <w:p w:rsidR="0068434D" w:rsidRPr="00DC1E09" w:rsidRDefault="0068434D" w:rsidP="004D2C9E">
      <w:pPr>
        <w:spacing w:after="0" w:line="240" w:lineRule="auto"/>
        <w:ind w:firstLine="709"/>
        <w:jc w:val="both"/>
        <w:rPr>
          <w:rFonts w:ascii="Times New Roman" w:hAnsi="Times New Roman"/>
          <w:sz w:val="28"/>
          <w:szCs w:val="28"/>
        </w:rPr>
      </w:pPr>
      <w:r w:rsidRPr="00DC1E09">
        <w:rPr>
          <w:rFonts w:ascii="Times New Roman" w:hAnsi="Times New Roman"/>
          <w:sz w:val="28"/>
          <w:szCs w:val="28"/>
        </w:rPr>
        <w:t>Скорость изменений, появления новаций представляет собой определенный вызов и угрозу для задействованных в процессе участников. На рынках появляются новые, ранее не существовавшие продукты, применение которых потребителями до этого не представлялось возможным и потому их обращение до недавнего времени не подлежало контролю со стороны государства.</w:t>
      </w:r>
    </w:p>
    <w:p w:rsidR="0068434D" w:rsidRPr="00DC1E09" w:rsidRDefault="0068434D" w:rsidP="004D2C9E">
      <w:pPr>
        <w:spacing w:after="0" w:line="240" w:lineRule="auto"/>
        <w:ind w:firstLine="709"/>
        <w:jc w:val="both"/>
        <w:rPr>
          <w:rFonts w:ascii="Times New Roman" w:hAnsi="Times New Roman"/>
          <w:sz w:val="28"/>
          <w:szCs w:val="28"/>
        </w:rPr>
      </w:pPr>
      <w:r w:rsidRPr="00DC1E09">
        <w:rPr>
          <w:rFonts w:ascii="Times New Roman" w:hAnsi="Times New Roman"/>
          <w:sz w:val="28"/>
          <w:szCs w:val="28"/>
        </w:rPr>
        <w:t>На многих рынках слияние между устоявшимся предприятием и инновационным начинающим предприятием имеет слабое воздействие на существующую рыночную структуру из-за небольшой доли начинающего предприятия на рынке или отсутствия горизонтального дублирования. Однако на информационных рынках такое слияние может привести к дифференциации доступа к данным и увелич</w:t>
      </w:r>
      <w:r w:rsidR="00BD30E1">
        <w:rPr>
          <w:rFonts w:ascii="Times New Roman" w:hAnsi="Times New Roman"/>
          <w:sz w:val="28"/>
          <w:szCs w:val="28"/>
        </w:rPr>
        <w:t>ению</w:t>
      </w:r>
      <w:r w:rsidRPr="00DC1E09">
        <w:rPr>
          <w:rFonts w:ascii="Times New Roman" w:hAnsi="Times New Roman"/>
          <w:sz w:val="28"/>
          <w:szCs w:val="28"/>
        </w:rPr>
        <w:t xml:space="preserve"> концентраци</w:t>
      </w:r>
      <w:r w:rsidR="00BD30E1">
        <w:rPr>
          <w:rFonts w:ascii="Times New Roman" w:hAnsi="Times New Roman"/>
          <w:sz w:val="28"/>
          <w:szCs w:val="28"/>
        </w:rPr>
        <w:t>и</w:t>
      </w:r>
      <w:r w:rsidRPr="00DC1E09">
        <w:rPr>
          <w:rFonts w:ascii="Times New Roman" w:hAnsi="Times New Roman"/>
          <w:sz w:val="28"/>
          <w:szCs w:val="28"/>
        </w:rPr>
        <w:t xml:space="preserve"> данных, относящихся к этому рынку, если у начинающего предприятия будет выход к крупным объемам данных (приобретенных, например, на другом рынке).</w:t>
      </w:r>
    </w:p>
    <w:p w:rsidR="0068434D" w:rsidRDefault="0068434D" w:rsidP="004D2C9E">
      <w:pPr>
        <w:spacing w:after="0" w:line="240" w:lineRule="auto"/>
        <w:ind w:firstLine="709"/>
        <w:jc w:val="both"/>
        <w:rPr>
          <w:rFonts w:ascii="Times New Roman" w:hAnsi="Times New Roman"/>
          <w:sz w:val="28"/>
          <w:szCs w:val="28"/>
        </w:rPr>
      </w:pPr>
      <w:r w:rsidRPr="00DC1E09">
        <w:rPr>
          <w:rFonts w:ascii="Times New Roman" w:hAnsi="Times New Roman"/>
          <w:sz w:val="28"/>
          <w:szCs w:val="28"/>
        </w:rPr>
        <w:t>В таком случае при оценке возможных ограничений конкуренции, являющихся результатом слияния, конкурентным ведомствам, возможно, потребуется тщательно</w:t>
      </w:r>
      <w:r w:rsidR="00BD30E1">
        <w:rPr>
          <w:rFonts w:ascii="Times New Roman" w:hAnsi="Times New Roman"/>
          <w:sz w:val="28"/>
          <w:szCs w:val="28"/>
        </w:rPr>
        <w:t>е</w:t>
      </w:r>
      <w:r w:rsidRPr="00DC1E09">
        <w:rPr>
          <w:rFonts w:ascii="Times New Roman" w:hAnsi="Times New Roman"/>
          <w:sz w:val="28"/>
          <w:szCs w:val="28"/>
        </w:rPr>
        <w:t xml:space="preserve"> изуч</w:t>
      </w:r>
      <w:r w:rsidR="00BD30E1">
        <w:rPr>
          <w:rFonts w:ascii="Times New Roman" w:hAnsi="Times New Roman"/>
          <w:sz w:val="28"/>
          <w:szCs w:val="28"/>
        </w:rPr>
        <w:t>ение</w:t>
      </w:r>
      <w:r w:rsidRPr="00DC1E09">
        <w:rPr>
          <w:rFonts w:ascii="Times New Roman" w:hAnsi="Times New Roman"/>
          <w:sz w:val="28"/>
          <w:szCs w:val="28"/>
        </w:rPr>
        <w:t xml:space="preserve"> преимуществ новой организации, приобретенны</w:t>
      </w:r>
      <w:r w:rsidR="00BD30E1">
        <w:rPr>
          <w:rFonts w:ascii="Times New Roman" w:hAnsi="Times New Roman"/>
          <w:sz w:val="28"/>
          <w:szCs w:val="28"/>
        </w:rPr>
        <w:t>х</w:t>
      </w:r>
      <w:r w:rsidRPr="00DC1E09">
        <w:rPr>
          <w:rFonts w:ascii="Times New Roman" w:hAnsi="Times New Roman"/>
          <w:sz w:val="28"/>
          <w:szCs w:val="28"/>
        </w:rPr>
        <w:t xml:space="preserve"> пут</w:t>
      </w:r>
      <w:r w:rsidR="00BD30E1">
        <w:rPr>
          <w:rFonts w:ascii="Times New Roman" w:hAnsi="Times New Roman"/>
          <w:sz w:val="28"/>
          <w:szCs w:val="28"/>
        </w:rPr>
        <w:t>е</w:t>
      </w:r>
      <w:r w:rsidRPr="00DC1E09">
        <w:rPr>
          <w:rFonts w:ascii="Times New Roman" w:hAnsi="Times New Roman"/>
          <w:sz w:val="28"/>
          <w:szCs w:val="28"/>
        </w:rPr>
        <w:t>м объединения различных наборов данных. В частности, комбинация различных массивов данных может создать проблемы в области конкуренции, если комбинация данных не дает возможность конкурентам копировать (воспроизводить) информацию, извлеченную из нее.</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При оценке последствий для конкуренции в результате сделки представляется важным учитывать состояние конкуренции на рынках, на которых осуществляют деятельность сливающиеся компании, с точки зрения возможности получ</w:t>
      </w:r>
      <w:r w:rsidR="00BD30E1">
        <w:rPr>
          <w:rFonts w:ascii="Times New Roman" w:hAnsi="Times New Roman"/>
          <w:sz w:val="28"/>
          <w:szCs w:val="28"/>
        </w:rPr>
        <w:t>ения</w:t>
      </w:r>
      <w:r>
        <w:rPr>
          <w:rFonts w:ascii="Times New Roman" w:hAnsi="Times New Roman"/>
          <w:sz w:val="28"/>
          <w:szCs w:val="28"/>
        </w:rPr>
        <w:t xml:space="preserve"> доступ</w:t>
      </w:r>
      <w:r w:rsidR="00BD30E1">
        <w:rPr>
          <w:rFonts w:ascii="Times New Roman" w:hAnsi="Times New Roman"/>
          <w:sz w:val="28"/>
          <w:szCs w:val="28"/>
        </w:rPr>
        <w:t>а</w:t>
      </w:r>
      <w:r>
        <w:rPr>
          <w:rFonts w:ascii="Times New Roman" w:hAnsi="Times New Roman"/>
          <w:sz w:val="28"/>
          <w:szCs w:val="28"/>
        </w:rPr>
        <w:t xml:space="preserve"> к данным</w:t>
      </w:r>
      <w:r w:rsidR="00BD30E1" w:rsidRPr="00BD30E1">
        <w:t xml:space="preserve"> </w:t>
      </w:r>
      <w:r w:rsidR="00BD30E1" w:rsidRPr="00BD30E1">
        <w:rPr>
          <w:rFonts w:ascii="Times New Roman" w:hAnsi="Times New Roman"/>
          <w:sz w:val="28"/>
          <w:szCs w:val="28"/>
        </w:rPr>
        <w:t>другими компаниями</w:t>
      </w:r>
      <w:r w:rsidRPr="00BD30E1">
        <w:rPr>
          <w:rFonts w:ascii="Times New Roman" w:hAnsi="Times New Roman"/>
          <w:sz w:val="28"/>
          <w:szCs w:val="28"/>
        </w:rPr>
        <w:t>.</w:t>
      </w:r>
    </w:p>
    <w:p w:rsidR="006D62A6" w:rsidRPr="006D62A6" w:rsidRDefault="006D62A6" w:rsidP="004D2C9E">
      <w:pPr>
        <w:pStyle w:val="4"/>
      </w:pPr>
      <w:r w:rsidRPr="006D62A6">
        <w:t>Республика Армения</w:t>
      </w:r>
    </w:p>
    <w:p w:rsidR="00192789" w:rsidRPr="00192789" w:rsidRDefault="00192789" w:rsidP="00666854">
      <w:pPr>
        <w:spacing w:after="0" w:line="240" w:lineRule="auto"/>
        <w:ind w:firstLine="709"/>
        <w:jc w:val="both"/>
        <w:rPr>
          <w:rFonts w:ascii="Times New Roman" w:hAnsi="Times New Roman"/>
          <w:sz w:val="28"/>
          <w:szCs w:val="28"/>
        </w:rPr>
      </w:pPr>
      <w:r w:rsidRPr="00192789">
        <w:rPr>
          <w:rFonts w:ascii="Times New Roman" w:hAnsi="Times New Roman"/>
          <w:sz w:val="28"/>
          <w:szCs w:val="28"/>
        </w:rPr>
        <w:t>В соответствии с пунктами 2 и 4 статьи 10 Закона Республики Армения</w:t>
      </w:r>
      <w:r w:rsidR="006F0EA5" w:rsidRPr="006F0EA5">
        <w:t xml:space="preserve"> </w:t>
      </w:r>
      <w:r w:rsidR="006F0EA5" w:rsidRPr="006F0EA5">
        <w:rPr>
          <w:rFonts w:ascii="Times New Roman" w:hAnsi="Times New Roman"/>
          <w:sz w:val="28"/>
          <w:szCs w:val="28"/>
        </w:rPr>
        <w:t xml:space="preserve">от </w:t>
      </w:r>
      <w:r w:rsidR="006F0EA5" w:rsidRPr="00A5572B">
        <w:rPr>
          <w:rFonts w:ascii="Times New Roman" w:hAnsi="Times New Roman"/>
          <w:sz w:val="28"/>
          <w:szCs w:val="28"/>
        </w:rPr>
        <w:t>5 декабря 2000 года №</w:t>
      </w:r>
      <w:r w:rsidR="004B066E" w:rsidRPr="00A5572B">
        <w:rPr>
          <w:rFonts w:ascii="Times New Roman" w:hAnsi="Times New Roman"/>
          <w:sz w:val="28"/>
          <w:szCs w:val="28"/>
        </w:rPr>
        <w:t> </w:t>
      </w:r>
      <w:r w:rsidR="006F0EA5" w:rsidRPr="00A5572B">
        <w:rPr>
          <w:rFonts w:ascii="Times New Roman" w:hAnsi="Times New Roman"/>
          <w:sz w:val="28"/>
          <w:szCs w:val="28"/>
        </w:rPr>
        <w:t>ЗР-112</w:t>
      </w:r>
      <w:r w:rsidRPr="00192789">
        <w:rPr>
          <w:rFonts w:ascii="Times New Roman" w:hAnsi="Times New Roman"/>
          <w:sz w:val="28"/>
          <w:szCs w:val="28"/>
        </w:rPr>
        <w:t xml:space="preserve"> </w:t>
      </w:r>
      <w:r w:rsidR="004D2C9E">
        <w:rPr>
          <w:rFonts w:ascii="Times New Roman" w:hAnsi="Times New Roman"/>
          <w:sz w:val="28"/>
          <w:szCs w:val="28"/>
        </w:rPr>
        <w:t>«</w:t>
      </w:r>
      <w:r w:rsidRPr="00192789">
        <w:rPr>
          <w:rFonts w:ascii="Times New Roman" w:hAnsi="Times New Roman"/>
          <w:sz w:val="28"/>
          <w:szCs w:val="28"/>
        </w:rPr>
        <w:t>О защите экономической конкуренции</w:t>
      </w:r>
      <w:r w:rsidR="004D2C9E">
        <w:rPr>
          <w:rFonts w:ascii="Times New Roman" w:hAnsi="Times New Roman"/>
          <w:sz w:val="28"/>
          <w:szCs w:val="28"/>
        </w:rPr>
        <w:t>»</w:t>
      </w:r>
      <w:r w:rsidRPr="00192789">
        <w:rPr>
          <w:rFonts w:ascii="Times New Roman" w:hAnsi="Times New Roman"/>
          <w:sz w:val="28"/>
          <w:szCs w:val="28"/>
        </w:rPr>
        <w:t xml:space="preserve"> запрещается введение в действие подлежащей декларированию концентрации до вынесения</w:t>
      </w:r>
      <w:r w:rsidR="003C3245" w:rsidRPr="003C3245">
        <w:t xml:space="preserve"> </w:t>
      </w:r>
      <w:r w:rsidR="003C3245" w:rsidRPr="003C3245">
        <w:rPr>
          <w:rFonts w:ascii="Times New Roman" w:hAnsi="Times New Roman"/>
          <w:sz w:val="28"/>
          <w:szCs w:val="28"/>
        </w:rPr>
        <w:t>решения</w:t>
      </w:r>
      <w:r w:rsidRPr="00192789">
        <w:rPr>
          <w:rFonts w:ascii="Times New Roman" w:hAnsi="Times New Roman"/>
          <w:sz w:val="28"/>
          <w:szCs w:val="28"/>
        </w:rPr>
        <w:t xml:space="preserve"> </w:t>
      </w:r>
      <w:r w:rsidR="00666854" w:rsidRPr="00666854">
        <w:rPr>
          <w:rFonts w:ascii="Times New Roman" w:hAnsi="Times New Roman"/>
          <w:sz w:val="28"/>
          <w:szCs w:val="28"/>
        </w:rPr>
        <w:t>Государственн</w:t>
      </w:r>
      <w:r w:rsidR="003C3245">
        <w:rPr>
          <w:rFonts w:ascii="Times New Roman" w:hAnsi="Times New Roman"/>
          <w:sz w:val="28"/>
          <w:szCs w:val="28"/>
        </w:rPr>
        <w:t>ой</w:t>
      </w:r>
      <w:r w:rsidR="00666854" w:rsidRPr="00666854">
        <w:rPr>
          <w:rFonts w:ascii="Times New Roman" w:hAnsi="Times New Roman"/>
          <w:sz w:val="28"/>
          <w:szCs w:val="28"/>
        </w:rPr>
        <w:t xml:space="preserve"> комисси</w:t>
      </w:r>
      <w:r w:rsidR="003C3245">
        <w:rPr>
          <w:rFonts w:ascii="Times New Roman" w:hAnsi="Times New Roman"/>
          <w:sz w:val="28"/>
          <w:szCs w:val="28"/>
        </w:rPr>
        <w:t>ей</w:t>
      </w:r>
      <w:r w:rsidR="00666854" w:rsidRPr="00666854">
        <w:rPr>
          <w:rFonts w:ascii="Times New Roman" w:hAnsi="Times New Roman"/>
          <w:sz w:val="28"/>
          <w:szCs w:val="28"/>
        </w:rPr>
        <w:t xml:space="preserve"> по защите экономической конкуренции </w:t>
      </w:r>
      <w:r w:rsidR="0035305E">
        <w:rPr>
          <w:rFonts w:ascii="Times New Roman" w:hAnsi="Times New Roman"/>
          <w:sz w:val="28"/>
          <w:szCs w:val="28"/>
        </w:rPr>
        <w:br/>
      </w:r>
      <w:r w:rsidR="003C3245">
        <w:rPr>
          <w:rFonts w:ascii="Times New Roman" w:hAnsi="Times New Roman"/>
          <w:sz w:val="28"/>
          <w:szCs w:val="28"/>
        </w:rPr>
        <w:t>(</w:t>
      </w:r>
      <w:r w:rsidR="0035305E">
        <w:rPr>
          <w:rFonts w:ascii="Times New Roman" w:hAnsi="Times New Roman"/>
          <w:sz w:val="28"/>
          <w:szCs w:val="28"/>
        </w:rPr>
        <w:t xml:space="preserve">далее – </w:t>
      </w:r>
      <w:r w:rsidRPr="00192789">
        <w:rPr>
          <w:rFonts w:ascii="Times New Roman" w:hAnsi="Times New Roman"/>
          <w:sz w:val="28"/>
          <w:szCs w:val="28"/>
        </w:rPr>
        <w:t>Комисси</w:t>
      </w:r>
      <w:r w:rsidR="003C3245">
        <w:rPr>
          <w:rFonts w:ascii="Times New Roman" w:hAnsi="Times New Roman"/>
          <w:sz w:val="28"/>
          <w:szCs w:val="28"/>
        </w:rPr>
        <w:t>я)</w:t>
      </w:r>
      <w:r w:rsidRPr="00192789">
        <w:rPr>
          <w:rFonts w:ascii="Times New Roman" w:hAnsi="Times New Roman"/>
          <w:sz w:val="28"/>
          <w:szCs w:val="28"/>
        </w:rPr>
        <w:t>. Запрещенная концентрация, введенная в действие, подлежит ликвидации (расторжению, прекращению) в установленном законодательством порядке.</w:t>
      </w:r>
    </w:p>
    <w:p w:rsidR="00192789" w:rsidRPr="00192789" w:rsidRDefault="00192789" w:rsidP="004D2C9E">
      <w:pPr>
        <w:spacing w:after="0" w:line="240" w:lineRule="auto"/>
        <w:ind w:firstLine="709"/>
        <w:jc w:val="both"/>
        <w:rPr>
          <w:rFonts w:ascii="Times New Roman" w:hAnsi="Times New Roman"/>
          <w:sz w:val="28"/>
          <w:szCs w:val="28"/>
        </w:rPr>
      </w:pPr>
      <w:r w:rsidRPr="00192789">
        <w:rPr>
          <w:rFonts w:ascii="Times New Roman" w:hAnsi="Times New Roman"/>
          <w:sz w:val="28"/>
          <w:szCs w:val="28"/>
        </w:rPr>
        <w:t>Конкурен</w:t>
      </w:r>
      <w:r>
        <w:rPr>
          <w:rFonts w:ascii="Times New Roman" w:hAnsi="Times New Roman"/>
          <w:sz w:val="28"/>
          <w:szCs w:val="28"/>
        </w:rPr>
        <w:t>тное</w:t>
      </w:r>
      <w:r w:rsidRPr="00192789">
        <w:rPr>
          <w:rFonts w:ascii="Times New Roman" w:hAnsi="Times New Roman"/>
          <w:sz w:val="28"/>
          <w:szCs w:val="28"/>
        </w:rPr>
        <w:t xml:space="preserve"> ведомство </w:t>
      </w:r>
      <w:r w:rsidR="003E21EC" w:rsidRPr="003E21EC">
        <w:rPr>
          <w:rFonts w:ascii="Times New Roman" w:hAnsi="Times New Roman"/>
          <w:sz w:val="28"/>
          <w:szCs w:val="28"/>
        </w:rPr>
        <w:t>Республики Армения</w:t>
      </w:r>
      <w:r w:rsidRPr="003E21EC">
        <w:rPr>
          <w:rFonts w:ascii="Times New Roman" w:hAnsi="Times New Roman"/>
          <w:sz w:val="28"/>
          <w:szCs w:val="28"/>
        </w:rPr>
        <w:t>,</w:t>
      </w:r>
      <w:r w:rsidRPr="00192789">
        <w:rPr>
          <w:rFonts w:ascii="Times New Roman" w:hAnsi="Times New Roman"/>
          <w:sz w:val="28"/>
          <w:szCs w:val="28"/>
        </w:rPr>
        <w:t xml:space="preserve"> подчеркивая важность обеспечения наиболее благоприятных условий для введения предпринимательской деятельности, в 2017 году внесл</w:t>
      </w:r>
      <w:r w:rsidR="003C3245">
        <w:rPr>
          <w:rFonts w:ascii="Times New Roman" w:hAnsi="Times New Roman"/>
          <w:sz w:val="28"/>
          <w:szCs w:val="28"/>
        </w:rPr>
        <w:t>о</w:t>
      </w:r>
      <w:r w:rsidRPr="00192789">
        <w:rPr>
          <w:rFonts w:ascii="Times New Roman" w:hAnsi="Times New Roman"/>
          <w:sz w:val="28"/>
          <w:szCs w:val="28"/>
        </w:rPr>
        <w:t xml:space="preserve"> изменения в порядок обязательного декларирования концентраций хозяйствующих субъектов. В результате этих поправок сотни хозяйствующих субъектов при сделках экономической концентрации, иначе говоря, в случаях слияния и присоединени</w:t>
      </w:r>
      <w:r w:rsidR="006F1EC3">
        <w:rPr>
          <w:rFonts w:ascii="Times New Roman" w:hAnsi="Times New Roman"/>
          <w:sz w:val="28"/>
          <w:szCs w:val="28"/>
        </w:rPr>
        <w:t>я</w:t>
      </w:r>
      <w:r w:rsidRPr="00192789">
        <w:rPr>
          <w:rFonts w:ascii="Times New Roman" w:hAnsi="Times New Roman"/>
          <w:sz w:val="28"/>
          <w:szCs w:val="28"/>
        </w:rPr>
        <w:t xml:space="preserve"> освобождаются от процедуры предъявления з</w:t>
      </w:r>
      <w:r w:rsidR="00271CD2">
        <w:rPr>
          <w:rFonts w:ascii="Times New Roman" w:hAnsi="Times New Roman"/>
          <w:sz w:val="28"/>
          <w:szCs w:val="28"/>
        </w:rPr>
        <w:t>а</w:t>
      </w:r>
      <w:r w:rsidRPr="00192789">
        <w:rPr>
          <w:rFonts w:ascii="Times New Roman" w:hAnsi="Times New Roman"/>
          <w:sz w:val="28"/>
          <w:szCs w:val="28"/>
        </w:rPr>
        <w:t>явлений и прохождения обязательного декларирования. Целью данной процедуры является установление контроля за экономической концентрацией, а в случае необходимости</w:t>
      </w:r>
      <w:r w:rsidR="003C3245">
        <w:rPr>
          <w:rFonts w:ascii="Times New Roman" w:hAnsi="Times New Roman"/>
          <w:sz w:val="28"/>
          <w:szCs w:val="28"/>
        </w:rPr>
        <w:t xml:space="preserve"> – </w:t>
      </w:r>
      <w:r w:rsidRPr="00192789">
        <w:rPr>
          <w:rFonts w:ascii="Times New Roman" w:hAnsi="Times New Roman"/>
          <w:sz w:val="28"/>
          <w:szCs w:val="28"/>
        </w:rPr>
        <w:t>запре</w:t>
      </w:r>
      <w:r w:rsidR="006F1EC3">
        <w:rPr>
          <w:rFonts w:ascii="Times New Roman" w:hAnsi="Times New Roman"/>
          <w:sz w:val="28"/>
          <w:szCs w:val="28"/>
        </w:rPr>
        <w:t>щения</w:t>
      </w:r>
      <w:r w:rsidRPr="00192789">
        <w:rPr>
          <w:rFonts w:ascii="Times New Roman" w:hAnsi="Times New Roman"/>
          <w:sz w:val="28"/>
          <w:szCs w:val="28"/>
        </w:rPr>
        <w:t xml:space="preserve"> совершени</w:t>
      </w:r>
      <w:r w:rsidR="006F1EC3">
        <w:rPr>
          <w:rFonts w:ascii="Times New Roman" w:hAnsi="Times New Roman"/>
          <w:sz w:val="28"/>
          <w:szCs w:val="28"/>
        </w:rPr>
        <w:t>я</w:t>
      </w:r>
      <w:r w:rsidRPr="00192789">
        <w:rPr>
          <w:rFonts w:ascii="Times New Roman" w:hAnsi="Times New Roman"/>
          <w:sz w:val="28"/>
          <w:szCs w:val="28"/>
        </w:rPr>
        <w:t xml:space="preserve"> сделок, которые являются рискованными и в дальнейшем могут привести к ограничению конкуренции на отдельных</w:t>
      </w:r>
      <w:r w:rsidR="00A90555">
        <w:rPr>
          <w:rFonts w:ascii="Times New Roman" w:hAnsi="Times New Roman"/>
          <w:sz w:val="28"/>
          <w:szCs w:val="28"/>
        </w:rPr>
        <w:t xml:space="preserve"> товарных рынках. Однако</w:t>
      </w:r>
      <w:r w:rsidRPr="00192789">
        <w:rPr>
          <w:rFonts w:ascii="Times New Roman" w:hAnsi="Times New Roman"/>
          <w:sz w:val="28"/>
          <w:szCs w:val="28"/>
        </w:rPr>
        <w:t xml:space="preserve"> исследования показали, что установленные пороги декларирования низкие, и в результате компании, обращающиеся для получения разрешения сде</w:t>
      </w:r>
      <w:r w:rsidR="00A90555">
        <w:rPr>
          <w:rFonts w:ascii="Times New Roman" w:hAnsi="Times New Roman"/>
          <w:sz w:val="28"/>
          <w:szCs w:val="28"/>
        </w:rPr>
        <w:t>лки с точки зрения конкуренции</w:t>
      </w:r>
      <w:r w:rsidR="00DD5186">
        <w:rPr>
          <w:rFonts w:ascii="Times New Roman" w:hAnsi="Times New Roman"/>
          <w:sz w:val="28"/>
          <w:szCs w:val="28"/>
        </w:rPr>
        <w:t>,</w:t>
      </w:r>
      <w:r w:rsidRPr="00192789">
        <w:rPr>
          <w:rFonts w:ascii="Times New Roman" w:hAnsi="Times New Roman"/>
          <w:sz w:val="28"/>
          <w:szCs w:val="28"/>
        </w:rPr>
        <w:t xml:space="preserve"> не являются рискованными и не могут вызвать каких-либо проблем на рынке. </w:t>
      </w:r>
    </w:p>
    <w:p w:rsidR="00192789" w:rsidRPr="00192789" w:rsidRDefault="00192789" w:rsidP="004D2C9E">
      <w:pPr>
        <w:spacing w:after="0" w:line="240" w:lineRule="auto"/>
        <w:ind w:firstLine="709"/>
        <w:jc w:val="both"/>
        <w:rPr>
          <w:rFonts w:ascii="Times New Roman" w:hAnsi="Times New Roman"/>
          <w:sz w:val="28"/>
          <w:szCs w:val="28"/>
        </w:rPr>
      </w:pPr>
      <w:r>
        <w:rPr>
          <w:rFonts w:ascii="Times New Roman" w:hAnsi="Times New Roman"/>
          <w:sz w:val="28"/>
          <w:szCs w:val="28"/>
        </w:rPr>
        <w:t>Основываясь на изложенном</w:t>
      </w:r>
      <w:r w:rsidRPr="00192789">
        <w:rPr>
          <w:rFonts w:ascii="Times New Roman" w:hAnsi="Times New Roman"/>
          <w:sz w:val="28"/>
          <w:szCs w:val="28"/>
        </w:rPr>
        <w:t xml:space="preserve">, </w:t>
      </w:r>
      <w:r w:rsidR="006F1EC3">
        <w:rPr>
          <w:rFonts w:ascii="Times New Roman" w:hAnsi="Times New Roman"/>
          <w:sz w:val="28"/>
          <w:szCs w:val="28"/>
        </w:rPr>
        <w:t>К</w:t>
      </w:r>
      <w:r w:rsidRPr="00192789">
        <w:rPr>
          <w:rFonts w:ascii="Times New Roman" w:hAnsi="Times New Roman"/>
          <w:sz w:val="28"/>
          <w:szCs w:val="28"/>
        </w:rPr>
        <w:t xml:space="preserve">онкурентным ведомством </w:t>
      </w:r>
      <w:r w:rsidR="003E21EC" w:rsidRPr="003E21EC">
        <w:rPr>
          <w:rFonts w:ascii="Times New Roman" w:hAnsi="Times New Roman"/>
          <w:sz w:val="28"/>
          <w:szCs w:val="28"/>
        </w:rPr>
        <w:t>Республики Армения</w:t>
      </w:r>
      <w:r w:rsidRPr="003E21EC">
        <w:rPr>
          <w:rFonts w:ascii="Times New Roman" w:hAnsi="Times New Roman"/>
          <w:sz w:val="28"/>
          <w:szCs w:val="28"/>
        </w:rPr>
        <w:t xml:space="preserve"> </w:t>
      </w:r>
      <w:r w:rsidRPr="00192789">
        <w:rPr>
          <w:rFonts w:ascii="Times New Roman" w:hAnsi="Times New Roman"/>
          <w:sz w:val="28"/>
          <w:szCs w:val="28"/>
        </w:rPr>
        <w:t>были установ</w:t>
      </w:r>
      <w:r w:rsidR="003E21EC">
        <w:rPr>
          <w:rFonts w:ascii="Times New Roman" w:hAnsi="Times New Roman"/>
          <w:sz w:val="28"/>
          <w:szCs w:val="28"/>
        </w:rPr>
        <w:t>лены</w:t>
      </w:r>
      <w:r w:rsidRPr="00192789">
        <w:rPr>
          <w:rFonts w:ascii="Times New Roman" w:hAnsi="Times New Roman"/>
          <w:sz w:val="28"/>
          <w:szCs w:val="28"/>
        </w:rPr>
        <w:t xml:space="preserve"> следующие пороги стоимости (размера) активов и выручки:</w:t>
      </w:r>
    </w:p>
    <w:p w:rsidR="00192789" w:rsidRPr="00192789" w:rsidRDefault="00192789" w:rsidP="004D2C9E">
      <w:pPr>
        <w:spacing w:after="0" w:line="240" w:lineRule="auto"/>
        <w:ind w:firstLine="709"/>
        <w:jc w:val="both"/>
        <w:rPr>
          <w:rFonts w:ascii="Times New Roman" w:hAnsi="Times New Roman"/>
          <w:sz w:val="28"/>
          <w:szCs w:val="28"/>
        </w:rPr>
      </w:pPr>
      <w:r w:rsidRPr="00192789">
        <w:rPr>
          <w:rFonts w:ascii="Times New Roman" w:hAnsi="Times New Roman"/>
          <w:sz w:val="28"/>
          <w:szCs w:val="28"/>
        </w:rPr>
        <w:t>суммарная стоимость активов участников горизонтальной концентрации за последний финансовый год, предшествующий ее созданию</w:t>
      </w:r>
      <w:r w:rsidR="00B73C36">
        <w:rPr>
          <w:rFonts w:ascii="Times New Roman" w:hAnsi="Times New Roman"/>
          <w:sz w:val="28"/>
          <w:szCs w:val="28"/>
        </w:rPr>
        <w:t>,</w:t>
      </w:r>
      <w:r w:rsidRPr="00192789">
        <w:rPr>
          <w:rFonts w:ascii="Times New Roman" w:hAnsi="Times New Roman"/>
          <w:sz w:val="28"/>
          <w:szCs w:val="28"/>
        </w:rPr>
        <w:t xml:space="preserve"> должна составлять не менее </w:t>
      </w:r>
      <w:r w:rsidR="00A90555">
        <w:rPr>
          <w:rFonts w:ascii="Times New Roman" w:hAnsi="Times New Roman"/>
          <w:sz w:val="28"/>
          <w:szCs w:val="28"/>
        </w:rPr>
        <w:t>1,5 млрд</w:t>
      </w:r>
      <w:r w:rsidRPr="00192789">
        <w:rPr>
          <w:rFonts w:ascii="Times New Roman" w:hAnsi="Times New Roman"/>
          <w:sz w:val="28"/>
          <w:szCs w:val="28"/>
        </w:rPr>
        <w:t xml:space="preserve"> драм</w:t>
      </w:r>
      <w:r w:rsidR="006F1EC3">
        <w:rPr>
          <w:rFonts w:ascii="Times New Roman" w:hAnsi="Times New Roman"/>
          <w:sz w:val="28"/>
          <w:szCs w:val="28"/>
        </w:rPr>
        <w:t>ов</w:t>
      </w:r>
      <w:r w:rsidRPr="00192789">
        <w:rPr>
          <w:rFonts w:ascii="Times New Roman" w:hAnsi="Times New Roman"/>
          <w:sz w:val="28"/>
          <w:szCs w:val="28"/>
        </w:rPr>
        <w:t xml:space="preserve"> или стоимость активов хотя бы одного из участников горизонтальной концентрации за последний финансовый год, предшествующий году осуществления сделки</w:t>
      </w:r>
      <w:r w:rsidR="00B73C36">
        <w:rPr>
          <w:rFonts w:ascii="Times New Roman" w:hAnsi="Times New Roman"/>
          <w:sz w:val="28"/>
          <w:szCs w:val="28"/>
        </w:rPr>
        <w:t>,</w:t>
      </w:r>
      <w:r w:rsidRPr="00192789">
        <w:rPr>
          <w:rFonts w:ascii="Times New Roman" w:hAnsi="Times New Roman"/>
          <w:sz w:val="28"/>
          <w:szCs w:val="28"/>
        </w:rPr>
        <w:t xml:space="preserve"> – не менее </w:t>
      </w:r>
      <w:r w:rsidR="00A90555">
        <w:rPr>
          <w:rFonts w:ascii="Times New Roman" w:hAnsi="Times New Roman"/>
          <w:sz w:val="28"/>
          <w:szCs w:val="28"/>
        </w:rPr>
        <w:t>1 млрд</w:t>
      </w:r>
      <w:r w:rsidRPr="00192789">
        <w:rPr>
          <w:rFonts w:ascii="Times New Roman" w:hAnsi="Times New Roman"/>
          <w:sz w:val="28"/>
          <w:szCs w:val="28"/>
        </w:rPr>
        <w:t xml:space="preserve"> драм</w:t>
      </w:r>
      <w:r w:rsidR="006F1EC3">
        <w:rPr>
          <w:rFonts w:ascii="Times New Roman" w:hAnsi="Times New Roman"/>
          <w:sz w:val="28"/>
          <w:szCs w:val="28"/>
        </w:rPr>
        <w:t>ов</w:t>
      </w:r>
      <w:r w:rsidRPr="00192789">
        <w:rPr>
          <w:rFonts w:ascii="Times New Roman" w:hAnsi="Times New Roman"/>
          <w:sz w:val="28"/>
          <w:szCs w:val="28"/>
        </w:rPr>
        <w:t>;</w:t>
      </w:r>
    </w:p>
    <w:p w:rsidR="00192789" w:rsidRPr="00192789" w:rsidRDefault="00192789" w:rsidP="004D2C9E">
      <w:pPr>
        <w:spacing w:after="0" w:line="240" w:lineRule="auto"/>
        <w:ind w:firstLine="709"/>
        <w:jc w:val="both"/>
        <w:rPr>
          <w:rFonts w:ascii="Times New Roman" w:hAnsi="Times New Roman"/>
          <w:sz w:val="28"/>
          <w:szCs w:val="28"/>
        </w:rPr>
      </w:pPr>
      <w:r w:rsidRPr="00192789">
        <w:rPr>
          <w:rFonts w:ascii="Times New Roman" w:hAnsi="Times New Roman"/>
          <w:sz w:val="28"/>
          <w:szCs w:val="28"/>
        </w:rPr>
        <w:t>суммарный размер выручки участников горизонтальной концентрации за последний финансовый год, предшествующий ее созданию</w:t>
      </w:r>
      <w:r w:rsidR="00B73C36">
        <w:rPr>
          <w:rFonts w:ascii="Times New Roman" w:hAnsi="Times New Roman"/>
          <w:sz w:val="28"/>
          <w:szCs w:val="28"/>
        </w:rPr>
        <w:t>,</w:t>
      </w:r>
      <w:r w:rsidRPr="00192789">
        <w:rPr>
          <w:rFonts w:ascii="Times New Roman" w:hAnsi="Times New Roman"/>
          <w:sz w:val="28"/>
          <w:szCs w:val="28"/>
        </w:rPr>
        <w:t xml:space="preserve"> долж</w:t>
      </w:r>
      <w:r w:rsidR="00B73C36">
        <w:rPr>
          <w:rFonts w:ascii="Times New Roman" w:hAnsi="Times New Roman"/>
          <w:sz w:val="28"/>
          <w:szCs w:val="28"/>
        </w:rPr>
        <w:t>е</w:t>
      </w:r>
      <w:r w:rsidRPr="00192789">
        <w:rPr>
          <w:rFonts w:ascii="Times New Roman" w:hAnsi="Times New Roman"/>
          <w:sz w:val="28"/>
          <w:szCs w:val="28"/>
        </w:rPr>
        <w:t xml:space="preserve">н составлять не менее </w:t>
      </w:r>
      <w:r w:rsidR="00A90555">
        <w:rPr>
          <w:rFonts w:ascii="Times New Roman" w:hAnsi="Times New Roman"/>
          <w:sz w:val="28"/>
          <w:szCs w:val="28"/>
        </w:rPr>
        <w:t>3</w:t>
      </w:r>
      <w:r w:rsidRPr="00192789">
        <w:rPr>
          <w:rFonts w:ascii="Times New Roman" w:hAnsi="Times New Roman"/>
          <w:sz w:val="28"/>
          <w:szCs w:val="28"/>
        </w:rPr>
        <w:t xml:space="preserve"> </w:t>
      </w:r>
      <w:r w:rsidR="00A90555">
        <w:rPr>
          <w:rFonts w:ascii="Times New Roman" w:hAnsi="Times New Roman"/>
          <w:sz w:val="28"/>
          <w:szCs w:val="28"/>
        </w:rPr>
        <w:t>млрд</w:t>
      </w:r>
      <w:r w:rsidRPr="00192789">
        <w:rPr>
          <w:rFonts w:ascii="Times New Roman" w:hAnsi="Times New Roman"/>
          <w:sz w:val="28"/>
          <w:szCs w:val="28"/>
        </w:rPr>
        <w:t xml:space="preserve"> драм</w:t>
      </w:r>
      <w:r w:rsidR="006F1EC3">
        <w:rPr>
          <w:rFonts w:ascii="Times New Roman" w:hAnsi="Times New Roman"/>
          <w:sz w:val="28"/>
          <w:szCs w:val="28"/>
        </w:rPr>
        <w:t>ов</w:t>
      </w:r>
      <w:r w:rsidRPr="00192789">
        <w:rPr>
          <w:rFonts w:ascii="Times New Roman" w:hAnsi="Times New Roman"/>
          <w:sz w:val="28"/>
          <w:szCs w:val="28"/>
        </w:rPr>
        <w:t xml:space="preserve"> или размер выручки одного из участников за последний финансовый год, предшествующий году осуществления сделки</w:t>
      </w:r>
      <w:r w:rsidR="00B73C36">
        <w:rPr>
          <w:rFonts w:ascii="Times New Roman" w:hAnsi="Times New Roman"/>
          <w:sz w:val="28"/>
          <w:szCs w:val="28"/>
        </w:rPr>
        <w:t>,</w:t>
      </w:r>
      <w:r w:rsidR="00F9318B">
        <w:rPr>
          <w:rFonts w:ascii="Times New Roman" w:hAnsi="Times New Roman"/>
          <w:sz w:val="28"/>
          <w:szCs w:val="28"/>
        </w:rPr>
        <w:t xml:space="preserve"> – </w:t>
      </w:r>
      <w:r w:rsidR="003E21EC">
        <w:rPr>
          <w:rFonts w:ascii="Times New Roman" w:hAnsi="Times New Roman"/>
          <w:sz w:val="28"/>
          <w:szCs w:val="28"/>
        </w:rPr>
        <w:t xml:space="preserve">не менее </w:t>
      </w:r>
      <w:r w:rsidR="00A90555">
        <w:rPr>
          <w:rFonts w:ascii="Times New Roman" w:hAnsi="Times New Roman"/>
          <w:sz w:val="28"/>
          <w:szCs w:val="28"/>
        </w:rPr>
        <w:t>2</w:t>
      </w:r>
      <w:r w:rsidR="003E21EC">
        <w:rPr>
          <w:rFonts w:ascii="Times New Roman" w:hAnsi="Times New Roman"/>
          <w:sz w:val="28"/>
          <w:szCs w:val="28"/>
        </w:rPr>
        <w:t xml:space="preserve"> </w:t>
      </w:r>
      <w:r w:rsidR="00A90555">
        <w:rPr>
          <w:rFonts w:ascii="Times New Roman" w:hAnsi="Times New Roman"/>
          <w:sz w:val="28"/>
          <w:szCs w:val="28"/>
        </w:rPr>
        <w:t>млрд</w:t>
      </w:r>
      <w:r w:rsidR="003E21EC">
        <w:rPr>
          <w:rFonts w:ascii="Times New Roman" w:hAnsi="Times New Roman"/>
          <w:sz w:val="28"/>
          <w:szCs w:val="28"/>
        </w:rPr>
        <w:t xml:space="preserve"> драм</w:t>
      </w:r>
      <w:r w:rsidR="006F1EC3">
        <w:rPr>
          <w:rFonts w:ascii="Times New Roman" w:hAnsi="Times New Roman"/>
          <w:sz w:val="28"/>
          <w:szCs w:val="28"/>
        </w:rPr>
        <w:t>ов</w:t>
      </w:r>
      <w:r w:rsidRPr="00192789">
        <w:rPr>
          <w:rFonts w:ascii="Times New Roman" w:hAnsi="Times New Roman"/>
          <w:sz w:val="28"/>
          <w:szCs w:val="28"/>
        </w:rPr>
        <w:t xml:space="preserve">; </w:t>
      </w:r>
    </w:p>
    <w:p w:rsidR="00192789" w:rsidRPr="00192789" w:rsidRDefault="00192789" w:rsidP="008B3002">
      <w:pPr>
        <w:spacing w:after="0" w:line="315" w:lineRule="exact"/>
        <w:ind w:firstLine="709"/>
        <w:jc w:val="both"/>
        <w:rPr>
          <w:rFonts w:ascii="Times New Roman" w:hAnsi="Times New Roman"/>
          <w:sz w:val="28"/>
          <w:szCs w:val="28"/>
        </w:rPr>
      </w:pPr>
      <w:r w:rsidRPr="00192789">
        <w:rPr>
          <w:rFonts w:ascii="Times New Roman" w:hAnsi="Times New Roman"/>
          <w:sz w:val="28"/>
          <w:szCs w:val="28"/>
        </w:rPr>
        <w:t>суммарная стоимость активов участников вертикальной или комбинированной концентрации за последний финансовый год, предшествующий ее созданию, должна составлять не менее</w:t>
      </w:r>
      <w:r w:rsidR="00A90555">
        <w:rPr>
          <w:rFonts w:ascii="Times New Roman" w:hAnsi="Times New Roman"/>
          <w:sz w:val="28"/>
          <w:szCs w:val="28"/>
        </w:rPr>
        <w:t xml:space="preserve"> 3</w:t>
      </w:r>
      <w:r w:rsidRPr="00192789">
        <w:rPr>
          <w:rFonts w:ascii="Times New Roman" w:hAnsi="Times New Roman"/>
          <w:sz w:val="28"/>
          <w:szCs w:val="28"/>
        </w:rPr>
        <w:t xml:space="preserve"> </w:t>
      </w:r>
      <w:r w:rsidR="00A90555">
        <w:rPr>
          <w:rFonts w:ascii="Times New Roman" w:hAnsi="Times New Roman"/>
          <w:sz w:val="28"/>
          <w:szCs w:val="28"/>
        </w:rPr>
        <w:t>млрд</w:t>
      </w:r>
      <w:r w:rsidRPr="00192789">
        <w:rPr>
          <w:rFonts w:ascii="Times New Roman" w:hAnsi="Times New Roman"/>
          <w:sz w:val="28"/>
          <w:szCs w:val="28"/>
        </w:rPr>
        <w:t xml:space="preserve"> драм</w:t>
      </w:r>
      <w:r w:rsidR="006F1EC3">
        <w:rPr>
          <w:rFonts w:ascii="Times New Roman" w:hAnsi="Times New Roman"/>
          <w:sz w:val="28"/>
          <w:szCs w:val="28"/>
        </w:rPr>
        <w:t>ов</w:t>
      </w:r>
      <w:r w:rsidRPr="00192789">
        <w:rPr>
          <w:rFonts w:ascii="Times New Roman" w:hAnsi="Times New Roman"/>
          <w:sz w:val="28"/>
          <w:szCs w:val="28"/>
        </w:rPr>
        <w:t xml:space="preserve"> или стоимость активов хотя бы одного из участников за последний финансовый год, предшествующий ее созданию</w:t>
      </w:r>
      <w:r w:rsidR="00B73C36">
        <w:rPr>
          <w:rFonts w:ascii="Times New Roman" w:hAnsi="Times New Roman"/>
          <w:sz w:val="28"/>
          <w:szCs w:val="28"/>
        </w:rPr>
        <w:t>,</w:t>
      </w:r>
      <w:r w:rsidR="00F9318B">
        <w:rPr>
          <w:rFonts w:ascii="Times New Roman" w:hAnsi="Times New Roman"/>
          <w:sz w:val="28"/>
          <w:szCs w:val="28"/>
        </w:rPr>
        <w:t xml:space="preserve"> – </w:t>
      </w:r>
      <w:r w:rsidRPr="00192789">
        <w:rPr>
          <w:rFonts w:ascii="Times New Roman" w:hAnsi="Times New Roman"/>
          <w:sz w:val="28"/>
          <w:szCs w:val="28"/>
        </w:rPr>
        <w:t xml:space="preserve">не менее </w:t>
      </w:r>
      <w:r w:rsidR="006F1EC3">
        <w:rPr>
          <w:rFonts w:ascii="Times New Roman" w:hAnsi="Times New Roman"/>
          <w:sz w:val="28"/>
          <w:szCs w:val="28"/>
        </w:rPr>
        <w:t>2</w:t>
      </w:r>
      <w:r w:rsidRPr="00192789">
        <w:rPr>
          <w:rFonts w:ascii="Times New Roman" w:hAnsi="Times New Roman"/>
          <w:sz w:val="28"/>
          <w:szCs w:val="28"/>
        </w:rPr>
        <w:t xml:space="preserve"> </w:t>
      </w:r>
      <w:r w:rsidR="006F1EC3">
        <w:rPr>
          <w:rFonts w:ascii="Times New Roman" w:hAnsi="Times New Roman"/>
          <w:sz w:val="28"/>
          <w:szCs w:val="28"/>
        </w:rPr>
        <w:t>млн</w:t>
      </w:r>
      <w:r w:rsidRPr="00192789">
        <w:rPr>
          <w:rFonts w:ascii="Times New Roman" w:hAnsi="Times New Roman"/>
          <w:sz w:val="28"/>
          <w:szCs w:val="28"/>
        </w:rPr>
        <w:t xml:space="preserve"> драм</w:t>
      </w:r>
      <w:r w:rsidR="006F1EC3">
        <w:rPr>
          <w:rFonts w:ascii="Times New Roman" w:hAnsi="Times New Roman"/>
          <w:sz w:val="28"/>
          <w:szCs w:val="28"/>
        </w:rPr>
        <w:t>ов</w:t>
      </w:r>
      <w:r w:rsidRPr="00192789">
        <w:rPr>
          <w:rFonts w:ascii="Times New Roman" w:hAnsi="Times New Roman"/>
          <w:sz w:val="28"/>
          <w:szCs w:val="28"/>
        </w:rPr>
        <w:t>;</w:t>
      </w:r>
    </w:p>
    <w:p w:rsidR="006D62A6" w:rsidRDefault="00192789" w:rsidP="008B3002">
      <w:pPr>
        <w:spacing w:after="0" w:line="315" w:lineRule="exact"/>
        <w:ind w:firstLine="709"/>
        <w:jc w:val="both"/>
        <w:rPr>
          <w:rFonts w:ascii="Times New Roman" w:hAnsi="Times New Roman"/>
          <w:sz w:val="28"/>
          <w:szCs w:val="28"/>
        </w:rPr>
      </w:pPr>
      <w:r w:rsidRPr="00192789">
        <w:rPr>
          <w:rFonts w:ascii="Times New Roman" w:hAnsi="Times New Roman"/>
          <w:sz w:val="28"/>
          <w:szCs w:val="28"/>
        </w:rPr>
        <w:t>суммарный размер выручки участников вертикальной или комбинированной концентрации за последний финансовый год, предшествующий ее созданию, долж</w:t>
      </w:r>
      <w:r w:rsidR="00B73C36">
        <w:rPr>
          <w:rFonts w:ascii="Times New Roman" w:hAnsi="Times New Roman"/>
          <w:sz w:val="28"/>
          <w:szCs w:val="28"/>
        </w:rPr>
        <w:t>е</w:t>
      </w:r>
      <w:r w:rsidRPr="00192789">
        <w:rPr>
          <w:rFonts w:ascii="Times New Roman" w:hAnsi="Times New Roman"/>
          <w:sz w:val="28"/>
          <w:szCs w:val="28"/>
        </w:rPr>
        <w:t xml:space="preserve">н составлять не менее </w:t>
      </w:r>
      <w:r w:rsidR="00A90555">
        <w:rPr>
          <w:rFonts w:ascii="Times New Roman" w:hAnsi="Times New Roman"/>
          <w:sz w:val="28"/>
          <w:szCs w:val="28"/>
        </w:rPr>
        <w:t>4 млрд</w:t>
      </w:r>
      <w:r w:rsidRPr="00192789">
        <w:rPr>
          <w:rFonts w:ascii="Times New Roman" w:hAnsi="Times New Roman"/>
          <w:sz w:val="28"/>
          <w:szCs w:val="28"/>
        </w:rPr>
        <w:t xml:space="preserve"> драм</w:t>
      </w:r>
      <w:r w:rsidR="006F1EC3">
        <w:rPr>
          <w:rFonts w:ascii="Times New Roman" w:hAnsi="Times New Roman"/>
          <w:sz w:val="28"/>
          <w:szCs w:val="28"/>
        </w:rPr>
        <w:t>ов</w:t>
      </w:r>
      <w:r w:rsidRPr="00192789">
        <w:rPr>
          <w:rFonts w:ascii="Times New Roman" w:hAnsi="Times New Roman"/>
          <w:sz w:val="28"/>
          <w:szCs w:val="28"/>
        </w:rPr>
        <w:t xml:space="preserve"> или размер выручки хотя бы одного из участников за последний финансовый год, предшествующий ее созданию</w:t>
      </w:r>
      <w:r w:rsidR="00B73C36">
        <w:rPr>
          <w:rFonts w:ascii="Times New Roman" w:hAnsi="Times New Roman"/>
          <w:sz w:val="28"/>
          <w:szCs w:val="28"/>
        </w:rPr>
        <w:t xml:space="preserve">, </w:t>
      </w:r>
      <w:r w:rsidR="00B73C36" w:rsidRPr="00B73C36">
        <w:rPr>
          <w:rFonts w:ascii="Times New Roman" w:hAnsi="Times New Roman"/>
          <w:sz w:val="28"/>
          <w:szCs w:val="28"/>
        </w:rPr>
        <w:t>–</w:t>
      </w:r>
      <w:r w:rsidR="00636F0D">
        <w:rPr>
          <w:rFonts w:ascii="Times New Roman" w:hAnsi="Times New Roman"/>
          <w:sz w:val="28"/>
          <w:szCs w:val="28"/>
        </w:rPr>
        <w:t xml:space="preserve"> </w:t>
      </w:r>
      <w:r w:rsidRPr="00192789">
        <w:rPr>
          <w:rFonts w:ascii="Times New Roman" w:hAnsi="Times New Roman"/>
          <w:sz w:val="28"/>
          <w:szCs w:val="28"/>
        </w:rPr>
        <w:t xml:space="preserve">не менее </w:t>
      </w:r>
      <w:r w:rsidR="00A90555">
        <w:rPr>
          <w:rFonts w:ascii="Times New Roman" w:hAnsi="Times New Roman"/>
          <w:sz w:val="28"/>
          <w:szCs w:val="28"/>
        </w:rPr>
        <w:t>3 млрд</w:t>
      </w:r>
      <w:r w:rsidRPr="00192789">
        <w:rPr>
          <w:rFonts w:ascii="Times New Roman" w:hAnsi="Times New Roman"/>
          <w:sz w:val="28"/>
          <w:szCs w:val="28"/>
        </w:rPr>
        <w:t xml:space="preserve"> драм</w:t>
      </w:r>
      <w:r w:rsidR="006F1EC3">
        <w:rPr>
          <w:rFonts w:ascii="Times New Roman" w:hAnsi="Times New Roman"/>
          <w:sz w:val="28"/>
          <w:szCs w:val="28"/>
        </w:rPr>
        <w:t>ов</w:t>
      </w:r>
      <w:r w:rsidRPr="00192789">
        <w:rPr>
          <w:rFonts w:ascii="Times New Roman" w:hAnsi="Times New Roman"/>
          <w:sz w:val="28"/>
          <w:szCs w:val="28"/>
        </w:rPr>
        <w:t>.</w:t>
      </w:r>
    </w:p>
    <w:p w:rsidR="006F0EA5" w:rsidRPr="00432397" w:rsidRDefault="006F0EA5" w:rsidP="008B3002">
      <w:pPr>
        <w:spacing w:after="0" w:line="315" w:lineRule="exact"/>
        <w:ind w:firstLine="709"/>
        <w:jc w:val="both"/>
        <w:rPr>
          <w:rFonts w:ascii="Times New Roman" w:hAnsi="Times New Roman"/>
          <w:sz w:val="28"/>
          <w:szCs w:val="28"/>
        </w:rPr>
      </w:pPr>
      <w:r w:rsidRPr="00432397">
        <w:rPr>
          <w:rFonts w:ascii="Times New Roman" w:hAnsi="Times New Roman"/>
          <w:sz w:val="28"/>
          <w:szCs w:val="28"/>
        </w:rPr>
        <w:t>В 2018 году были внесены дополнения в законы Республики Армения</w:t>
      </w:r>
      <w:r w:rsidRPr="00432397">
        <w:t xml:space="preserve"> </w:t>
      </w:r>
      <w:r w:rsidRPr="00432397">
        <w:rPr>
          <w:rFonts w:ascii="Times New Roman" w:hAnsi="Times New Roman"/>
          <w:sz w:val="28"/>
          <w:szCs w:val="28"/>
        </w:rPr>
        <w:t>от 5 декабря 2000 года №</w:t>
      </w:r>
      <w:r w:rsidR="004B066E" w:rsidRPr="00432397">
        <w:rPr>
          <w:rFonts w:ascii="Times New Roman" w:hAnsi="Times New Roman"/>
          <w:sz w:val="28"/>
          <w:szCs w:val="28"/>
        </w:rPr>
        <w:t> </w:t>
      </w:r>
      <w:r w:rsidRPr="00432397">
        <w:rPr>
          <w:rFonts w:ascii="Times New Roman" w:hAnsi="Times New Roman"/>
          <w:sz w:val="28"/>
          <w:szCs w:val="28"/>
        </w:rPr>
        <w:t>ЗР-112 «О защите экономической конкуренции» (</w:t>
      </w:r>
      <w:r w:rsidR="00B0254E" w:rsidRPr="00432397">
        <w:rPr>
          <w:rFonts w:ascii="Times New Roman" w:hAnsi="Times New Roman"/>
          <w:sz w:val="28"/>
          <w:szCs w:val="28"/>
        </w:rPr>
        <w:t>с</w:t>
      </w:r>
      <w:r w:rsidRPr="00432397">
        <w:rPr>
          <w:rFonts w:ascii="Times New Roman" w:hAnsi="Times New Roman"/>
          <w:sz w:val="28"/>
          <w:szCs w:val="28"/>
        </w:rPr>
        <w:t>татья</w:t>
      </w:r>
      <w:r w:rsidR="004B066E" w:rsidRPr="00432397">
        <w:rPr>
          <w:rFonts w:ascii="Times New Roman" w:hAnsi="Times New Roman"/>
          <w:sz w:val="28"/>
          <w:szCs w:val="28"/>
        </w:rPr>
        <w:t> </w:t>
      </w:r>
      <w:r w:rsidRPr="00432397">
        <w:rPr>
          <w:rFonts w:ascii="Times New Roman" w:hAnsi="Times New Roman"/>
          <w:sz w:val="28"/>
          <w:szCs w:val="28"/>
        </w:rPr>
        <w:t>2) и от 30 июня 1996 года №</w:t>
      </w:r>
      <w:r w:rsidR="004B066E" w:rsidRPr="00432397">
        <w:rPr>
          <w:rFonts w:ascii="Times New Roman" w:hAnsi="Times New Roman"/>
          <w:sz w:val="28"/>
          <w:szCs w:val="28"/>
        </w:rPr>
        <w:t> </w:t>
      </w:r>
      <w:r w:rsidRPr="00432397">
        <w:rPr>
          <w:rFonts w:ascii="Times New Roman" w:hAnsi="Times New Roman"/>
          <w:sz w:val="28"/>
          <w:szCs w:val="28"/>
        </w:rPr>
        <w:t>Р-69 «О Центральном банке Республики Армения»</w:t>
      </w:r>
      <w:r w:rsidR="008D38D9" w:rsidRPr="00432397">
        <w:rPr>
          <w:rFonts w:ascii="Times New Roman" w:hAnsi="Times New Roman"/>
          <w:sz w:val="28"/>
          <w:szCs w:val="28"/>
        </w:rPr>
        <w:t xml:space="preserve"> (</w:t>
      </w:r>
      <w:r w:rsidR="00B0254E" w:rsidRPr="00432397">
        <w:rPr>
          <w:rFonts w:ascii="Times New Roman" w:hAnsi="Times New Roman"/>
          <w:sz w:val="28"/>
          <w:szCs w:val="28"/>
        </w:rPr>
        <w:t>с</w:t>
      </w:r>
      <w:r w:rsidR="008D38D9" w:rsidRPr="00432397">
        <w:rPr>
          <w:rFonts w:ascii="Times New Roman" w:hAnsi="Times New Roman"/>
          <w:sz w:val="28"/>
          <w:szCs w:val="28"/>
        </w:rPr>
        <w:t>татья 7</w:t>
      </w:r>
      <w:r w:rsidR="00B0254E" w:rsidRPr="00432397">
        <w:rPr>
          <w:rFonts w:ascii="Times New Roman" w:hAnsi="Times New Roman"/>
          <w:sz w:val="28"/>
          <w:szCs w:val="28"/>
        </w:rPr>
        <w:t>.1). Согласно новым дополнениям</w:t>
      </w:r>
      <w:r w:rsidR="008D38D9" w:rsidRPr="00432397">
        <w:rPr>
          <w:rFonts w:ascii="Times New Roman" w:hAnsi="Times New Roman"/>
          <w:sz w:val="28"/>
          <w:szCs w:val="28"/>
        </w:rPr>
        <w:t xml:space="preserve"> Комиссия осуществляет функции по защите экономической конкуренции в отношении лиц, регулирование или надзор за деятельностью которых осуществляется Центральным банком Республики Армения, а также лиц, действующих в регулируемой сфере общественных услуг, в сотрудничестве с Центральным банком Республики Армения и Комиссией по регулированию общественных услуг Республики Армения (далее – </w:t>
      </w:r>
      <w:r w:rsidR="00B0254E" w:rsidRPr="00432397">
        <w:rPr>
          <w:rFonts w:ascii="Times New Roman" w:hAnsi="Times New Roman"/>
          <w:sz w:val="28"/>
          <w:szCs w:val="28"/>
        </w:rPr>
        <w:t>р</w:t>
      </w:r>
      <w:r w:rsidR="008D38D9" w:rsidRPr="00432397">
        <w:rPr>
          <w:rFonts w:ascii="Times New Roman" w:hAnsi="Times New Roman"/>
          <w:sz w:val="28"/>
          <w:szCs w:val="28"/>
        </w:rPr>
        <w:t>егулирующие органы).</w:t>
      </w:r>
    </w:p>
    <w:p w:rsidR="008D38D9" w:rsidRDefault="008D38D9" w:rsidP="008B3002">
      <w:pPr>
        <w:spacing w:after="0" w:line="315" w:lineRule="exact"/>
        <w:ind w:firstLine="709"/>
        <w:jc w:val="both"/>
        <w:rPr>
          <w:rFonts w:ascii="Times New Roman" w:hAnsi="Times New Roman"/>
          <w:sz w:val="28"/>
          <w:szCs w:val="28"/>
        </w:rPr>
      </w:pPr>
      <w:r w:rsidRPr="00432397">
        <w:rPr>
          <w:rFonts w:ascii="Times New Roman" w:hAnsi="Times New Roman"/>
          <w:sz w:val="28"/>
          <w:szCs w:val="28"/>
        </w:rPr>
        <w:t xml:space="preserve">Комиссия информирует </w:t>
      </w:r>
      <w:r w:rsidR="00B0254E" w:rsidRPr="00432397">
        <w:rPr>
          <w:rFonts w:ascii="Times New Roman" w:hAnsi="Times New Roman"/>
          <w:sz w:val="28"/>
          <w:szCs w:val="28"/>
        </w:rPr>
        <w:t>р</w:t>
      </w:r>
      <w:r w:rsidRPr="00432397">
        <w:rPr>
          <w:rFonts w:ascii="Times New Roman" w:hAnsi="Times New Roman"/>
          <w:sz w:val="28"/>
          <w:szCs w:val="28"/>
        </w:rPr>
        <w:t>егулирующие органы относительно проблем, касающихся экономической конкуренции. Комиссия воздерживается от какого-либо вмешательства, связанного с рассматриваемым</w:t>
      </w:r>
      <w:r w:rsidR="00F7173F" w:rsidRPr="00432397">
        <w:rPr>
          <w:rFonts w:ascii="Times New Roman" w:hAnsi="Times New Roman"/>
          <w:sz w:val="28"/>
          <w:szCs w:val="28"/>
        </w:rPr>
        <w:t xml:space="preserve"> вопросом относительно экономической конкуренции, если </w:t>
      </w:r>
      <w:r w:rsidR="00B0254E" w:rsidRPr="00432397">
        <w:rPr>
          <w:rFonts w:ascii="Times New Roman" w:hAnsi="Times New Roman"/>
          <w:sz w:val="28"/>
          <w:szCs w:val="28"/>
        </w:rPr>
        <w:t>р</w:t>
      </w:r>
      <w:r w:rsidR="00F7173F" w:rsidRPr="00432397">
        <w:rPr>
          <w:rFonts w:ascii="Times New Roman" w:hAnsi="Times New Roman"/>
          <w:sz w:val="28"/>
          <w:szCs w:val="28"/>
        </w:rPr>
        <w:t xml:space="preserve">егулирующие органы должным образом уведомляют Комиссию о том, что данный вопрос, исходя из установленных законом целей регулирования, </w:t>
      </w:r>
      <w:r w:rsidR="00B0254E" w:rsidRPr="00432397">
        <w:rPr>
          <w:rFonts w:ascii="Times New Roman" w:hAnsi="Times New Roman"/>
          <w:sz w:val="28"/>
          <w:szCs w:val="28"/>
        </w:rPr>
        <w:t>относится</w:t>
      </w:r>
      <w:r w:rsidR="00F7173F" w:rsidRPr="00432397">
        <w:rPr>
          <w:rFonts w:ascii="Times New Roman" w:hAnsi="Times New Roman"/>
          <w:sz w:val="28"/>
          <w:szCs w:val="28"/>
        </w:rPr>
        <w:t xml:space="preserve"> к компетенции </w:t>
      </w:r>
      <w:r w:rsidR="00B0254E" w:rsidRPr="00432397">
        <w:rPr>
          <w:rFonts w:ascii="Times New Roman" w:hAnsi="Times New Roman"/>
          <w:sz w:val="28"/>
          <w:szCs w:val="28"/>
        </w:rPr>
        <w:t>регулирующих органов, и р</w:t>
      </w:r>
      <w:r w:rsidR="00F7173F" w:rsidRPr="00432397">
        <w:rPr>
          <w:rFonts w:ascii="Times New Roman" w:hAnsi="Times New Roman"/>
          <w:sz w:val="28"/>
          <w:szCs w:val="28"/>
        </w:rPr>
        <w:t>егулирующие органы осуществляют установленные законом функции.</w:t>
      </w:r>
      <w:r w:rsidR="004D315D" w:rsidRPr="00432397">
        <w:rPr>
          <w:rFonts w:ascii="Times New Roman" w:hAnsi="Times New Roman"/>
          <w:sz w:val="28"/>
          <w:szCs w:val="28"/>
        </w:rPr>
        <w:t xml:space="preserve"> Комиссия может изложить свою позицию в установленном порядке, однако окончательное решение принимают </w:t>
      </w:r>
      <w:r w:rsidR="00B0254E" w:rsidRPr="00432397">
        <w:rPr>
          <w:rFonts w:ascii="Times New Roman" w:hAnsi="Times New Roman"/>
          <w:sz w:val="28"/>
          <w:szCs w:val="28"/>
        </w:rPr>
        <w:t>р</w:t>
      </w:r>
      <w:r w:rsidR="004D315D" w:rsidRPr="00432397">
        <w:rPr>
          <w:rFonts w:ascii="Times New Roman" w:hAnsi="Times New Roman"/>
          <w:sz w:val="28"/>
          <w:szCs w:val="28"/>
        </w:rPr>
        <w:t>егулирующие органы</w:t>
      </w:r>
      <w:r w:rsidR="004D315D" w:rsidRPr="004D315D">
        <w:rPr>
          <w:rFonts w:ascii="Times New Roman" w:hAnsi="Times New Roman"/>
          <w:sz w:val="28"/>
          <w:szCs w:val="28"/>
          <w:highlight w:val="lightGray"/>
        </w:rPr>
        <w:t>.</w:t>
      </w:r>
    </w:p>
    <w:p w:rsidR="0068434D" w:rsidRPr="006A6943" w:rsidRDefault="0068434D" w:rsidP="008B3002">
      <w:pPr>
        <w:pStyle w:val="4"/>
        <w:spacing w:line="315" w:lineRule="exact"/>
      </w:pPr>
      <w:r w:rsidRPr="006A6943">
        <w:t>Республика Беларусь</w:t>
      </w:r>
    </w:p>
    <w:p w:rsidR="0068434D" w:rsidRPr="006A6943" w:rsidRDefault="0068434D" w:rsidP="008B3002">
      <w:pPr>
        <w:spacing w:after="0" w:line="315" w:lineRule="exact"/>
        <w:ind w:firstLine="709"/>
        <w:jc w:val="both"/>
        <w:rPr>
          <w:rFonts w:ascii="Times New Roman" w:hAnsi="Times New Roman"/>
          <w:sz w:val="28"/>
          <w:szCs w:val="28"/>
        </w:rPr>
      </w:pPr>
      <w:r w:rsidRPr="006A6943">
        <w:rPr>
          <w:rFonts w:ascii="Times New Roman" w:hAnsi="Times New Roman"/>
          <w:sz w:val="28"/>
          <w:szCs w:val="28"/>
        </w:rPr>
        <w:t>Повышение ценности больших</w:t>
      </w:r>
      <w:r w:rsidR="006F1EC3">
        <w:rPr>
          <w:rFonts w:ascii="Times New Roman" w:hAnsi="Times New Roman"/>
          <w:sz w:val="28"/>
          <w:szCs w:val="28"/>
        </w:rPr>
        <w:t xml:space="preserve"> об</w:t>
      </w:r>
      <w:r w:rsidR="006F0EA5">
        <w:rPr>
          <w:rFonts w:ascii="Times New Roman" w:hAnsi="Times New Roman"/>
          <w:sz w:val="28"/>
          <w:szCs w:val="28"/>
        </w:rPr>
        <w:t>ъ</w:t>
      </w:r>
      <w:r w:rsidR="006F1EC3">
        <w:rPr>
          <w:rFonts w:ascii="Times New Roman" w:hAnsi="Times New Roman"/>
          <w:sz w:val="28"/>
          <w:szCs w:val="28"/>
        </w:rPr>
        <w:t>емов</w:t>
      </w:r>
      <w:r w:rsidRPr="006A6943">
        <w:rPr>
          <w:rFonts w:ascii="Times New Roman" w:hAnsi="Times New Roman"/>
          <w:sz w:val="28"/>
          <w:szCs w:val="28"/>
        </w:rPr>
        <w:t xml:space="preserve"> данных, информации сегодня демонстрирует неоспоримую важность при рассмотрении антимонопольными органами сделок экономической концентрации. </w:t>
      </w:r>
    </w:p>
    <w:p w:rsidR="0068434D" w:rsidRPr="006A6943" w:rsidRDefault="0068434D" w:rsidP="008B3002">
      <w:pPr>
        <w:spacing w:after="0" w:line="315" w:lineRule="exact"/>
        <w:ind w:firstLine="709"/>
        <w:jc w:val="both"/>
        <w:rPr>
          <w:rFonts w:ascii="Times New Roman" w:hAnsi="Times New Roman"/>
          <w:sz w:val="28"/>
          <w:szCs w:val="28"/>
        </w:rPr>
      </w:pPr>
      <w:r w:rsidRPr="006A6943">
        <w:rPr>
          <w:rFonts w:ascii="Times New Roman" w:hAnsi="Times New Roman"/>
          <w:sz w:val="28"/>
          <w:szCs w:val="28"/>
        </w:rPr>
        <w:t>Правоприменительная практика Республики Беларусь не содержит ярких примеров экономической концентрации хозяйствующих субъектов, владеющих большими объемами данных, однако имеется пример совершения сделок, при которых антимонопольному органу необходимо</w:t>
      </w:r>
      <w:r w:rsidR="006F1EC3">
        <w:rPr>
          <w:rFonts w:ascii="Times New Roman" w:hAnsi="Times New Roman"/>
          <w:sz w:val="28"/>
          <w:szCs w:val="28"/>
        </w:rPr>
        <w:t xml:space="preserve"> не только</w:t>
      </w:r>
      <w:r w:rsidRPr="006A6943">
        <w:rPr>
          <w:rFonts w:ascii="Times New Roman" w:hAnsi="Times New Roman"/>
          <w:sz w:val="28"/>
          <w:szCs w:val="28"/>
        </w:rPr>
        <w:t xml:space="preserve"> оценивать влияние совершаемой сделки на товарные рынки, участниками которых являются участники сделки, но и учитывать имеющийся потенциал компаний (инновационный, инфраструктурный и др.).</w:t>
      </w:r>
    </w:p>
    <w:p w:rsidR="0068434D" w:rsidRPr="006A6943" w:rsidRDefault="0068434D" w:rsidP="008B3002">
      <w:pPr>
        <w:spacing w:after="0" w:line="315" w:lineRule="exact"/>
        <w:ind w:firstLine="709"/>
        <w:jc w:val="both"/>
        <w:rPr>
          <w:rFonts w:ascii="Times New Roman" w:hAnsi="Times New Roman"/>
          <w:sz w:val="28"/>
          <w:szCs w:val="28"/>
        </w:rPr>
      </w:pPr>
      <w:r w:rsidRPr="006A6943">
        <w:rPr>
          <w:rFonts w:ascii="Times New Roman" w:hAnsi="Times New Roman"/>
          <w:sz w:val="28"/>
          <w:szCs w:val="28"/>
        </w:rPr>
        <w:t>Так, в настоящее время в Республике Беларусь один из крупнейших операторов сотовой подвижной электросвязи совершает действия по присоединению и (или) приобретению акций (долей в уставном фонде) мелких операторов, которые осуществляют деятельность на товарных рынках услуг тел</w:t>
      </w:r>
      <w:r w:rsidR="004E6DBD">
        <w:rPr>
          <w:rFonts w:ascii="Times New Roman" w:hAnsi="Times New Roman"/>
          <w:sz w:val="28"/>
          <w:szCs w:val="28"/>
        </w:rPr>
        <w:t xml:space="preserve">евизионного вещания, доступа в </w:t>
      </w:r>
      <w:r w:rsidRPr="006A6943">
        <w:rPr>
          <w:rFonts w:ascii="Times New Roman" w:hAnsi="Times New Roman"/>
          <w:sz w:val="28"/>
          <w:szCs w:val="28"/>
        </w:rPr>
        <w:t xml:space="preserve">Интернет. </w:t>
      </w:r>
    </w:p>
    <w:p w:rsidR="0068434D" w:rsidRPr="006A6943" w:rsidRDefault="0068434D" w:rsidP="008B3002">
      <w:pPr>
        <w:spacing w:after="0" w:line="315" w:lineRule="exact"/>
        <w:ind w:firstLine="709"/>
        <w:jc w:val="both"/>
        <w:rPr>
          <w:rFonts w:ascii="Times New Roman" w:hAnsi="Times New Roman"/>
          <w:sz w:val="28"/>
          <w:szCs w:val="28"/>
        </w:rPr>
      </w:pPr>
      <w:r w:rsidRPr="006A6943">
        <w:rPr>
          <w:rFonts w:ascii="Times New Roman" w:hAnsi="Times New Roman"/>
          <w:sz w:val="28"/>
          <w:szCs w:val="28"/>
        </w:rPr>
        <w:t>Если антимонопольному органу применять традиционный подход при рассмотрении данных слияний (оценивать влияние совершаемой сделки на товарные рынки, на которых действуют участники сделки), то сделки, осуществляемые участниками разных товарных рынков, не приводят к установлению, усилению доминирующего положения и в соответствии с законодательством не имеют оснований для отказа в их осуществлении.</w:t>
      </w:r>
    </w:p>
    <w:p w:rsidR="0068434D" w:rsidRPr="006A6943" w:rsidRDefault="0068434D" w:rsidP="008B3002">
      <w:pPr>
        <w:spacing w:after="0" w:line="315" w:lineRule="exact"/>
        <w:ind w:firstLine="709"/>
        <w:jc w:val="both"/>
        <w:rPr>
          <w:rFonts w:ascii="Times New Roman" w:hAnsi="Times New Roman"/>
          <w:sz w:val="28"/>
          <w:szCs w:val="28"/>
        </w:rPr>
      </w:pPr>
      <w:r w:rsidRPr="006A6943">
        <w:rPr>
          <w:rFonts w:ascii="Times New Roman" w:hAnsi="Times New Roman"/>
          <w:sz w:val="28"/>
          <w:szCs w:val="28"/>
        </w:rPr>
        <w:t xml:space="preserve">Однако если учесть, что крупный оператор сотовой подвижной электросвязи имеет на территории Республики Беларусь </w:t>
      </w:r>
      <w:r w:rsidR="006C5CDD">
        <w:rPr>
          <w:rFonts w:ascii="Times New Roman" w:hAnsi="Times New Roman"/>
          <w:sz w:val="28"/>
          <w:szCs w:val="28"/>
        </w:rPr>
        <w:t>довольно</w:t>
      </w:r>
      <w:r w:rsidRPr="006A6943">
        <w:rPr>
          <w:rFonts w:ascii="Times New Roman" w:hAnsi="Times New Roman"/>
          <w:sz w:val="28"/>
          <w:szCs w:val="28"/>
        </w:rPr>
        <w:t xml:space="preserve"> развитую инфраструктуру и в результате совершенных действий уже является участником практически всех товарных рынков услуг электросвязи (сотовой подвижной электросвязи, передачи данных, телевизионного вещания и др.), то в данной ситуации антимонопольному органу необходимо использова</w:t>
      </w:r>
      <w:r w:rsidR="006C5CDD">
        <w:rPr>
          <w:rFonts w:ascii="Times New Roman" w:hAnsi="Times New Roman"/>
          <w:sz w:val="28"/>
          <w:szCs w:val="28"/>
        </w:rPr>
        <w:t>ть</w:t>
      </w:r>
      <w:r w:rsidRPr="006A6943">
        <w:rPr>
          <w:rFonts w:ascii="Times New Roman" w:hAnsi="Times New Roman"/>
          <w:sz w:val="28"/>
          <w:szCs w:val="28"/>
        </w:rPr>
        <w:t xml:space="preserve"> новы</w:t>
      </w:r>
      <w:r w:rsidR="006C5CDD">
        <w:rPr>
          <w:rFonts w:ascii="Times New Roman" w:hAnsi="Times New Roman"/>
          <w:sz w:val="28"/>
          <w:szCs w:val="28"/>
        </w:rPr>
        <w:t>е</w:t>
      </w:r>
      <w:r w:rsidRPr="006A6943">
        <w:rPr>
          <w:rFonts w:ascii="Times New Roman" w:hAnsi="Times New Roman"/>
          <w:sz w:val="28"/>
          <w:szCs w:val="28"/>
        </w:rPr>
        <w:t xml:space="preserve"> подход</w:t>
      </w:r>
      <w:r w:rsidR="006C5CDD">
        <w:rPr>
          <w:rFonts w:ascii="Times New Roman" w:hAnsi="Times New Roman"/>
          <w:sz w:val="28"/>
          <w:szCs w:val="28"/>
        </w:rPr>
        <w:t>ы</w:t>
      </w:r>
      <w:r w:rsidRPr="006A6943">
        <w:rPr>
          <w:rFonts w:ascii="Times New Roman" w:hAnsi="Times New Roman"/>
          <w:sz w:val="28"/>
          <w:szCs w:val="28"/>
        </w:rPr>
        <w:t>, позволяющи</w:t>
      </w:r>
      <w:r w:rsidR="006C5CDD">
        <w:rPr>
          <w:rFonts w:ascii="Times New Roman" w:hAnsi="Times New Roman"/>
          <w:sz w:val="28"/>
          <w:szCs w:val="28"/>
        </w:rPr>
        <w:t>е</w:t>
      </w:r>
      <w:r w:rsidRPr="006A6943">
        <w:rPr>
          <w:rFonts w:ascii="Times New Roman" w:hAnsi="Times New Roman"/>
          <w:sz w:val="28"/>
          <w:szCs w:val="28"/>
        </w:rPr>
        <w:t xml:space="preserve"> оценить не только влияние слияния на структуру рынка, но и учесть будущие потенциальные возможности крупного оператора.</w:t>
      </w:r>
    </w:p>
    <w:p w:rsidR="0068434D" w:rsidRPr="006A6943" w:rsidRDefault="0068434D" w:rsidP="008B3002">
      <w:pPr>
        <w:spacing w:after="0" w:line="315" w:lineRule="exact"/>
        <w:ind w:firstLine="709"/>
        <w:jc w:val="both"/>
        <w:rPr>
          <w:rFonts w:ascii="Times New Roman" w:hAnsi="Times New Roman"/>
          <w:sz w:val="28"/>
          <w:szCs w:val="28"/>
        </w:rPr>
      </w:pPr>
      <w:r w:rsidRPr="006A6943">
        <w:rPr>
          <w:rFonts w:ascii="Times New Roman" w:hAnsi="Times New Roman"/>
          <w:sz w:val="28"/>
          <w:szCs w:val="28"/>
        </w:rPr>
        <w:t>Так, например, оператор имеет большую абонентскую базу на рынке услуг сотовой подвижной электросвязи, а также владеет определенным набором данных о своих абонентах и может использовать эти данные при осуществлении деятельности на иных товарных рынках. Также необходимо учитывать наличие инфраструктуры, предоставляющей крупному оператору преимущества в сравнении с мелкими региональными операторами, которые не могут обеспечи</w:t>
      </w:r>
      <w:r w:rsidR="006F1EC3">
        <w:rPr>
          <w:rFonts w:ascii="Times New Roman" w:hAnsi="Times New Roman"/>
          <w:sz w:val="28"/>
          <w:szCs w:val="28"/>
        </w:rPr>
        <w:t>ть своим абонентам более высокое</w:t>
      </w:r>
      <w:r w:rsidRPr="006A6943">
        <w:rPr>
          <w:rFonts w:ascii="Times New Roman" w:hAnsi="Times New Roman"/>
          <w:sz w:val="28"/>
          <w:szCs w:val="28"/>
        </w:rPr>
        <w:t xml:space="preserve"> качеств</w:t>
      </w:r>
      <w:r w:rsidR="006F1EC3">
        <w:rPr>
          <w:rFonts w:ascii="Times New Roman" w:hAnsi="Times New Roman"/>
          <w:sz w:val="28"/>
          <w:szCs w:val="28"/>
        </w:rPr>
        <w:t>о</w:t>
      </w:r>
      <w:r w:rsidRPr="006A6943">
        <w:rPr>
          <w:rFonts w:ascii="Times New Roman" w:hAnsi="Times New Roman"/>
          <w:sz w:val="28"/>
          <w:szCs w:val="28"/>
        </w:rPr>
        <w:t xml:space="preserve"> услуг, предоставить более выгодные ценовые предложения и т.д. Указанные преимущества создают предпосылки для ограничения конкуренции на товарных рынках по отношению к мелким операторам.</w:t>
      </w:r>
    </w:p>
    <w:p w:rsidR="0068434D" w:rsidRDefault="0068434D" w:rsidP="008B3002">
      <w:pPr>
        <w:spacing w:after="0" w:line="315" w:lineRule="exact"/>
        <w:ind w:firstLine="709"/>
        <w:jc w:val="both"/>
        <w:rPr>
          <w:rFonts w:ascii="Times New Roman" w:hAnsi="Times New Roman"/>
          <w:sz w:val="28"/>
          <w:szCs w:val="28"/>
        </w:rPr>
      </w:pPr>
      <w:r w:rsidRPr="006A6943">
        <w:rPr>
          <w:rFonts w:ascii="Times New Roman" w:hAnsi="Times New Roman"/>
          <w:sz w:val="28"/>
          <w:szCs w:val="28"/>
        </w:rPr>
        <w:t>Таким образом, антимонопольному органу необходима выработка новых методов и подходов при рассмотрении таких сделок, которые требуют не только проведения анализа влияния планируемой к совершению сделки на структуру рынка, но и оценки наличия у хозяйствующего субъекта возможности и потенциала, которые могут быть использованы для завоевания доли на товарном рынке информационно-коммуникационных услуг. Для проведения такого анализа антимонопольному органу зачастую недостаточно установленного в настоящее время законодательством Республики Беларусь временного периода (30 дней) и установленного перечня предоставляемых документов и сведений, что также является своего рода препятствием к объективной оценке последствий экономической концентрации на современных цифровых рынках.</w:t>
      </w:r>
    </w:p>
    <w:p w:rsidR="00A47679" w:rsidRPr="00A47679" w:rsidRDefault="00A47679" w:rsidP="008B3002">
      <w:pPr>
        <w:pStyle w:val="4"/>
        <w:spacing w:line="315" w:lineRule="exact"/>
      </w:pPr>
      <w:r>
        <w:t>Республика Казахстан</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В целях предотвращения возникновения монопольного положения и (или) ограничения конкуренции Комитет по регулированию естественных монополий, защите конкуренции и прав потребителей Министерства национальной экономики (далее – Комитет) осуществляет регулирование экономической концентрации в соответствии со статьями 200</w:t>
      </w:r>
      <w:r w:rsidR="00F9318B">
        <w:rPr>
          <w:rFonts w:ascii="Times New Roman" w:hAnsi="Times New Roman"/>
          <w:sz w:val="28"/>
          <w:szCs w:val="28"/>
        </w:rPr>
        <w:t>–</w:t>
      </w:r>
      <w:r w:rsidRPr="00A47679">
        <w:rPr>
          <w:rFonts w:ascii="Times New Roman" w:hAnsi="Times New Roman"/>
          <w:sz w:val="28"/>
          <w:szCs w:val="28"/>
        </w:rPr>
        <w:t>210 Предпринимательского кодекса Республики Казахстан (далее – Кодекс).</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Согла</w:t>
      </w:r>
      <w:r w:rsidR="006F1EC3">
        <w:rPr>
          <w:rFonts w:ascii="Times New Roman" w:hAnsi="Times New Roman"/>
          <w:sz w:val="28"/>
          <w:szCs w:val="28"/>
        </w:rPr>
        <w:t>сно пункту 1 статьи 201 Кодекса</w:t>
      </w:r>
      <w:r w:rsidRPr="00A47679">
        <w:rPr>
          <w:rFonts w:ascii="Times New Roman" w:hAnsi="Times New Roman"/>
          <w:sz w:val="28"/>
          <w:szCs w:val="28"/>
        </w:rPr>
        <w:t xml:space="preserve"> экономической концентрацией призна</w:t>
      </w:r>
      <w:r w:rsidR="0057290A">
        <w:rPr>
          <w:rFonts w:ascii="Times New Roman" w:hAnsi="Times New Roman"/>
          <w:sz w:val="28"/>
          <w:szCs w:val="28"/>
        </w:rPr>
        <w:t>ю</w:t>
      </w:r>
      <w:r w:rsidRPr="00A47679">
        <w:rPr>
          <w:rFonts w:ascii="Times New Roman" w:hAnsi="Times New Roman"/>
          <w:sz w:val="28"/>
          <w:szCs w:val="28"/>
        </w:rPr>
        <w:t>тся:</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реорганизация субъекта рынка путем слияния или присоединения;</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 xml:space="preserve">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w:t>
      </w:r>
      <w:r w:rsidR="006F1EC3">
        <w:rPr>
          <w:rFonts w:ascii="Times New Roman" w:hAnsi="Times New Roman"/>
          <w:sz w:val="28"/>
          <w:szCs w:val="28"/>
        </w:rPr>
        <w:t>50</w:t>
      </w:r>
      <w:r w:rsidR="00F15420">
        <w:rPr>
          <w:rFonts w:ascii="Times New Roman" w:hAnsi="Times New Roman"/>
          <w:sz w:val="28"/>
          <w:szCs w:val="28"/>
        </w:rPr>
        <w:t> </w:t>
      </w:r>
      <w:r w:rsidR="0057290A">
        <w:rPr>
          <w:rFonts w:ascii="Times New Roman" w:hAnsi="Times New Roman"/>
          <w:sz w:val="28"/>
          <w:szCs w:val="28"/>
        </w:rPr>
        <w:t>%</w:t>
      </w:r>
      <w:r w:rsidRPr="00A47679">
        <w:rPr>
          <w:rFonts w:ascii="Times New Roman" w:hAnsi="Times New Roman"/>
          <w:sz w:val="28"/>
          <w:szCs w:val="28"/>
        </w:rPr>
        <w:t xml:space="preserve">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w:t>
      </w:r>
      <w:r w:rsidR="006F1EC3">
        <w:rPr>
          <w:rFonts w:ascii="Times New Roman" w:hAnsi="Times New Roman"/>
          <w:sz w:val="28"/>
          <w:szCs w:val="28"/>
        </w:rPr>
        <w:t>50</w:t>
      </w:r>
      <w:r w:rsidR="00F15420">
        <w:rPr>
          <w:rFonts w:ascii="Times New Roman" w:hAnsi="Times New Roman"/>
          <w:sz w:val="28"/>
          <w:szCs w:val="28"/>
        </w:rPr>
        <w:t> </w:t>
      </w:r>
      <w:r w:rsidR="0057290A" w:rsidRPr="0057290A">
        <w:rPr>
          <w:rFonts w:ascii="Times New Roman" w:hAnsi="Times New Roman"/>
          <w:sz w:val="28"/>
          <w:szCs w:val="28"/>
        </w:rPr>
        <w:t>%</w:t>
      </w:r>
      <w:r w:rsidRPr="00A47679">
        <w:rPr>
          <w:rFonts w:ascii="Times New Roman" w:hAnsi="Times New Roman"/>
          <w:sz w:val="28"/>
          <w:szCs w:val="28"/>
        </w:rPr>
        <w:t xml:space="preserve"> или менее голосующих акций (долей участия в уставном капитале, паев) указанного субъекта рынка.</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Данное требование не распространяется на учредителей юридического лица при его создании;</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 xml:space="preserve">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w:t>
      </w:r>
      <w:r w:rsidR="006F1EC3">
        <w:rPr>
          <w:rFonts w:ascii="Times New Roman" w:hAnsi="Times New Roman"/>
          <w:sz w:val="28"/>
          <w:szCs w:val="28"/>
        </w:rPr>
        <w:t>10</w:t>
      </w:r>
      <w:r w:rsidR="00F15420">
        <w:rPr>
          <w:rFonts w:ascii="Times New Roman" w:hAnsi="Times New Roman"/>
          <w:sz w:val="28"/>
          <w:szCs w:val="28"/>
        </w:rPr>
        <w:t> </w:t>
      </w:r>
      <w:r w:rsidR="0057290A" w:rsidRPr="0057290A">
        <w:rPr>
          <w:rFonts w:ascii="Times New Roman" w:hAnsi="Times New Roman"/>
          <w:sz w:val="28"/>
          <w:szCs w:val="28"/>
        </w:rPr>
        <w:t>%</w:t>
      </w:r>
      <w:r w:rsidRPr="00A47679">
        <w:rPr>
          <w:rFonts w:ascii="Times New Roman" w:hAnsi="Times New Roman"/>
          <w:sz w:val="28"/>
          <w:szCs w:val="28"/>
        </w:rPr>
        <w:t xml:space="preserve"> балансовой стоимости основных производственных средств и нематериальных активов субъекта рынка, отчуждающего или передающего имущество;</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p w:rsidR="00A47679" w:rsidRPr="00A47679" w:rsidRDefault="00831794" w:rsidP="008B3002">
      <w:pPr>
        <w:spacing w:after="0" w:line="315" w:lineRule="exact"/>
        <w:ind w:firstLine="709"/>
        <w:jc w:val="both"/>
        <w:rPr>
          <w:rFonts w:ascii="Times New Roman" w:hAnsi="Times New Roman"/>
          <w:sz w:val="28"/>
          <w:szCs w:val="28"/>
        </w:rPr>
      </w:pPr>
      <w:r>
        <w:rPr>
          <w:rFonts w:ascii="Times New Roman" w:hAnsi="Times New Roman"/>
          <w:sz w:val="28"/>
          <w:szCs w:val="28"/>
        </w:rPr>
        <w:t>П</w:t>
      </w:r>
      <w:r w:rsidR="00A47679" w:rsidRPr="00A47679">
        <w:rPr>
          <w:rFonts w:ascii="Times New Roman" w:hAnsi="Times New Roman"/>
          <w:sz w:val="28"/>
          <w:szCs w:val="28"/>
        </w:rPr>
        <w:t>риказом Министра национальной экономики от</w:t>
      </w:r>
      <w:r>
        <w:rPr>
          <w:rFonts w:ascii="Times New Roman" w:hAnsi="Times New Roman"/>
          <w:sz w:val="28"/>
          <w:szCs w:val="28"/>
        </w:rPr>
        <w:t xml:space="preserve"> </w:t>
      </w:r>
      <w:r w:rsidRPr="00831794">
        <w:rPr>
          <w:rFonts w:ascii="Times New Roman" w:hAnsi="Times New Roman"/>
          <w:sz w:val="28"/>
          <w:szCs w:val="28"/>
        </w:rPr>
        <w:t>14 декабря 2017 года</w:t>
      </w:r>
      <w:r w:rsidR="00A47679" w:rsidRPr="00831794">
        <w:rPr>
          <w:rFonts w:ascii="Times New Roman" w:hAnsi="Times New Roman"/>
          <w:sz w:val="28"/>
          <w:szCs w:val="28"/>
        </w:rPr>
        <w:t xml:space="preserve"> </w:t>
      </w:r>
      <w:r w:rsidR="00E720B2">
        <w:rPr>
          <w:rFonts w:ascii="Times New Roman" w:hAnsi="Times New Roman"/>
          <w:sz w:val="28"/>
          <w:szCs w:val="28"/>
        </w:rPr>
        <w:t>№ </w:t>
      </w:r>
      <w:r w:rsidR="00A47679" w:rsidRPr="00A47679">
        <w:rPr>
          <w:rFonts w:ascii="Times New Roman" w:hAnsi="Times New Roman"/>
          <w:sz w:val="28"/>
          <w:szCs w:val="28"/>
        </w:rPr>
        <w:t>416 утверждена Методика оценки экономической концентрации на товарных рынках.</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Согласно пу</w:t>
      </w:r>
      <w:r w:rsidR="0057068C">
        <w:rPr>
          <w:rFonts w:ascii="Times New Roman" w:hAnsi="Times New Roman"/>
          <w:sz w:val="28"/>
          <w:szCs w:val="28"/>
        </w:rPr>
        <w:t>нкту 8 данной Методики в случае</w:t>
      </w:r>
      <w:r w:rsidRPr="00A47679">
        <w:rPr>
          <w:rFonts w:ascii="Times New Roman" w:hAnsi="Times New Roman"/>
          <w:sz w:val="28"/>
          <w:szCs w:val="28"/>
        </w:rPr>
        <w:t xml:space="preserve">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 ведомством антимонопольного органа проводится анализ состояния конкуренции на товарном рынке в соответствии со статьей 196 Кодекса и Методикой по проведению анализа и оценки состояния конкуренции на товарном рынке, утверждаемой в со</w:t>
      </w:r>
      <w:r w:rsidR="007852B1">
        <w:rPr>
          <w:rFonts w:ascii="Times New Roman" w:hAnsi="Times New Roman"/>
          <w:sz w:val="28"/>
          <w:szCs w:val="28"/>
        </w:rPr>
        <w:t>ответствии с подпунктом 13</w:t>
      </w:r>
      <w:r w:rsidRPr="00A47679">
        <w:rPr>
          <w:rFonts w:ascii="Times New Roman" w:hAnsi="Times New Roman"/>
          <w:sz w:val="28"/>
          <w:szCs w:val="28"/>
        </w:rPr>
        <w:t xml:space="preserve"> статьи 90-6 Кодекса.</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 xml:space="preserve">Из проводимых </w:t>
      </w:r>
      <w:r w:rsidR="007852B1" w:rsidRPr="007852B1">
        <w:rPr>
          <w:rFonts w:ascii="Times New Roman" w:hAnsi="Times New Roman"/>
          <w:sz w:val="28"/>
          <w:szCs w:val="28"/>
        </w:rPr>
        <w:t>Комитет</w:t>
      </w:r>
      <w:r w:rsidR="007852B1">
        <w:rPr>
          <w:rFonts w:ascii="Times New Roman" w:hAnsi="Times New Roman"/>
          <w:sz w:val="28"/>
          <w:szCs w:val="28"/>
        </w:rPr>
        <w:t>ом</w:t>
      </w:r>
      <w:r w:rsidR="007852B1" w:rsidRPr="007852B1">
        <w:rPr>
          <w:rFonts w:ascii="Times New Roman" w:hAnsi="Times New Roman"/>
          <w:sz w:val="28"/>
          <w:szCs w:val="28"/>
        </w:rPr>
        <w:t xml:space="preserve"> </w:t>
      </w:r>
      <w:r w:rsidRPr="00A47679">
        <w:rPr>
          <w:rFonts w:ascii="Times New Roman" w:hAnsi="Times New Roman"/>
          <w:sz w:val="28"/>
          <w:szCs w:val="28"/>
        </w:rPr>
        <w:t>анализов в рамках экономической концентрации, происходящей на цифровых рынках</w:t>
      </w:r>
      <w:r>
        <w:rPr>
          <w:rFonts w:ascii="Times New Roman" w:hAnsi="Times New Roman"/>
          <w:sz w:val="28"/>
          <w:szCs w:val="28"/>
        </w:rPr>
        <w:t>,</w:t>
      </w:r>
      <w:r w:rsidRPr="00A47679">
        <w:rPr>
          <w:rFonts w:ascii="Times New Roman" w:hAnsi="Times New Roman"/>
          <w:sz w:val="28"/>
          <w:szCs w:val="28"/>
        </w:rPr>
        <w:t xml:space="preserve"> наиболее ярким примером является сделка по слиянию агрегаторов такси – Яндекс.Такси и Uber B.V.</w:t>
      </w:r>
      <w:r w:rsidR="004A2FA5">
        <w:rPr>
          <w:rFonts w:ascii="Times New Roman" w:hAnsi="Times New Roman"/>
          <w:sz w:val="28"/>
          <w:szCs w:val="28"/>
        </w:rPr>
        <w:t xml:space="preserve"> </w:t>
      </w:r>
      <w:r w:rsidRPr="00A47679">
        <w:rPr>
          <w:rFonts w:ascii="Times New Roman" w:hAnsi="Times New Roman"/>
          <w:sz w:val="28"/>
          <w:szCs w:val="28"/>
        </w:rPr>
        <w:t xml:space="preserve">Суть сделки заключалась в приобретении компанией MLU B.V. (в группе лиц на территории Казахстана действует ТОО </w:t>
      </w:r>
      <w:r w:rsidR="004D2C9E">
        <w:rPr>
          <w:rFonts w:ascii="Times New Roman" w:hAnsi="Times New Roman"/>
          <w:sz w:val="28"/>
          <w:szCs w:val="28"/>
        </w:rPr>
        <w:t>«</w:t>
      </w:r>
      <w:r w:rsidRPr="00A47679">
        <w:rPr>
          <w:rFonts w:ascii="Times New Roman" w:hAnsi="Times New Roman"/>
          <w:sz w:val="28"/>
          <w:szCs w:val="28"/>
        </w:rPr>
        <w:t>Яндекс.Такси Казахстан</w:t>
      </w:r>
      <w:r w:rsidR="004D2C9E">
        <w:rPr>
          <w:rFonts w:ascii="Times New Roman" w:hAnsi="Times New Roman"/>
          <w:sz w:val="28"/>
          <w:szCs w:val="28"/>
        </w:rPr>
        <w:t>»</w:t>
      </w:r>
      <w:r w:rsidRPr="00A47679">
        <w:rPr>
          <w:rFonts w:ascii="Times New Roman" w:hAnsi="Times New Roman"/>
          <w:sz w:val="28"/>
          <w:szCs w:val="28"/>
        </w:rPr>
        <w:t>) 100</w:t>
      </w:r>
      <w:r w:rsidR="004D2C9E">
        <w:rPr>
          <w:rFonts w:ascii="Times New Roman" w:hAnsi="Times New Roman"/>
          <w:sz w:val="28"/>
          <w:szCs w:val="28"/>
        </w:rPr>
        <w:t> </w:t>
      </w:r>
      <w:r w:rsidR="00746C0C">
        <w:rPr>
          <w:rFonts w:ascii="Times New Roman" w:hAnsi="Times New Roman"/>
          <w:sz w:val="28"/>
          <w:szCs w:val="28"/>
        </w:rPr>
        <w:t>%</w:t>
      </w:r>
      <w:r w:rsidRPr="00A47679">
        <w:rPr>
          <w:rFonts w:ascii="Times New Roman" w:hAnsi="Times New Roman"/>
          <w:sz w:val="28"/>
          <w:szCs w:val="28"/>
        </w:rPr>
        <w:t xml:space="preserve"> акций в компании Uber ML HoldCo B.V. (в группе лиц на территории Казахстана действует ТОО </w:t>
      </w:r>
      <w:r w:rsidR="004D2C9E">
        <w:rPr>
          <w:rFonts w:ascii="Times New Roman" w:hAnsi="Times New Roman"/>
          <w:sz w:val="28"/>
          <w:szCs w:val="28"/>
        </w:rPr>
        <w:t>«</w:t>
      </w:r>
      <w:r w:rsidRPr="00A47679">
        <w:rPr>
          <w:rFonts w:ascii="Times New Roman" w:hAnsi="Times New Roman"/>
          <w:sz w:val="28"/>
          <w:szCs w:val="28"/>
        </w:rPr>
        <w:t>Убер Казахстан</w:t>
      </w:r>
      <w:r w:rsidR="004D2C9E">
        <w:rPr>
          <w:rFonts w:ascii="Times New Roman" w:hAnsi="Times New Roman"/>
          <w:sz w:val="28"/>
          <w:szCs w:val="28"/>
        </w:rPr>
        <w:t>»</w:t>
      </w:r>
      <w:r w:rsidRPr="00A47679">
        <w:rPr>
          <w:rFonts w:ascii="Times New Roman" w:hAnsi="Times New Roman"/>
          <w:sz w:val="28"/>
          <w:szCs w:val="28"/>
        </w:rPr>
        <w:t>) у компании Uber International C.V.</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 xml:space="preserve">В результате совершения данной сделки в группе лиц приобретателя и в группе лиц объекта сделки будут присутствовать юридические лица, предоставляющие услуги </w:t>
      </w:r>
      <w:r w:rsidR="00746C0C">
        <w:rPr>
          <w:rFonts w:ascii="Times New Roman" w:hAnsi="Times New Roman"/>
          <w:sz w:val="28"/>
          <w:szCs w:val="28"/>
        </w:rPr>
        <w:t>а</w:t>
      </w:r>
      <w:r w:rsidRPr="00A47679">
        <w:rPr>
          <w:rFonts w:ascii="Times New Roman" w:hAnsi="Times New Roman"/>
          <w:sz w:val="28"/>
          <w:szCs w:val="28"/>
        </w:rPr>
        <w:t xml:space="preserve">грегаторов такси. Под </w:t>
      </w:r>
      <w:r w:rsidR="004D2C9E">
        <w:rPr>
          <w:rFonts w:ascii="Times New Roman" w:hAnsi="Times New Roman"/>
          <w:sz w:val="28"/>
          <w:szCs w:val="28"/>
        </w:rPr>
        <w:t>«</w:t>
      </w:r>
      <w:r w:rsidRPr="00A47679">
        <w:rPr>
          <w:rFonts w:ascii="Times New Roman" w:hAnsi="Times New Roman"/>
          <w:sz w:val="28"/>
          <w:szCs w:val="28"/>
        </w:rPr>
        <w:t>услугами агрегаторов такси</w:t>
      </w:r>
      <w:r w:rsidR="004D2C9E">
        <w:rPr>
          <w:rFonts w:ascii="Times New Roman" w:hAnsi="Times New Roman"/>
          <w:sz w:val="28"/>
          <w:szCs w:val="28"/>
        </w:rPr>
        <w:t>»</w:t>
      </w:r>
      <w:r w:rsidRPr="00A47679">
        <w:rPr>
          <w:rFonts w:ascii="Times New Roman" w:hAnsi="Times New Roman"/>
          <w:sz w:val="28"/>
          <w:szCs w:val="28"/>
        </w:rPr>
        <w:t xml:space="preserve"> понимаются услуги по организации локальных перевозок, оказываемые с использованием мобильных приложений. Услуги агрегаторов такси, оказываемые Yandex B.V. и Uber B.V. с помощью специального программного обеспечения, заключаются в обеспечении взаимодействия между водителями и пассажирами. </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Сложность в анализе экономической концентрации на данном цифровом рынке заключалась в определении географических границ товарного рынка и взаимозаменяемых услуг.</w:t>
      </w:r>
      <w:r w:rsidR="004A2FA5">
        <w:rPr>
          <w:rFonts w:ascii="Times New Roman" w:hAnsi="Times New Roman"/>
          <w:sz w:val="28"/>
          <w:szCs w:val="28"/>
        </w:rPr>
        <w:t xml:space="preserve"> </w:t>
      </w:r>
      <w:r w:rsidRPr="00A47679">
        <w:rPr>
          <w:rFonts w:ascii="Times New Roman" w:hAnsi="Times New Roman"/>
          <w:sz w:val="28"/>
          <w:szCs w:val="28"/>
        </w:rPr>
        <w:t>Учитывая, что сделка носила международный характер, Комитет также проводил консультации с другими антимонопольными органами и принимал во внимание их решения.</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В настоящее время на рынке услуг информационно-диспетчерской службы такси прослеживается тенденция трансформации традиционных диспетчерских служб с колл</w:t>
      </w:r>
      <w:r w:rsidR="0057068C">
        <w:rPr>
          <w:rFonts w:ascii="Times New Roman" w:hAnsi="Times New Roman"/>
          <w:sz w:val="28"/>
          <w:szCs w:val="28"/>
        </w:rPr>
        <w:t>-</w:t>
      </w:r>
      <w:r w:rsidRPr="00A47679">
        <w:rPr>
          <w:rFonts w:ascii="Times New Roman" w:hAnsi="Times New Roman"/>
          <w:sz w:val="28"/>
          <w:szCs w:val="28"/>
        </w:rPr>
        <w:t>центрами в агрегаторы такси, использующих в своей работе информационные приложения. Благодаря системам глобального позиционирования (GPS) формируются наиболее оптимальные маршруты перевозок пассажиров, что позволяет сократить время и стоимость оказания услуги. Таким образом, взаимозаменяемыми к услугам агрегаторов такси определены услуги информационно-диспетчерской службы такси.</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Особенностью данного рынка является его двусторонняя направленность. Так, с одной стороны потребителями услуг выступают пассажиры, а с другой</w:t>
      </w:r>
      <w:r w:rsidR="0057068C">
        <w:rPr>
          <w:rFonts w:ascii="Times New Roman" w:hAnsi="Times New Roman"/>
          <w:sz w:val="28"/>
          <w:szCs w:val="28"/>
        </w:rPr>
        <w:t xml:space="preserve"> – перевозчики такси. В этой связи</w:t>
      </w:r>
      <w:r w:rsidRPr="00A47679">
        <w:rPr>
          <w:rFonts w:ascii="Times New Roman" w:hAnsi="Times New Roman"/>
          <w:sz w:val="28"/>
          <w:szCs w:val="28"/>
        </w:rPr>
        <w:t xml:space="preserve"> установление или поддержание монопольно высоких (низких) цен невозможно.</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Перевозчики имеют возможность, работая в одном из официальных т</w:t>
      </w:r>
      <w:r w:rsidR="00746C0C">
        <w:rPr>
          <w:rFonts w:ascii="Times New Roman" w:hAnsi="Times New Roman"/>
          <w:sz w:val="28"/>
          <w:szCs w:val="28"/>
        </w:rPr>
        <w:t>аксопарков города, одновременно</w:t>
      </w:r>
      <w:r w:rsidRPr="00A47679">
        <w:rPr>
          <w:rFonts w:ascii="Times New Roman" w:hAnsi="Times New Roman"/>
          <w:sz w:val="28"/>
          <w:szCs w:val="28"/>
        </w:rPr>
        <w:t xml:space="preserve"> выполнять заказы, поступившие через различные мобильные приложения агрегаторов такси, таких </w:t>
      </w:r>
      <w:r w:rsidR="00746C0C">
        <w:rPr>
          <w:rFonts w:ascii="Times New Roman" w:hAnsi="Times New Roman"/>
          <w:sz w:val="28"/>
          <w:szCs w:val="28"/>
        </w:rPr>
        <w:t>как Яндекс.Такси, Uber, Такси В</w:t>
      </w:r>
      <w:r w:rsidR="00746C0C">
        <w:rPr>
          <w:rFonts w:ascii="Times New Roman" w:hAnsi="Times New Roman"/>
          <w:sz w:val="28"/>
          <w:szCs w:val="28"/>
          <w:lang w:val="en-US"/>
        </w:rPr>
        <w:t>e</w:t>
      </w:r>
      <w:r w:rsidRPr="00A47679">
        <w:rPr>
          <w:rFonts w:ascii="Times New Roman" w:hAnsi="Times New Roman"/>
          <w:sz w:val="28"/>
          <w:szCs w:val="28"/>
        </w:rPr>
        <w:t>зет, Такси Максим, такси Апару и др. Таким образом, данная экономическая концентрация не приведет к уменьшению количества перевозчиков.</w:t>
      </w:r>
      <w:r w:rsidR="004D2C9E">
        <w:rPr>
          <w:rFonts w:ascii="Times New Roman" w:hAnsi="Times New Roman"/>
          <w:sz w:val="28"/>
          <w:szCs w:val="28"/>
        </w:rPr>
        <w:t xml:space="preserve"> </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 xml:space="preserve">При оценке общего объема рынка услуг информационно-диспетчерской службы такси нельзя не учитывать наличие </w:t>
      </w:r>
      <w:r w:rsidR="0057068C">
        <w:rPr>
          <w:rFonts w:ascii="Times New Roman" w:hAnsi="Times New Roman"/>
          <w:sz w:val="28"/>
          <w:szCs w:val="28"/>
        </w:rPr>
        <w:t>«</w:t>
      </w:r>
      <w:r w:rsidRPr="00A47679">
        <w:rPr>
          <w:rFonts w:ascii="Times New Roman" w:hAnsi="Times New Roman"/>
          <w:sz w:val="28"/>
          <w:szCs w:val="28"/>
        </w:rPr>
        <w:t>серого</w:t>
      </w:r>
      <w:r w:rsidR="0057068C">
        <w:rPr>
          <w:rFonts w:ascii="Times New Roman" w:hAnsi="Times New Roman"/>
          <w:sz w:val="28"/>
          <w:szCs w:val="28"/>
        </w:rPr>
        <w:t>»</w:t>
      </w:r>
      <w:r w:rsidRPr="00A47679">
        <w:rPr>
          <w:rFonts w:ascii="Times New Roman" w:hAnsi="Times New Roman"/>
          <w:sz w:val="28"/>
          <w:szCs w:val="28"/>
        </w:rPr>
        <w:t xml:space="preserve"> сектора, представленного частным извозом. Водители, которые оказывают услуги частного извоза, фактически также осуществляют деятельность по организации перевозок, получая заказы непосредственно от пассажиров. Так, водители предварительно согласовывают с пассажиром стоимость поездки, определяют и согласовывают маршрут, в том числе наиболее оптимальный маршрут с учетом загруженности дорог, пожеланий пассажира и т.д. </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 xml:space="preserve">Следует отметить, что увеличение количества пассажиров, обращающихся к услугам информационно-диспетчерской службы такси может повлечь сокращение доли </w:t>
      </w:r>
      <w:r w:rsidR="0057068C">
        <w:rPr>
          <w:rFonts w:ascii="Times New Roman" w:hAnsi="Times New Roman"/>
          <w:sz w:val="28"/>
          <w:szCs w:val="28"/>
        </w:rPr>
        <w:t>«</w:t>
      </w:r>
      <w:r w:rsidRPr="00A47679">
        <w:rPr>
          <w:rFonts w:ascii="Times New Roman" w:hAnsi="Times New Roman"/>
          <w:sz w:val="28"/>
          <w:szCs w:val="28"/>
        </w:rPr>
        <w:t>серого</w:t>
      </w:r>
      <w:r w:rsidR="0057068C">
        <w:rPr>
          <w:rFonts w:ascii="Times New Roman" w:hAnsi="Times New Roman"/>
          <w:sz w:val="28"/>
          <w:szCs w:val="28"/>
        </w:rPr>
        <w:t>»</w:t>
      </w:r>
      <w:r w:rsidRPr="00A47679">
        <w:rPr>
          <w:rFonts w:ascii="Times New Roman" w:hAnsi="Times New Roman"/>
          <w:sz w:val="28"/>
          <w:szCs w:val="28"/>
        </w:rPr>
        <w:t xml:space="preserve"> рынка, поскольку создаст стимулы для перевозчиков, действующих нелегально</w:t>
      </w:r>
      <w:r w:rsidR="0057068C">
        <w:rPr>
          <w:rFonts w:ascii="Times New Roman" w:hAnsi="Times New Roman"/>
          <w:sz w:val="28"/>
          <w:szCs w:val="28"/>
        </w:rPr>
        <w:t>,</w:t>
      </w:r>
      <w:r w:rsidRPr="00A47679">
        <w:rPr>
          <w:rFonts w:ascii="Times New Roman" w:hAnsi="Times New Roman"/>
          <w:sz w:val="28"/>
          <w:szCs w:val="28"/>
        </w:rPr>
        <w:t xml:space="preserve"> к переходу из </w:t>
      </w:r>
      <w:r w:rsidR="004D2C9E">
        <w:rPr>
          <w:rFonts w:ascii="Times New Roman" w:hAnsi="Times New Roman"/>
          <w:sz w:val="28"/>
          <w:szCs w:val="28"/>
        </w:rPr>
        <w:t>«</w:t>
      </w:r>
      <w:r w:rsidRPr="00A47679">
        <w:rPr>
          <w:rFonts w:ascii="Times New Roman" w:hAnsi="Times New Roman"/>
          <w:sz w:val="28"/>
          <w:szCs w:val="28"/>
        </w:rPr>
        <w:t>серого</w:t>
      </w:r>
      <w:r w:rsidR="004D2C9E">
        <w:rPr>
          <w:rFonts w:ascii="Times New Roman" w:hAnsi="Times New Roman"/>
          <w:sz w:val="28"/>
          <w:szCs w:val="28"/>
        </w:rPr>
        <w:t>»</w:t>
      </w:r>
      <w:r w:rsidRPr="00A47679">
        <w:rPr>
          <w:rFonts w:ascii="Times New Roman" w:hAnsi="Times New Roman"/>
          <w:sz w:val="28"/>
          <w:szCs w:val="28"/>
        </w:rPr>
        <w:t xml:space="preserve"> сегмента рынка к сотрудничеству с официальными таксопарками или компаниями, представляющи</w:t>
      </w:r>
      <w:r w:rsidR="0057068C">
        <w:rPr>
          <w:rFonts w:ascii="Times New Roman" w:hAnsi="Times New Roman"/>
          <w:sz w:val="28"/>
          <w:szCs w:val="28"/>
        </w:rPr>
        <w:t>ми</w:t>
      </w:r>
      <w:r w:rsidRPr="00A47679">
        <w:rPr>
          <w:rFonts w:ascii="Times New Roman" w:hAnsi="Times New Roman"/>
          <w:sz w:val="28"/>
          <w:szCs w:val="28"/>
        </w:rPr>
        <w:t xml:space="preserve"> услуги информационно-диспетчерской службы такси.</w:t>
      </w:r>
    </w:p>
    <w:p w:rsidR="00A47679" w:rsidRPr="00A47679" w:rsidRDefault="00A47679" w:rsidP="008B3002">
      <w:pPr>
        <w:spacing w:after="0" w:line="315" w:lineRule="exact"/>
        <w:ind w:firstLine="709"/>
        <w:jc w:val="both"/>
        <w:rPr>
          <w:rFonts w:ascii="Times New Roman" w:hAnsi="Times New Roman"/>
          <w:sz w:val="28"/>
          <w:szCs w:val="28"/>
        </w:rPr>
      </w:pPr>
      <w:r w:rsidRPr="00A47679">
        <w:rPr>
          <w:rFonts w:ascii="Times New Roman" w:hAnsi="Times New Roman"/>
          <w:sz w:val="28"/>
          <w:szCs w:val="28"/>
        </w:rPr>
        <w:t>В соответствии с пунктом 3 статьи 208 Кодекса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 Такие условия</w:t>
      </w:r>
      <w:r w:rsidR="00914574">
        <w:rPr>
          <w:rFonts w:ascii="Times New Roman" w:hAnsi="Times New Roman"/>
          <w:sz w:val="28"/>
          <w:szCs w:val="28"/>
        </w:rPr>
        <w:t xml:space="preserve"> и обязательства могут касаться в том числе</w:t>
      </w:r>
      <w:r w:rsidRPr="00A47679">
        <w:rPr>
          <w:rFonts w:ascii="Times New Roman" w:hAnsi="Times New Roman"/>
          <w:sz w:val="28"/>
          <w:szCs w:val="28"/>
        </w:rPr>
        <w:t xml:space="preserve"> ограничения по управлению, пользованию или распоряжению имуществом. </w:t>
      </w:r>
    </w:p>
    <w:p w:rsidR="00A47679" w:rsidRPr="00A47679" w:rsidRDefault="0057068C" w:rsidP="008B3002">
      <w:pPr>
        <w:spacing w:after="0" w:line="315" w:lineRule="exact"/>
        <w:ind w:firstLine="709"/>
        <w:jc w:val="both"/>
        <w:rPr>
          <w:rFonts w:ascii="Times New Roman" w:hAnsi="Times New Roman"/>
          <w:sz w:val="28"/>
          <w:szCs w:val="28"/>
        </w:rPr>
      </w:pPr>
      <w:r>
        <w:rPr>
          <w:rFonts w:ascii="Times New Roman" w:hAnsi="Times New Roman"/>
          <w:sz w:val="28"/>
          <w:szCs w:val="28"/>
        </w:rPr>
        <w:t>В этой связи</w:t>
      </w:r>
      <w:r w:rsidR="00632FB5">
        <w:rPr>
          <w:rFonts w:ascii="Times New Roman" w:hAnsi="Times New Roman"/>
          <w:sz w:val="28"/>
          <w:szCs w:val="28"/>
        </w:rPr>
        <w:t xml:space="preserve"> </w:t>
      </w:r>
      <w:r w:rsidR="00A47679" w:rsidRPr="00A47679">
        <w:rPr>
          <w:rFonts w:ascii="Times New Roman" w:hAnsi="Times New Roman"/>
          <w:sz w:val="28"/>
          <w:szCs w:val="28"/>
        </w:rPr>
        <w:t xml:space="preserve">Комитетом предоставлено согласие на </w:t>
      </w:r>
      <w:r w:rsidR="00914574">
        <w:rPr>
          <w:rFonts w:ascii="Times New Roman" w:hAnsi="Times New Roman"/>
          <w:sz w:val="28"/>
          <w:szCs w:val="28"/>
        </w:rPr>
        <w:t xml:space="preserve">указанную </w:t>
      </w:r>
      <w:r w:rsidR="00A47679" w:rsidRPr="00A47679">
        <w:rPr>
          <w:rFonts w:ascii="Times New Roman" w:hAnsi="Times New Roman"/>
          <w:sz w:val="28"/>
          <w:szCs w:val="28"/>
        </w:rPr>
        <w:t xml:space="preserve">экономическую концентрацию, обусловленное выполнением следующих требований: </w:t>
      </w:r>
    </w:p>
    <w:p w:rsidR="00A47679" w:rsidRPr="008B3002" w:rsidRDefault="00A47679" w:rsidP="008B3002">
      <w:pPr>
        <w:spacing w:after="0" w:line="315" w:lineRule="exact"/>
        <w:ind w:firstLine="709"/>
        <w:jc w:val="both"/>
        <w:rPr>
          <w:rFonts w:ascii="Times New Roman" w:hAnsi="Times New Roman"/>
          <w:spacing w:val="-2"/>
          <w:sz w:val="28"/>
          <w:szCs w:val="28"/>
        </w:rPr>
      </w:pPr>
      <w:r w:rsidRPr="008B3002">
        <w:rPr>
          <w:rFonts w:ascii="Times New Roman" w:hAnsi="Times New Roman"/>
          <w:spacing w:val="-2"/>
          <w:sz w:val="28"/>
          <w:szCs w:val="28"/>
        </w:rPr>
        <w:t>в течени</w:t>
      </w:r>
      <w:r w:rsidR="00EC2F1D" w:rsidRPr="008B3002">
        <w:rPr>
          <w:rFonts w:ascii="Times New Roman" w:hAnsi="Times New Roman"/>
          <w:spacing w:val="-2"/>
          <w:sz w:val="28"/>
          <w:szCs w:val="28"/>
        </w:rPr>
        <w:t>е</w:t>
      </w:r>
      <w:r w:rsidRPr="008B3002">
        <w:rPr>
          <w:rFonts w:ascii="Times New Roman" w:hAnsi="Times New Roman"/>
          <w:spacing w:val="-2"/>
          <w:sz w:val="28"/>
          <w:szCs w:val="28"/>
        </w:rPr>
        <w:t xml:space="preserve"> не более чем </w:t>
      </w:r>
      <w:r w:rsidR="00632FB5" w:rsidRPr="008B3002">
        <w:rPr>
          <w:rFonts w:ascii="Times New Roman" w:hAnsi="Times New Roman"/>
          <w:spacing w:val="-2"/>
          <w:sz w:val="28"/>
          <w:szCs w:val="28"/>
        </w:rPr>
        <w:t>30</w:t>
      </w:r>
      <w:r w:rsidRPr="008B3002">
        <w:rPr>
          <w:rFonts w:ascii="Times New Roman" w:hAnsi="Times New Roman"/>
          <w:spacing w:val="-2"/>
          <w:sz w:val="28"/>
          <w:szCs w:val="28"/>
        </w:rPr>
        <w:t xml:space="preserve"> дней после закрытия сделки сообщить о возможности и сроках обеспечения максимально информативного интерфейса мобильных приложений, содержащего сведения о перевозчиках для пассажиров;</w:t>
      </w:r>
    </w:p>
    <w:p w:rsidR="00A47679" w:rsidRPr="00A47679" w:rsidRDefault="00A47679" w:rsidP="008D5EF0">
      <w:pPr>
        <w:spacing w:after="0" w:line="315" w:lineRule="exact"/>
        <w:ind w:firstLine="709"/>
        <w:jc w:val="both"/>
        <w:rPr>
          <w:rFonts w:ascii="Times New Roman" w:hAnsi="Times New Roman"/>
          <w:sz w:val="28"/>
          <w:szCs w:val="28"/>
        </w:rPr>
      </w:pPr>
      <w:r w:rsidRPr="00A47679">
        <w:rPr>
          <w:rFonts w:ascii="Times New Roman" w:hAnsi="Times New Roman"/>
          <w:sz w:val="28"/>
          <w:szCs w:val="28"/>
        </w:rPr>
        <w:t>исключить установление запретов для водителей и пассажиров на использование мобильных приложений других компаний, осуществляющих услуги информационного взаимодействия водителей такси и пассажиров;</w:t>
      </w:r>
    </w:p>
    <w:p w:rsidR="00A47679" w:rsidRPr="00A47679" w:rsidRDefault="00A47679" w:rsidP="008D5EF0">
      <w:pPr>
        <w:spacing w:after="0" w:line="315" w:lineRule="exact"/>
        <w:ind w:firstLine="709"/>
        <w:jc w:val="both"/>
        <w:rPr>
          <w:rFonts w:ascii="Times New Roman" w:hAnsi="Times New Roman"/>
          <w:sz w:val="28"/>
          <w:szCs w:val="28"/>
        </w:rPr>
      </w:pPr>
      <w:r w:rsidRPr="00A47679">
        <w:rPr>
          <w:rFonts w:ascii="Times New Roman" w:hAnsi="Times New Roman"/>
          <w:sz w:val="28"/>
          <w:szCs w:val="28"/>
        </w:rPr>
        <w:t>недопущение ограничения конкуренции на соответствующем товарном рынке Республики Казахстан.</w:t>
      </w:r>
    </w:p>
    <w:p w:rsidR="00A47679" w:rsidRDefault="00A47679" w:rsidP="008D5EF0">
      <w:pPr>
        <w:spacing w:after="0" w:line="315" w:lineRule="exact"/>
        <w:ind w:firstLine="709"/>
        <w:jc w:val="both"/>
        <w:rPr>
          <w:rFonts w:ascii="Times New Roman" w:hAnsi="Times New Roman"/>
          <w:sz w:val="28"/>
          <w:szCs w:val="28"/>
        </w:rPr>
      </w:pPr>
      <w:r w:rsidRPr="00A47679">
        <w:rPr>
          <w:rFonts w:ascii="Times New Roman" w:hAnsi="Times New Roman"/>
          <w:sz w:val="28"/>
          <w:szCs w:val="28"/>
        </w:rPr>
        <w:t>Иные примеры рассмотренных Комитетом ходатайств о согласии на экономическую концентрацию на цифровых рынках и предоставляющей участникам экономической концентрации возможности обмениваться данными отсутствуют.</w:t>
      </w:r>
    </w:p>
    <w:p w:rsidR="0068434D" w:rsidRPr="004D09F7" w:rsidRDefault="0068434D" w:rsidP="008D5EF0">
      <w:pPr>
        <w:pStyle w:val="4"/>
        <w:spacing w:line="315" w:lineRule="exact"/>
      </w:pPr>
      <w:r w:rsidRPr="004D09F7">
        <w:t>Кыргыз</w:t>
      </w:r>
      <w:r w:rsidRPr="00BD638F">
        <w:rPr>
          <w:rStyle w:val="40"/>
        </w:rPr>
        <w:t>с</w:t>
      </w:r>
      <w:r w:rsidRPr="004D09F7">
        <w:t>кая Республика</w:t>
      </w:r>
    </w:p>
    <w:p w:rsidR="0068434D" w:rsidRPr="004D09F7" w:rsidRDefault="0068434D" w:rsidP="008D5EF0">
      <w:pPr>
        <w:spacing w:after="0" w:line="315" w:lineRule="exact"/>
        <w:ind w:firstLine="709"/>
        <w:jc w:val="both"/>
        <w:rPr>
          <w:rFonts w:ascii="Times New Roman" w:hAnsi="Times New Roman"/>
          <w:sz w:val="28"/>
          <w:szCs w:val="28"/>
        </w:rPr>
      </w:pPr>
      <w:r w:rsidRPr="004D09F7">
        <w:rPr>
          <w:rFonts w:ascii="Times New Roman" w:hAnsi="Times New Roman"/>
          <w:sz w:val="28"/>
          <w:szCs w:val="28"/>
        </w:rPr>
        <w:t>Антимонопольное законодательство Кыргызской Республи</w:t>
      </w:r>
      <w:r w:rsidR="00AE183D">
        <w:rPr>
          <w:rFonts w:ascii="Times New Roman" w:hAnsi="Times New Roman"/>
          <w:sz w:val="28"/>
          <w:szCs w:val="28"/>
        </w:rPr>
        <w:t>ки предусматривает осуществление</w:t>
      </w:r>
      <w:r w:rsidRPr="004D09F7">
        <w:rPr>
          <w:rFonts w:ascii="Times New Roman" w:hAnsi="Times New Roman"/>
          <w:sz w:val="28"/>
          <w:szCs w:val="28"/>
        </w:rPr>
        <w:t xml:space="preserve"> государственного контроля за процессами экономической концентрации, а именно</w:t>
      </w:r>
      <w:r w:rsidR="00F9318B">
        <w:rPr>
          <w:rFonts w:ascii="Times New Roman" w:hAnsi="Times New Roman"/>
          <w:sz w:val="28"/>
          <w:szCs w:val="28"/>
        </w:rPr>
        <w:t xml:space="preserve"> – </w:t>
      </w:r>
      <w:r w:rsidRPr="004D09F7">
        <w:rPr>
          <w:rFonts w:ascii="Times New Roman" w:hAnsi="Times New Roman"/>
          <w:sz w:val="28"/>
          <w:szCs w:val="28"/>
        </w:rPr>
        <w:t xml:space="preserve">реорганизации (слияние, присоединение и преобразование) хозяйствующих субъектов. </w:t>
      </w:r>
    </w:p>
    <w:p w:rsidR="0068434D" w:rsidRPr="004D09F7" w:rsidRDefault="00AE183D" w:rsidP="008D5EF0">
      <w:pPr>
        <w:spacing w:after="0" w:line="315" w:lineRule="exact"/>
        <w:ind w:firstLine="709"/>
        <w:jc w:val="both"/>
        <w:rPr>
          <w:rFonts w:ascii="Times New Roman" w:hAnsi="Times New Roman"/>
          <w:sz w:val="28"/>
          <w:szCs w:val="28"/>
        </w:rPr>
      </w:pPr>
      <w:r>
        <w:rPr>
          <w:rFonts w:ascii="Times New Roman" w:hAnsi="Times New Roman"/>
          <w:sz w:val="28"/>
          <w:szCs w:val="28"/>
        </w:rPr>
        <w:t>В настоящее время</w:t>
      </w:r>
      <w:r w:rsidR="0068434D" w:rsidRPr="004D09F7">
        <w:rPr>
          <w:rFonts w:ascii="Times New Roman" w:hAnsi="Times New Roman"/>
          <w:sz w:val="28"/>
          <w:szCs w:val="28"/>
        </w:rPr>
        <w:t xml:space="preserve"> проведена работа по внесению изменений в Закон Кыргызской Республики </w:t>
      </w:r>
      <w:r w:rsidR="004D2C9E">
        <w:rPr>
          <w:rFonts w:ascii="Times New Roman" w:hAnsi="Times New Roman"/>
          <w:sz w:val="28"/>
          <w:szCs w:val="28"/>
        </w:rPr>
        <w:t>«</w:t>
      </w:r>
      <w:r w:rsidR="0068434D" w:rsidRPr="004D09F7">
        <w:rPr>
          <w:rFonts w:ascii="Times New Roman" w:hAnsi="Times New Roman"/>
          <w:sz w:val="28"/>
          <w:szCs w:val="28"/>
        </w:rPr>
        <w:t>О конкуренции</w:t>
      </w:r>
      <w:r w:rsidR="004D2C9E">
        <w:rPr>
          <w:rFonts w:ascii="Times New Roman" w:hAnsi="Times New Roman"/>
          <w:sz w:val="28"/>
          <w:szCs w:val="28"/>
        </w:rPr>
        <w:t>»</w:t>
      </w:r>
      <w:r w:rsidR="0068434D" w:rsidRPr="004D09F7">
        <w:rPr>
          <w:rFonts w:ascii="Times New Roman" w:hAnsi="Times New Roman"/>
          <w:sz w:val="28"/>
          <w:szCs w:val="28"/>
        </w:rPr>
        <w:t xml:space="preserve">, которые одобрены </w:t>
      </w:r>
      <w:r>
        <w:rPr>
          <w:rFonts w:ascii="Times New Roman" w:hAnsi="Times New Roman"/>
          <w:sz w:val="28"/>
          <w:szCs w:val="28"/>
        </w:rPr>
        <w:t>п</w:t>
      </w:r>
      <w:r w:rsidR="0068434D" w:rsidRPr="004D09F7">
        <w:rPr>
          <w:rFonts w:ascii="Times New Roman" w:hAnsi="Times New Roman"/>
          <w:sz w:val="28"/>
          <w:szCs w:val="28"/>
        </w:rPr>
        <w:t xml:space="preserve">остановлением Правительства Кыргызской Республики от 19 апреля 2018 года </w:t>
      </w:r>
      <w:r w:rsidR="00E720B2">
        <w:rPr>
          <w:rFonts w:ascii="Times New Roman" w:hAnsi="Times New Roman"/>
          <w:sz w:val="28"/>
          <w:szCs w:val="28"/>
        </w:rPr>
        <w:t>№ </w:t>
      </w:r>
      <w:r w:rsidR="0068434D" w:rsidRPr="004D09F7">
        <w:rPr>
          <w:rFonts w:ascii="Times New Roman" w:hAnsi="Times New Roman"/>
          <w:sz w:val="28"/>
          <w:szCs w:val="28"/>
        </w:rPr>
        <w:t>213</w:t>
      </w:r>
      <w:r>
        <w:rPr>
          <w:rFonts w:ascii="Times New Roman" w:hAnsi="Times New Roman"/>
          <w:sz w:val="28"/>
          <w:szCs w:val="28"/>
        </w:rPr>
        <w:t>.</w:t>
      </w:r>
      <w:r w:rsidR="0068434D" w:rsidRPr="004D09F7">
        <w:rPr>
          <w:rFonts w:ascii="Times New Roman" w:hAnsi="Times New Roman"/>
          <w:sz w:val="28"/>
          <w:szCs w:val="28"/>
        </w:rPr>
        <w:t xml:space="preserve"> </w:t>
      </w:r>
      <w:r>
        <w:rPr>
          <w:rFonts w:ascii="Times New Roman" w:hAnsi="Times New Roman"/>
          <w:sz w:val="28"/>
          <w:szCs w:val="28"/>
        </w:rPr>
        <w:t>В</w:t>
      </w:r>
      <w:r w:rsidR="0068434D" w:rsidRPr="004D09F7">
        <w:rPr>
          <w:rFonts w:ascii="Times New Roman" w:hAnsi="Times New Roman"/>
          <w:sz w:val="28"/>
          <w:szCs w:val="28"/>
        </w:rPr>
        <w:t xml:space="preserve"> частности</w:t>
      </w:r>
      <w:r>
        <w:rPr>
          <w:rFonts w:ascii="Times New Roman" w:hAnsi="Times New Roman"/>
          <w:sz w:val="28"/>
          <w:szCs w:val="28"/>
        </w:rPr>
        <w:t>,</w:t>
      </w:r>
      <w:r w:rsidR="0068434D" w:rsidRPr="004D09F7">
        <w:rPr>
          <w:rFonts w:ascii="Times New Roman" w:hAnsi="Times New Roman"/>
          <w:sz w:val="28"/>
          <w:szCs w:val="28"/>
        </w:rPr>
        <w:t xml:space="preserve"> под совершенствование попали процессы экономической концентрации</w:t>
      </w:r>
      <w:r>
        <w:rPr>
          <w:rFonts w:ascii="Times New Roman" w:hAnsi="Times New Roman"/>
          <w:sz w:val="28"/>
          <w:szCs w:val="28"/>
        </w:rPr>
        <w:t>,</w:t>
      </w:r>
      <w:r w:rsidR="0068434D" w:rsidRPr="004D09F7">
        <w:rPr>
          <w:rFonts w:ascii="Times New Roman" w:hAnsi="Times New Roman"/>
          <w:sz w:val="28"/>
          <w:szCs w:val="28"/>
        </w:rPr>
        <w:t xml:space="preserve"> после принятия которых антимонопольный орган сможет применять новые подходы к конт</w:t>
      </w:r>
      <w:r>
        <w:rPr>
          <w:rFonts w:ascii="Times New Roman" w:hAnsi="Times New Roman"/>
          <w:sz w:val="28"/>
          <w:szCs w:val="28"/>
        </w:rPr>
        <w:t>ролю экономической концентрации.</w:t>
      </w:r>
      <w:r w:rsidR="0068434D" w:rsidRPr="004D09F7">
        <w:rPr>
          <w:rFonts w:ascii="Times New Roman" w:hAnsi="Times New Roman"/>
          <w:sz w:val="28"/>
          <w:szCs w:val="28"/>
        </w:rPr>
        <w:t xml:space="preserve"> </w:t>
      </w:r>
      <w:r>
        <w:rPr>
          <w:rFonts w:ascii="Times New Roman" w:hAnsi="Times New Roman"/>
          <w:sz w:val="28"/>
          <w:szCs w:val="28"/>
        </w:rPr>
        <w:t>Т</w:t>
      </w:r>
      <w:r w:rsidR="0068434D" w:rsidRPr="004D09F7">
        <w:rPr>
          <w:rFonts w:ascii="Times New Roman" w:hAnsi="Times New Roman"/>
          <w:sz w:val="28"/>
          <w:szCs w:val="28"/>
        </w:rPr>
        <w:t>ак</w:t>
      </w:r>
      <w:r w:rsidR="00914574">
        <w:rPr>
          <w:rFonts w:ascii="Times New Roman" w:hAnsi="Times New Roman"/>
          <w:sz w:val="28"/>
          <w:szCs w:val="28"/>
        </w:rPr>
        <w:t>,</w:t>
      </w:r>
      <w:r w:rsidR="0068434D" w:rsidRPr="004D09F7">
        <w:rPr>
          <w:rFonts w:ascii="Times New Roman" w:hAnsi="Times New Roman"/>
          <w:sz w:val="28"/>
          <w:szCs w:val="28"/>
        </w:rPr>
        <w:t xml:space="preserve"> в поле зрения подпадут следующие процессы в целях недопущения ограничения конкуренции:</w:t>
      </w:r>
    </w:p>
    <w:p w:rsidR="0068434D" w:rsidRPr="004D09F7" w:rsidRDefault="0068434D" w:rsidP="008D5EF0">
      <w:pPr>
        <w:spacing w:after="0" w:line="315" w:lineRule="exact"/>
        <w:ind w:firstLine="709"/>
        <w:jc w:val="both"/>
        <w:rPr>
          <w:rFonts w:ascii="Times New Roman" w:hAnsi="Times New Roman"/>
          <w:sz w:val="28"/>
          <w:szCs w:val="28"/>
        </w:rPr>
      </w:pPr>
      <w:r w:rsidRPr="004D09F7">
        <w:rPr>
          <w:rFonts w:ascii="Times New Roman" w:hAnsi="Times New Roman"/>
          <w:sz w:val="28"/>
          <w:szCs w:val="28"/>
        </w:rPr>
        <w:t>слияние, присоединение, преобразование хозяйствующих субъектов (их объединений);</w:t>
      </w:r>
    </w:p>
    <w:p w:rsidR="0068434D" w:rsidRPr="004D09F7" w:rsidRDefault="0068434D" w:rsidP="008D5EF0">
      <w:pPr>
        <w:spacing w:after="0" w:line="315" w:lineRule="exact"/>
        <w:ind w:firstLine="709"/>
        <w:jc w:val="both"/>
        <w:rPr>
          <w:rFonts w:ascii="Times New Roman" w:hAnsi="Times New Roman"/>
          <w:sz w:val="28"/>
          <w:szCs w:val="28"/>
        </w:rPr>
      </w:pPr>
      <w:r w:rsidRPr="004D09F7">
        <w:rPr>
          <w:rFonts w:ascii="Times New Roman" w:hAnsi="Times New Roman"/>
          <w:sz w:val="28"/>
          <w:szCs w:val="28"/>
        </w:rPr>
        <w:t xml:space="preserve">создание хозяйствующих субъектов, более </w:t>
      </w:r>
      <w:r w:rsidR="00914574">
        <w:rPr>
          <w:rFonts w:ascii="Times New Roman" w:hAnsi="Times New Roman"/>
          <w:sz w:val="28"/>
          <w:szCs w:val="28"/>
        </w:rPr>
        <w:t>5</w:t>
      </w:r>
      <w:r w:rsidR="00C60771">
        <w:rPr>
          <w:rFonts w:ascii="Times New Roman" w:hAnsi="Times New Roman"/>
          <w:sz w:val="28"/>
          <w:szCs w:val="28"/>
        </w:rPr>
        <w:t> </w:t>
      </w:r>
      <w:r w:rsidR="00914574">
        <w:rPr>
          <w:rFonts w:ascii="Times New Roman" w:hAnsi="Times New Roman"/>
          <w:sz w:val="28"/>
          <w:szCs w:val="28"/>
        </w:rPr>
        <w:t>%</w:t>
      </w:r>
      <w:r w:rsidRPr="004D09F7">
        <w:rPr>
          <w:rFonts w:ascii="Times New Roman" w:hAnsi="Times New Roman"/>
          <w:sz w:val="28"/>
          <w:szCs w:val="28"/>
        </w:rPr>
        <w:t xml:space="preserve"> акций (долей участия в уставном капитале) которых принадлежат государству;</w:t>
      </w:r>
    </w:p>
    <w:p w:rsidR="0068434D" w:rsidRPr="004D09F7" w:rsidRDefault="0068434D" w:rsidP="008D5EF0">
      <w:pPr>
        <w:spacing w:after="0" w:line="315" w:lineRule="exact"/>
        <w:ind w:firstLine="709"/>
        <w:jc w:val="both"/>
        <w:rPr>
          <w:rFonts w:ascii="Times New Roman" w:hAnsi="Times New Roman"/>
          <w:sz w:val="28"/>
          <w:szCs w:val="28"/>
        </w:rPr>
      </w:pPr>
      <w:r w:rsidRPr="004D09F7">
        <w:rPr>
          <w:rFonts w:ascii="Times New Roman" w:hAnsi="Times New Roman"/>
          <w:sz w:val="28"/>
          <w:szCs w:val="28"/>
        </w:rPr>
        <w:t>создание хозяйствующих субъектов, участниками которых являются аффилированные с ними лица и/или группа лиц;</w:t>
      </w:r>
    </w:p>
    <w:p w:rsidR="0068434D" w:rsidRPr="004D09F7" w:rsidRDefault="0068434D" w:rsidP="008D5EF0">
      <w:pPr>
        <w:spacing w:after="0" w:line="315" w:lineRule="exact"/>
        <w:ind w:firstLine="709"/>
        <w:jc w:val="both"/>
        <w:rPr>
          <w:rFonts w:ascii="Times New Roman" w:hAnsi="Times New Roman"/>
          <w:sz w:val="28"/>
          <w:szCs w:val="28"/>
        </w:rPr>
      </w:pPr>
      <w:r w:rsidRPr="004D09F7">
        <w:rPr>
          <w:rFonts w:ascii="Times New Roman" w:hAnsi="Times New Roman"/>
          <w:sz w:val="28"/>
          <w:szCs w:val="28"/>
        </w:rPr>
        <w:t>создание, слияние, присоединение и ликвидация государственных и муниципальных предприятий.</w:t>
      </w:r>
    </w:p>
    <w:p w:rsidR="0068434D" w:rsidRDefault="0068434D" w:rsidP="008D5EF0">
      <w:pPr>
        <w:spacing w:after="0" w:line="315" w:lineRule="exact"/>
        <w:ind w:firstLine="709"/>
        <w:jc w:val="both"/>
        <w:rPr>
          <w:rFonts w:ascii="Times New Roman" w:hAnsi="Times New Roman"/>
          <w:sz w:val="28"/>
          <w:szCs w:val="28"/>
        </w:rPr>
      </w:pPr>
      <w:r w:rsidRPr="004D09F7">
        <w:rPr>
          <w:rFonts w:ascii="Times New Roman" w:hAnsi="Times New Roman"/>
          <w:sz w:val="28"/>
          <w:szCs w:val="28"/>
        </w:rPr>
        <w:t>В настоящее время хозяйствующие субъекты не обращались в государственный антимонопольный орган о слияниях по деятельности связанной с применением цифровых технологий, а также с участием иностранных компаний.</w:t>
      </w:r>
    </w:p>
    <w:p w:rsidR="0068434D" w:rsidRPr="006A6943" w:rsidRDefault="0068434D" w:rsidP="008D5EF0">
      <w:pPr>
        <w:pStyle w:val="4"/>
        <w:spacing w:line="315" w:lineRule="exact"/>
      </w:pPr>
      <w:r w:rsidRPr="006A6943">
        <w:t>Российская Федерация</w:t>
      </w:r>
    </w:p>
    <w:p w:rsidR="0068434D" w:rsidRPr="008B0A86" w:rsidRDefault="0068434D" w:rsidP="008D5EF0">
      <w:pPr>
        <w:spacing w:after="0" w:line="315" w:lineRule="exact"/>
        <w:ind w:firstLine="709"/>
        <w:jc w:val="both"/>
        <w:rPr>
          <w:rFonts w:ascii="Times New Roman" w:hAnsi="Times New Roman"/>
          <w:sz w:val="28"/>
          <w:szCs w:val="28"/>
        </w:rPr>
      </w:pPr>
      <w:r>
        <w:rPr>
          <w:rFonts w:ascii="Times New Roman" w:hAnsi="Times New Roman"/>
          <w:sz w:val="28"/>
          <w:szCs w:val="28"/>
        </w:rPr>
        <w:t xml:space="preserve">При рассмотрении слияния </w:t>
      </w:r>
      <w:r w:rsidR="00632FB5">
        <w:rPr>
          <w:rFonts w:ascii="Times New Roman" w:hAnsi="Times New Roman"/>
          <w:sz w:val="28"/>
          <w:szCs w:val="28"/>
        </w:rPr>
        <w:t>компаний «</w:t>
      </w:r>
      <w:r>
        <w:rPr>
          <w:rFonts w:ascii="Times New Roman" w:hAnsi="Times New Roman"/>
          <w:sz w:val="28"/>
          <w:szCs w:val="28"/>
        </w:rPr>
        <w:t>МегаФон</w:t>
      </w:r>
      <w:r w:rsidR="00632FB5">
        <w:rPr>
          <w:rFonts w:ascii="Times New Roman" w:hAnsi="Times New Roman"/>
          <w:sz w:val="28"/>
          <w:szCs w:val="28"/>
        </w:rPr>
        <w:t>»</w:t>
      </w:r>
      <w:r>
        <w:rPr>
          <w:rFonts w:ascii="Times New Roman" w:hAnsi="Times New Roman"/>
          <w:sz w:val="28"/>
          <w:szCs w:val="28"/>
        </w:rPr>
        <w:t xml:space="preserve"> (один из четырех крупнейших операторов сотовой связи Российской Федерации) и </w:t>
      </w:r>
      <w:r w:rsidR="00632FB5">
        <w:rPr>
          <w:rFonts w:ascii="Times New Roman" w:hAnsi="Times New Roman"/>
          <w:sz w:val="28"/>
          <w:szCs w:val="28"/>
        </w:rPr>
        <w:t>«</w:t>
      </w:r>
      <w:r>
        <w:rPr>
          <w:rFonts w:ascii="Times New Roman" w:hAnsi="Times New Roman"/>
          <w:sz w:val="28"/>
          <w:szCs w:val="28"/>
        </w:rPr>
        <w:t>Мэйл</w:t>
      </w:r>
      <w:r w:rsidR="00632FB5">
        <w:rPr>
          <w:rFonts w:ascii="Times New Roman" w:hAnsi="Times New Roman"/>
          <w:sz w:val="28"/>
          <w:szCs w:val="28"/>
        </w:rPr>
        <w:t>»</w:t>
      </w:r>
      <w:r>
        <w:rPr>
          <w:rFonts w:ascii="Times New Roman" w:hAnsi="Times New Roman"/>
          <w:sz w:val="28"/>
          <w:szCs w:val="28"/>
        </w:rPr>
        <w:t xml:space="preserve"> (информационный агрегатор и владелец одной из значимых российских рекламных платформ) ФАС России проводил оценку влияния сделки с точки зрения возможного обмена данными о пользователях на усиление рыночной власти каж</w:t>
      </w:r>
      <w:r w:rsidR="00632FB5">
        <w:rPr>
          <w:rFonts w:ascii="Times New Roman" w:hAnsi="Times New Roman"/>
          <w:sz w:val="28"/>
          <w:szCs w:val="28"/>
        </w:rPr>
        <w:t>дой из компаний. Несмотря на то</w:t>
      </w:r>
      <w:r>
        <w:rPr>
          <w:rFonts w:ascii="Times New Roman" w:hAnsi="Times New Roman"/>
          <w:sz w:val="28"/>
          <w:szCs w:val="28"/>
        </w:rPr>
        <w:t xml:space="preserve"> что компании не заявляли о стремлении обмениваться данными, антимонопольный орган, предполагая такую возможность, оценил влияние обмена агрегированными данными. Учитывая, что на рынке услуг сотовой связи присутствуют </w:t>
      </w:r>
      <w:r w:rsidR="00632FB5">
        <w:rPr>
          <w:rFonts w:ascii="Times New Roman" w:hAnsi="Times New Roman"/>
          <w:sz w:val="28"/>
          <w:szCs w:val="28"/>
        </w:rPr>
        <w:t>четыре</w:t>
      </w:r>
      <w:r>
        <w:rPr>
          <w:rFonts w:ascii="Times New Roman" w:hAnsi="Times New Roman"/>
          <w:sz w:val="28"/>
          <w:szCs w:val="28"/>
        </w:rPr>
        <w:t xml:space="preserve"> крупнейших игрока и несколько небольших, включая </w:t>
      </w:r>
      <w:r>
        <w:rPr>
          <w:rFonts w:ascii="Times New Roman" w:hAnsi="Times New Roman"/>
          <w:sz w:val="28"/>
          <w:szCs w:val="28"/>
          <w:lang w:val="en-US"/>
        </w:rPr>
        <w:t>MVNO</w:t>
      </w:r>
      <w:r>
        <w:rPr>
          <w:rFonts w:ascii="Times New Roman" w:hAnsi="Times New Roman"/>
          <w:sz w:val="28"/>
          <w:szCs w:val="28"/>
        </w:rPr>
        <w:t>, многообразие рекламных онлайн</w:t>
      </w:r>
      <w:r w:rsidR="00D2758C">
        <w:rPr>
          <w:rFonts w:ascii="Times New Roman" w:hAnsi="Times New Roman"/>
          <w:sz w:val="28"/>
          <w:szCs w:val="28"/>
        </w:rPr>
        <w:t>-</w:t>
      </w:r>
      <w:r>
        <w:rPr>
          <w:rFonts w:ascii="Times New Roman" w:hAnsi="Times New Roman"/>
          <w:sz w:val="28"/>
          <w:szCs w:val="28"/>
        </w:rPr>
        <w:t>платформ, ФАС России пришел к заключению, что обмен агрегированными данными, если он будет происходить, не даст преимуществ каждой из компаний. Сделка была согласована ФАС России без выдачи обязательных условий.</w:t>
      </w:r>
    </w:p>
    <w:p w:rsidR="0068434D" w:rsidRDefault="0068434D" w:rsidP="008D5EF0">
      <w:pPr>
        <w:spacing w:after="0" w:line="315" w:lineRule="exact"/>
        <w:ind w:firstLine="709"/>
        <w:jc w:val="both"/>
        <w:rPr>
          <w:rFonts w:ascii="Times New Roman" w:hAnsi="Times New Roman"/>
          <w:sz w:val="28"/>
          <w:szCs w:val="28"/>
        </w:rPr>
      </w:pPr>
      <w:r>
        <w:rPr>
          <w:rFonts w:ascii="Times New Roman" w:hAnsi="Times New Roman"/>
          <w:sz w:val="28"/>
          <w:szCs w:val="28"/>
        </w:rPr>
        <w:t>Вместе с этим</w:t>
      </w:r>
      <w:r w:rsidRPr="00DC1E09">
        <w:rPr>
          <w:rFonts w:ascii="Times New Roman" w:hAnsi="Times New Roman"/>
          <w:sz w:val="28"/>
          <w:szCs w:val="28"/>
        </w:rPr>
        <w:t xml:space="preserve"> слияние двух компаний, которые уже занимают прочное положение на рынках в верхних и нижних звеньях производственно-сбытовой цепи (первичны</w:t>
      </w:r>
      <w:r w:rsidR="00914574">
        <w:rPr>
          <w:rFonts w:ascii="Times New Roman" w:hAnsi="Times New Roman"/>
          <w:sz w:val="28"/>
          <w:szCs w:val="28"/>
        </w:rPr>
        <w:t>е</w:t>
      </w:r>
      <w:r w:rsidRPr="00DC1E09">
        <w:rPr>
          <w:rFonts w:ascii="Times New Roman" w:hAnsi="Times New Roman"/>
          <w:sz w:val="28"/>
          <w:szCs w:val="28"/>
        </w:rPr>
        <w:t xml:space="preserve"> и вторичны</w:t>
      </w:r>
      <w:r w:rsidR="00914574">
        <w:rPr>
          <w:rFonts w:ascii="Times New Roman" w:hAnsi="Times New Roman"/>
          <w:sz w:val="28"/>
          <w:szCs w:val="28"/>
        </w:rPr>
        <w:t>е</w:t>
      </w:r>
      <w:r w:rsidRPr="00DC1E09">
        <w:rPr>
          <w:rFonts w:ascii="Times New Roman" w:hAnsi="Times New Roman"/>
          <w:sz w:val="28"/>
          <w:szCs w:val="28"/>
        </w:rPr>
        <w:t xml:space="preserve"> рынк</w:t>
      </w:r>
      <w:r w:rsidR="00914574">
        <w:rPr>
          <w:rFonts w:ascii="Times New Roman" w:hAnsi="Times New Roman"/>
          <w:sz w:val="28"/>
          <w:szCs w:val="28"/>
        </w:rPr>
        <w:t>и</w:t>
      </w:r>
      <w:r w:rsidRPr="00DC1E09">
        <w:rPr>
          <w:rFonts w:ascii="Times New Roman" w:hAnsi="Times New Roman"/>
          <w:sz w:val="28"/>
          <w:szCs w:val="28"/>
        </w:rPr>
        <w:t>), мо</w:t>
      </w:r>
      <w:r w:rsidR="00D2758C">
        <w:rPr>
          <w:rFonts w:ascii="Times New Roman" w:hAnsi="Times New Roman"/>
          <w:sz w:val="28"/>
          <w:szCs w:val="28"/>
        </w:rPr>
        <w:t>жет</w:t>
      </w:r>
      <w:r w:rsidRPr="00DC1E09">
        <w:rPr>
          <w:rFonts w:ascii="Times New Roman" w:hAnsi="Times New Roman"/>
          <w:sz w:val="28"/>
          <w:szCs w:val="28"/>
        </w:rPr>
        <w:t xml:space="preserve"> закрывать доступ для конкурентов на данные рынки. Например, провайдеры онлайн-услуг, потребляющие большие объемы передаваемых персональных данных</w:t>
      </w:r>
      <w:r>
        <w:rPr>
          <w:rFonts w:ascii="Times New Roman" w:hAnsi="Times New Roman"/>
          <w:sz w:val="28"/>
          <w:szCs w:val="28"/>
        </w:rPr>
        <w:t>,</w:t>
      </w:r>
      <w:r w:rsidRPr="00DC1E09">
        <w:rPr>
          <w:rFonts w:ascii="Times New Roman" w:hAnsi="Times New Roman"/>
          <w:sz w:val="28"/>
          <w:szCs w:val="28"/>
        </w:rPr>
        <w:t xml:space="preserve"> возможно захотят приобрести предприятия, производящие компьютеры, смартфоны и программное обеспечение, для того чтобы убедиться, что они </w:t>
      </w:r>
      <w:r w:rsidRPr="005A282F">
        <w:rPr>
          <w:rFonts w:ascii="Times New Roman" w:hAnsi="Times New Roman"/>
          <w:spacing w:val="-4"/>
          <w:sz w:val="28"/>
          <w:szCs w:val="28"/>
        </w:rPr>
        <w:t>продолжают получать важные объемы данных через пользователей данных услуг</w:t>
      </w:r>
      <w:r w:rsidRPr="00DC1E09">
        <w:rPr>
          <w:rFonts w:ascii="Times New Roman" w:hAnsi="Times New Roman"/>
          <w:sz w:val="28"/>
          <w:szCs w:val="28"/>
        </w:rPr>
        <w:t>.</w:t>
      </w:r>
    </w:p>
    <w:p w:rsidR="0068434D" w:rsidRPr="003B2A48" w:rsidRDefault="0068434D" w:rsidP="008D5EF0">
      <w:pPr>
        <w:spacing w:after="0" w:line="315" w:lineRule="exact"/>
        <w:ind w:firstLine="709"/>
        <w:jc w:val="both"/>
        <w:rPr>
          <w:rFonts w:ascii="Times New Roman" w:hAnsi="Times New Roman"/>
          <w:sz w:val="28"/>
          <w:szCs w:val="28"/>
        </w:rPr>
      </w:pPr>
      <w:r>
        <w:rPr>
          <w:rFonts w:ascii="Times New Roman" w:hAnsi="Times New Roman"/>
          <w:sz w:val="28"/>
          <w:szCs w:val="28"/>
        </w:rPr>
        <w:t xml:space="preserve">Повышение </w:t>
      </w:r>
      <w:r w:rsidRPr="0087011A">
        <w:rPr>
          <w:rFonts w:ascii="Times New Roman" w:hAnsi="Times New Roman"/>
          <w:sz w:val="28"/>
          <w:szCs w:val="28"/>
        </w:rPr>
        <w:t>ценност</w:t>
      </w:r>
      <w:r>
        <w:rPr>
          <w:rFonts w:ascii="Times New Roman" w:hAnsi="Times New Roman"/>
          <w:sz w:val="28"/>
          <w:szCs w:val="28"/>
        </w:rPr>
        <w:t>и</w:t>
      </w:r>
      <w:r w:rsidRPr="0087011A">
        <w:rPr>
          <w:rFonts w:ascii="Times New Roman" w:hAnsi="Times New Roman"/>
          <w:sz w:val="28"/>
          <w:szCs w:val="28"/>
        </w:rPr>
        <w:t xml:space="preserve"> больших</w:t>
      </w:r>
      <w:r w:rsidR="00632FB5">
        <w:rPr>
          <w:rFonts w:ascii="Times New Roman" w:hAnsi="Times New Roman"/>
          <w:sz w:val="28"/>
          <w:szCs w:val="28"/>
        </w:rPr>
        <w:t xml:space="preserve"> объемов</w:t>
      </w:r>
      <w:r w:rsidRPr="0087011A">
        <w:rPr>
          <w:rFonts w:ascii="Times New Roman" w:hAnsi="Times New Roman"/>
          <w:sz w:val="28"/>
          <w:szCs w:val="28"/>
        </w:rPr>
        <w:t xml:space="preserve"> данных</w:t>
      </w:r>
      <w:r>
        <w:rPr>
          <w:rFonts w:ascii="Times New Roman" w:hAnsi="Times New Roman"/>
          <w:sz w:val="28"/>
          <w:szCs w:val="28"/>
        </w:rPr>
        <w:t xml:space="preserve">, информации сегодня демонстрирует неоспоримую важность при рассмотрении антимонопольными органами сделок экономической концентрации. В качестве примера предлагается рассмотреть </w:t>
      </w:r>
      <w:r w:rsidRPr="003B2A48">
        <w:rPr>
          <w:rFonts w:ascii="Times New Roman" w:hAnsi="Times New Roman"/>
          <w:sz w:val="28"/>
          <w:szCs w:val="28"/>
        </w:rPr>
        <w:t>сельское хозяйство</w:t>
      </w:r>
      <w:r w:rsidR="00EC2F1D">
        <w:rPr>
          <w:rFonts w:ascii="Times New Roman" w:hAnsi="Times New Roman"/>
          <w:sz w:val="28"/>
          <w:szCs w:val="28"/>
        </w:rPr>
        <w:t>,</w:t>
      </w:r>
      <w:r>
        <w:rPr>
          <w:rFonts w:ascii="Times New Roman" w:hAnsi="Times New Roman"/>
          <w:sz w:val="28"/>
          <w:szCs w:val="28"/>
        </w:rPr>
        <w:t xml:space="preserve"> которо</w:t>
      </w:r>
      <w:r w:rsidR="00914574">
        <w:rPr>
          <w:rFonts w:ascii="Times New Roman" w:hAnsi="Times New Roman"/>
          <w:sz w:val="28"/>
          <w:szCs w:val="28"/>
        </w:rPr>
        <w:t>е</w:t>
      </w:r>
      <w:r>
        <w:rPr>
          <w:rFonts w:ascii="Times New Roman" w:hAnsi="Times New Roman"/>
          <w:sz w:val="28"/>
          <w:szCs w:val="28"/>
        </w:rPr>
        <w:t xml:space="preserve"> </w:t>
      </w:r>
      <w:r w:rsidR="00914574">
        <w:rPr>
          <w:rFonts w:ascii="Times New Roman" w:hAnsi="Times New Roman"/>
          <w:sz w:val="28"/>
          <w:szCs w:val="28"/>
        </w:rPr>
        <w:t xml:space="preserve">стало </w:t>
      </w:r>
      <w:r>
        <w:rPr>
          <w:rFonts w:ascii="Times New Roman" w:hAnsi="Times New Roman"/>
          <w:sz w:val="28"/>
          <w:szCs w:val="28"/>
        </w:rPr>
        <w:t>одн</w:t>
      </w:r>
      <w:r w:rsidR="00914574">
        <w:rPr>
          <w:rFonts w:ascii="Times New Roman" w:hAnsi="Times New Roman"/>
          <w:sz w:val="28"/>
          <w:szCs w:val="28"/>
        </w:rPr>
        <w:t>ой</w:t>
      </w:r>
      <w:r>
        <w:rPr>
          <w:rFonts w:ascii="Times New Roman" w:hAnsi="Times New Roman"/>
          <w:sz w:val="28"/>
          <w:szCs w:val="28"/>
        </w:rPr>
        <w:t xml:space="preserve"> из</w:t>
      </w:r>
      <w:r w:rsidRPr="003B2A48">
        <w:rPr>
          <w:rFonts w:ascii="Times New Roman" w:hAnsi="Times New Roman"/>
          <w:sz w:val="28"/>
          <w:szCs w:val="28"/>
        </w:rPr>
        <w:t xml:space="preserve"> наиболее технологизиру</w:t>
      </w:r>
      <w:r w:rsidR="00C60771">
        <w:rPr>
          <w:rFonts w:ascii="Times New Roman" w:hAnsi="Times New Roman"/>
          <w:sz w:val="28"/>
          <w:szCs w:val="28"/>
        </w:rPr>
        <w:t>емых</w:t>
      </w:r>
      <w:r w:rsidR="00914574">
        <w:rPr>
          <w:rFonts w:ascii="Times New Roman" w:hAnsi="Times New Roman"/>
          <w:sz w:val="28"/>
          <w:szCs w:val="28"/>
        </w:rPr>
        <w:t xml:space="preserve"> отраслей вследствие </w:t>
      </w:r>
      <w:r w:rsidR="00914574" w:rsidRPr="00914574">
        <w:rPr>
          <w:rFonts w:ascii="Times New Roman" w:hAnsi="Times New Roman"/>
          <w:sz w:val="28"/>
          <w:szCs w:val="28"/>
        </w:rPr>
        <w:t>внедрени</w:t>
      </w:r>
      <w:r w:rsidR="00914574">
        <w:rPr>
          <w:rFonts w:ascii="Times New Roman" w:hAnsi="Times New Roman"/>
          <w:sz w:val="28"/>
          <w:szCs w:val="28"/>
        </w:rPr>
        <w:t>я новых инновационных технологий</w:t>
      </w:r>
      <w:r>
        <w:rPr>
          <w:rFonts w:ascii="Times New Roman" w:hAnsi="Times New Roman"/>
          <w:sz w:val="28"/>
          <w:szCs w:val="28"/>
        </w:rPr>
        <w:t>.</w:t>
      </w:r>
      <w:r w:rsidRPr="003B2A48">
        <w:rPr>
          <w:rFonts w:ascii="Times New Roman" w:hAnsi="Times New Roman"/>
          <w:sz w:val="28"/>
          <w:szCs w:val="28"/>
        </w:rPr>
        <w:t xml:space="preserve"> </w:t>
      </w:r>
    </w:p>
    <w:p w:rsidR="0068434D" w:rsidRDefault="0068434D" w:rsidP="008D5EF0">
      <w:pPr>
        <w:spacing w:after="0" w:line="315" w:lineRule="exact"/>
        <w:ind w:firstLine="709"/>
        <w:jc w:val="both"/>
        <w:rPr>
          <w:rFonts w:ascii="Times New Roman" w:hAnsi="Times New Roman"/>
          <w:sz w:val="28"/>
          <w:szCs w:val="28"/>
        </w:rPr>
      </w:pPr>
      <w:r w:rsidRPr="003B2A48">
        <w:rPr>
          <w:rFonts w:ascii="Times New Roman" w:hAnsi="Times New Roman"/>
          <w:sz w:val="28"/>
          <w:szCs w:val="28"/>
        </w:rPr>
        <w:t xml:space="preserve">Передовые достижения в области биологии и генетики, информационных технологий, робототехники и сенсорики активно внедряются в сельскохозяйственную отрасль. За последние </w:t>
      </w:r>
      <w:r w:rsidR="00B66E60">
        <w:rPr>
          <w:rFonts w:ascii="Times New Roman" w:hAnsi="Times New Roman"/>
          <w:sz w:val="28"/>
          <w:szCs w:val="28"/>
        </w:rPr>
        <w:t>пять</w:t>
      </w:r>
      <w:r w:rsidRPr="003B2A48">
        <w:rPr>
          <w:rFonts w:ascii="Times New Roman" w:hAnsi="Times New Roman"/>
          <w:sz w:val="28"/>
          <w:szCs w:val="28"/>
        </w:rPr>
        <w:t xml:space="preserve"> лет мировые инвестиции в </w:t>
      </w:r>
      <w:r w:rsidRPr="005A282F">
        <w:rPr>
          <w:rFonts w:ascii="Times New Roman" w:hAnsi="Times New Roman"/>
          <w:spacing w:val="-2"/>
          <w:sz w:val="28"/>
          <w:szCs w:val="28"/>
        </w:rPr>
        <w:t>высокие технологии для сельскохозяйственной отрасли выросли почти в 20 раз –</w:t>
      </w:r>
      <w:r w:rsidRPr="003B2A48">
        <w:rPr>
          <w:rFonts w:ascii="Times New Roman" w:hAnsi="Times New Roman"/>
          <w:sz w:val="28"/>
          <w:szCs w:val="28"/>
        </w:rPr>
        <w:t xml:space="preserve"> с 0,5 млрд долл</w:t>
      </w:r>
      <w:r w:rsidR="00BC6D31">
        <w:rPr>
          <w:rFonts w:ascii="Times New Roman" w:hAnsi="Times New Roman"/>
          <w:sz w:val="28"/>
          <w:szCs w:val="28"/>
        </w:rPr>
        <w:t>аров</w:t>
      </w:r>
      <w:r w:rsidR="00862620">
        <w:rPr>
          <w:rFonts w:ascii="Times New Roman" w:hAnsi="Times New Roman"/>
          <w:sz w:val="28"/>
          <w:szCs w:val="28"/>
        </w:rPr>
        <w:t xml:space="preserve"> США</w:t>
      </w:r>
      <w:r w:rsidRPr="003B2A48">
        <w:rPr>
          <w:rFonts w:ascii="Times New Roman" w:hAnsi="Times New Roman"/>
          <w:sz w:val="28"/>
          <w:szCs w:val="28"/>
        </w:rPr>
        <w:t xml:space="preserve"> в 2012 г</w:t>
      </w:r>
      <w:r w:rsidR="00520FAB">
        <w:rPr>
          <w:rFonts w:ascii="Times New Roman" w:hAnsi="Times New Roman"/>
          <w:sz w:val="28"/>
          <w:szCs w:val="28"/>
        </w:rPr>
        <w:t>оду</w:t>
      </w:r>
      <w:r w:rsidRPr="003B2A48">
        <w:rPr>
          <w:rFonts w:ascii="Times New Roman" w:hAnsi="Times New Roman"/>
          <w:sz w:val="28"/>
          <w:szCs w:val="28"/>
        </w:rPr>
        <w:t xml:space="preserve"> до 9 млрд дол</w:t>
      </w:r>
      <w:r w:rsidR="00520FAB">
        <w:rPr>
          <w:rFonts w:ascii="Times New Roman" w:hAnsi="Times New Roman"/>
          <w:sz w:val="28"/>
          <w:szCs w:val="28"/>
        </w:rPr>
        <w:t>л</w:t>
      </w:r>
      <w:r w:rsidR="00BC6D31">
        <w:rPr>
          <w:rFonts w:ascii="Times New Roman" w:hAnsi="Times New Roman"/>
          <w:sz w:val="28"/>
          <w:szCs w:val="28"/>
        </w:rPr>
        <w:t>аров</w:t>
      </w:r>
      <w:r w:rsidR="00862620">
        <w:rPr>
          <w:rFonts w:ascii="Times New Roman" w:hAnsi="Times New Roman"/>
          <w:sz w:val="28"/>
          <w:szCs w:val="28"/>
        </w:rPr>
        <w:t xml:space="preserve"> США</w:t>
      </w:r>
      <w:r w:rsidR="005A282F">
        <w:rPr>
          <w:rFonts w:ascii="Times New Roman" w:hAnsi="Times New Roman"/>
          <w:sz w:val="28"/>
          <w:szCs w:val="28"/>
        </w:rPr>
        <w:t xml:space="preserve"> в 2017 </w:t>
      </w:r>
      <w:r w:rsidR="00520FAB">
        <w:rPr>
          <w:rFonts w:ascii="Times New Roman" w:hAnsi="Times New Roman"/>
          <w:sz w:val="28"/>
          <w:szCs w:val="28"/>
        </w:rPr>
        <w:t>году.</w:t>
      </w:r>
    </w:p>
    <w:p w:rsidR="0068434D" w:rsidRDefault="0068434D" w:rsidP="008D5EF0">
      <w:pPr>
        <w:spacing w:after="0" w:line="315" w:lineRule="exact"/>
        <w:ind w:firstLine="709"/>
        <w:jc w:val="both"/>
        <w:rPr>
          <w:rFonts w:ascii="Times New Roman" w:hAnsi="Times New Roman"/>
          <w:sz w:val="28"/>
          <w:szCs w:val="28"/>
        </w:rPr>
      </w:pPr>
      <w:r>
        <w:rPr>
          <w:rFonts w:ascii="Times New Roman" w:hAnsi="Times New Roman"/>
          <w:sz w:val="28"/>
          <w:szCs w:val="28"/>
        </w:rPr>
        <w:t xml:space="preserve">Фокус конкурентной борьбы между лидерами отрасли определяется сегментом рынка, на котором фактически происходит монетизация реализуемых ими инновационных проектов, целевой аудиторией которого являются фермеры, непосредственно </w:t>
      </w:r>
      <w:r w:rsidR="00862620">
        <w:rPr>
          <w:rFonts w:ascii="Times New Roman" w:hAnsi="Times New Roman"/>
          <w:sz w:val="28"/>
          <w:szCs w:val="28"/>
        </w:rPr>
        <w:t>выращивающие</w:t>
      </w:r>
      <w:r w:rsidRPr="003B2A48">
        <w:rPr>
          <w:rFonts w:ascii="Times New Roman" w:hAnsi="Times New Roman"/>
          <w:sz w:val="28"/>
          <w:szCs w:val="28"/>
        </w:rPr>
        <w:t xml:space="preserve"> сельскохозяйственн</w:t>
      </w:r>
      <w:r w:rsidR="00862620">
        <w:rPr>
          <w:rFonts w:ascii="Times New Roman" w:hAnsi="Times New Roman"/>
          <w:sz w:val="28"/>
          <w:szCs w:val="28"/>
        </w:rPr>
        <w:t>ую</w:t>
      </w:r>
      <w:r w:rsidRPr="003B2A48">
        <w:rPr>
          <w:rFonts w:ascii="Times New Roman" w:hAnsi="Times New Roman"/>
          <w:sz w:val="28"/>
          <w:szCs w:val="28"/>
        </w:rPr>
        <w:t xml:space="preserve"> продукци</w:t>
      </w:r>
      <w:r w:rsidR="00862620">
        <w:rPr>
          <w:rFonts w:ascii="Times New Roman" w:hAnsi="Times New Roman"/>
          <w:sz w:val="28"/>
          <w:szCs w:val="28"/>
        </w:rPr>
        <w:t>ю</w:t>
      </w:r>
      <w:r>
        <w:rPr>
          <w:rFonts w:ascii="Times New Roman" w:hAnsi="Times New Roman"/>
          <w:sz w:val="28"/>
          <w:szCs w:val="28"/>
        </w:rPr>
        <w:t xml:space="preserve">. </w:t>
      </w:r>
    </w:p>
    <w:p w:rsidR="0068434D" w:rsidRDefault="00D2758C" w:rsidP="008D5EF0">
      <w:pPr>
        <w:spacing w:after="0" w:line="315" w:lineRule="exact"/>
        <w:ind w:firstLine="709"/>
        <w:jc w:val="both"/>
        <w:rPr>
          <w:rFonts w:ascii="Times New Roman" w:hAnsi="Times New Roman"/>
          <w:sz w:val="28"/>
          <w:szCs w:val="28"/>
        </w:rPr>
      </w:pPr>
      <w:r>
        <w:rPr>
          <w:rFonts w:ascii="Times New Roman" w:hAnsi="Times New Roman"/>
          <w:sz w:val="28"/>
          <w:szCs w:val="28"/>
        </w:rPr>
        <w:t>В</w:t>
      </w:r>
      <w:r w:rsidR="0068434D">
        <w:rPr>
          <w:rFonts w:ascii="Times New Roman" w:hAnsi="Times New Roman"/>
          <w:sz w:val="28"/>
          <w:szCs w:val="28"/>
        </w:rPr>
        <w:t>озможност</w:t>
      </w:r>
      <w:r>
        <w:rPr>
          <w:rFonts w:ascii="Times New Roman" w:hAnsi="Times New Roman"/>
          <w:sz w:val="28"/>
          <w:szCs w:val="28"/>
        </w:rPr>
        <w:t>ь</w:t>
      </w:r>
      <w:r w:rsidR="0068434D">
        <w:rPr>
          <w:rFonts w:ascii="Times New Roman" w:hAnsi="Times New Roman"/>
          <w:sz w:val="28"/>
          <w:szCs w:val="28"/>
        </w:rPr>
        <w:t xml:space="preserve"> предложить им наиболее эффективные агротехнологические решения влияет на рыночную власть компаний, осуществляющих инновации и действующих на традиционных рынках семян и средств защиты растений, и предопределяет дальнейшие направления развития сельского хозяйства, составной частью которого стали процессы технологической и структурной трансформации отрасли, имеющи</w:t>
      </w:r>
      <w:r>
        <w:rPr>
          <w:rFonts w:ascii="Times New Roman" w:hAnsi="Times New Roman"/>
          <w:sz w:val="28"/>
          <w:szCs w:val="28"/>
        </w:rPr>
        <w:t>е</w:t>
      </w:r>
      <w:r w:rsidR="0068434D">
        <w:rPr>
          <w:rFonts w:ascii="Times New Roman" w:hAnsi="Times New Roman"/>
          <w:sz w:val="28"/>
          <w:szCs w:val="28"/>
        </w:rPr>
        <w:t xml:space="preserve"> двустороннюю направленность. </w:t>
      </w:r>
    </w:p>
    <w:p w:rsidR="0068434D" w:rsidRDefault="00520FAB" w:rsidP="008D5EF0">
      <w:pPr>
        <w:spacing w:after="0" w:line="315" w:lineRule="exact"/>
        <w:ind w:firstLine="709"/>
        <w:jc w:val="both"/>
        <w:rPr>
          <w:rFonts w:ascii="Times New Roman" w:hAnsi="Times New Roman"/>
          <w:sz w:val="28"/>
          <w:szCs w:val="28"/>
        </w:rPr>
      </w:pPr>
      <w:r w:rsidRPr="00520FAB">
        <w:rPr>
          <w:rFonts w:ascii="Times New Roman" w:hAnsi="Times New Roman"/>
          <w:sz w:val="28"/>
          <w:szCs w:val="28"/>
        </w:rPr>
        <w:t xml:space="preserve">За период с </w:t>
      </w:r>
      <w:r w:rsidR="0068434D" w:rsidRPr="003B2A48">
        <w:rPr>
          <w:rFonts w:ascii="Times New Roman" w:hAnsi="Times New Roman"/>
          <w:sz w:val="28"/>
          <w:szCs w:val="28"/>
        </w:rPr>
        <w:t>2015</w:t>
      </w:r>
      <w:r>
        <w:rPr>
          <w:rFonts w:ascii="Times New Roman" w:hAnsi="Times New Roman"/>
          <w:sz w:val="28"/>
          <w:szCs w:val="28"/>
        </w:rPr>
        <w:t xml:space="preserve"> по </w:t>
      </w:r>
      <w:r w:rsidR="0068434D" w:rsidRPr="003B2A48">
        <w:rPr>
          <w:rFonts w:ascii="Times New Roman" w:hAnsi="Times New Roman"/>
          <w:sz w:val="28"/>
          <w:szCs w:val="28"/>
        </w:rPr>
        <w:t>2016 г</w:t>
      </w:r>
      <w:r w:rsidR="00862620">
        <w:rPr>
          <w:rFonts w:ascii="Times New Roman" w:hAnsi="Times New Roman"/>
          <w:sz w:val="28"/>
          <w:szCs w:val="28"/>
        </w:rPr>
        <w:t>од</w:t>
      </w:r>
      <w:r w:rsidR="0068434D" w:rsidRPr="003B2A48">
        <w:rPr>
          <w:rFonts w:ascii="Times New Roman" w:hAnsi="Times New Roman"/>
          <w:sz w:val="28"/>
          <w:szCs w:val="28"/>
        </w:rPr>
        <w:t xml:space="preserve"> были анонсированы несколько крупных сделок в области слияний/поглощений в селекционной и агрохимической отраслях между лидерами отрасли. Если слияние компаний </w:t>
      </w:r>
      <w:r w:rsidR="0068434D" w:rsidRPr="003B2A48">
        <w:rPr>
          <w:rFonts w:ascii="Times New Roman" w:eastAsia="Times New Roman" w:hAnsi="Times New Roman"/>
          <w:i/>
          <w:iCs/>
          <w:sz w:val="28"/>
          <w:szCs w:val="28"/>
          <w:lang w:val="en-US"/>
        </w:rPr>
        <w:t>Monsanto</w:t>
      </w:r>
      <w:r w:rsidR="0068434D" w:rsidRPr="003B2A48">
        <w:rPr>
          <w:rFonts w:ascii="Times New Roman" w:eastAsia="Times New Roman" w:hAnsi="Times New Roman"/>
          <w:i/>
          <w:iCs/>
          <w:sz w:val="28"/>
          <w:szCs w:val="28"/>
        </w:rPr>
        <w:t xml:space="preserve"> </w:t>
      </w:r>
      <w:r w:rsidR="0068434D" w:rsidRPr="003B2A48">
        <w:rPr>
          <w:rFonts w:ascii="Times New Roman" w:hAnsi="Times New Roman"/>
          <w:sz w:val="28"/>
          <w:szCs w:val="28"/>
        </w:rPr>
        <w:t xml:space="preserve">и </w:t>
      </w:r>
      <w:r w:rsidR="0068434D" w:rsidRPr="003B2A48">
        <w:rPr>
          <w:rFonts w:ascii="Times New Roman" w:eastAsia="Times New Roman" w:hAnsi="Times New Roman"/>
          <w:i/>
          <w:iCs/>
          <w:sz w:val="28"/>
          <w:szCs w:val="28"/>
          <w:lang w:val="en-US"/>
        </w:rPr>
        <w:t>Bayer</w:t>
      </w:r>
      <w:r w:rsidR="0068434D" w:rsidRPr="003B2A48">
        <w:rPr>
          <w:rFonts w:ascii="Times New Roman" w:eastAsia="Times New Roman" w:hAnsi="Times New Roman"/>
          <w:i/>
          <w:iCs/>
          <w:sz w:val="28"/>
          <w:szCs w:val="28"/>
        </w:rPr>
        <w:t xml:space="preserve"> </w:t>
      </w:r>
      <w:r w:rsidR="0068434D" w:rsidRPr="003B2A48">
        <w:rPr>
          <w:rFonts w:ascii="Times New Roman" w:hAnsi="Times New Roman"/>
          <w:sz w:val="28"/>
          <w:szCs w:val="28"/>
        </w:rPr>
        <w:t xml:space="preserve">будет одобрено антимонопольными органами, то три компании – </w:t>
      </w:r>
      <w:r w:rsidR="0068434D" w:rsidRPr="003B2A48">
        <w:rPr>
          <w:rFonts w:ascii="Times New Roman" w:eastAsia="Times New Roman" w:hAnsi="Times New Roman"/>
          <w:i/>
          <w:iCs/>
          <w:sz w:val="28"/>
          <w:szCs w:val="28"/>
          <w:lang w:val="en-US"/>
        </w:rPr>
        <w:t>ChemChina</w:t>
      </w:r>
      <w:r w:rsidR="0068434D" w:rsidRPr="003B2A48">
        <w:rPr>
          <w:rFonts w:ascii="Times New Roman" w:eastAsia="Times New Roman" w:hAnsi="Times New Roman"/>
          <w:i/>
          <w:iCs/>
          <w:sz w:val="28"/>
          <w:szCs w:val="28"/>
        </w:rPr>
        <w:t>-</w:t>
      </w:r>
      <w:r w:rsidR="0068434D" w:rsidRPr="003B2A48">
        <w:rPr>
          <w:rFonts w:ascii="Times New Roman" w:eastAsia="Times New Roman" w:hAnsi="Times New Roman"/>
          <w:i/>
          <w:iCs/>
          <w:sz w:val="28"/>
          <w:szCs w:val="28"/>
          <w:lang w:val="en-US"/>
        </w:rPr>
        <w:t>Syngenta</w:t>
      </w:r>
      <w:r w:rsidR="0068434D" w:rsidRPr="003B2A48">
        <w:rPr>
          <w:rFonts w:ascii="Times New Roman" w:eastAsia="Times New Roman" w:hAnsi="Times New Roman"/>
          <w:iCs/>
          <w:sz w:val="28"/>
          <w:szCs w:val="28"/>
        </w:rPr>
        <w:t xml:space="preserve">, </w:t>
      </w:r>
      <w:r w:rsidR="0068434D" w:rsidRPr="003B2A48">
        <w:rPr>
          <w:rFonts w:ascii="Times New Roman" w:eastAsia="Times New Roman" w:hAnsi="Times New Roman"/>
          <w:i/>
          <w:iCs/>
          <w:sz w:val="28"/>
          <w:szCs w:val="28"/>
          <w:lang w:val="en-US"/>
        </w:rPr>
        <w:t>DuPont</w:t>
      </w:r>
      <w:r w:rsidR="0068434D" w:rsidRPr="003B2A48">
        <w:rPr>
          <w:rFonts w:ascii="Times New Roman" w:eastAsia="Times New Roman" w:hAnsi="Times New Roman"/>
          <w:i/>
          <w:iCs/>
          <w:sz w:val="28"/>
          <w:szCs w:val="28"/>
        </w:rPr>
        <w:t>-</w:t>
      </w:r>
      <w:r w:rsidR="0068434D" w:rsidRPr="003B2A48">
        <w:rPr>
          <w:rFonts w:ascii="Times New Roman" w:eastAsia="Times New Roman" w:hAnsi="Times New Roman"/>
          <w:i/>
          <w:iCs/>
          <w:sz w:val="28"/>
          <w:szCs w:val="28"/>
          <w:lang w:val="en-US"/>
        </w:rPr>
        <w:t>Dow</w:t>
      </w:r>
      <w:r w:rsidR="0068434D" w:rsidRPr="003B2A48">
        <w:rPr>
          <w:rFonts w:ascii="Times New Roman" w:eastAsia="Times New Roman" w:hAnsi="Times New Roman"/>
          <w:iCs/>
          <w:sz w:val="28"/>
          <w:szCs w:val="28"/>
        </w:rPr>
        <w:t xml:space="preserve">, </w:t>
      </w:r>
      <w:r w:rsidR="0068434D" w:rsidRPr="003B2A48">
        <w:rPr>
          <w:rFonts w:ascii="Times New Roman" w:eastAsia="Times New Roman" w:hAnsi="Times New Roman"/>
          <w:i/>
          <w:iCs/>
          <w:sz w:val="28"/>
          <w:szCs w:val="28"/>
          <w:lang w:val="en-US"/>
        </w:rPr>
        <w:t>Bayer</w:t>
      </w:r>
      <w:r w:rsidR="0068434D" w:rsidRPr="003B2A48">
        <w:rPr>
          <w:rFonts w:ascii="Times New Roman" w:eastAsia="Times New Roman" w:hAnsi="Times New Roman"/>
          <w:i/>
          <w:iCs/>
          <w:sz w:val="28"/>
          <w:szCs w:val="28"/>
        </w:rPr>
        <w:t>-</w:t>
      </w:r>
      <w:r w:rsidR="0068434D" w:rsidRPr="003B2A48">
        <w:rPr>
          <w:rFonts w:ascii="Times New Roman" w:eastAsia="Times New Roman" w:hAnsi="Times New Roman"/>
          <w:i/>
          <w:iCs/>
          <w:sz w:val="28"/>
          <w:szCs w:val="28"/>
          <w:lang w:val="en-US"/>
        </w:rPr>
        <w:t>Monsanto</w:t>
      </w:r>
      <w:r w:rsidR="0068434D" w:rsidRPr="003B2A48">
        <w:rPr>
          <w:rFonts w:ascii="Times New Roman" w:eastAsia="Times New Roman" w:hAnsi="Times New Roman"/>
          <w:iCs/>
          <w:sz w:val="28"/>
          <w:szCs w:val="28"/>
        </w:rPr>
        <w:t xml:space="preserve"> </w:t>
      </w:r>
      <w:r w:rsidR="0068434D" w:rsidRPr="003B2A48">
        <w:rPr>
          <w:rFonts w:ascii="Times New Roman" w:hAnsi="Times New Roman"/>
          <w:sz w:val="28"/>
          <w:szCs w:val="28"/>
        </w:rPr>
        <w:t>– совокупно получат контроль над 60</w:t>
      </w:r>
      <w:r w:rsidR="004D2C9E">
        <w:rPr>
          <w:rFonts w:ascii="Times New Roman" w:hAnsi="Times New Roman"/>
          <w:sz w:val="28"/>
          <w:szCs w:val="28"/>
        </w:rPr>
        <w:t> %</w:t>
      </w:r>
      <w:r w:rsidR="0068434D" w:rsidRPr="003B2A48">
        <w:rPr>
          <w:rFonts w:ascii="Times New Roman" w:hAnsi="Times New Roman"/>
          <w:sz w:val="28"/>
          <w:szCs w:val="28"/>
        </w:rPr>
        <w:t xml:space="preserve"> рынка запатентованных семян и 64</w:t>
      </w:r>
      <w:r w:rsidR="004D2C9E">
        <w:rPr>
          <w:rFonts w:ascii="Times New Roman" w:hAnsi="Times New Roman"/>
          <w:sz w:val="28"/>
          <w:szCs w:val="28"/>
        </w:rPr>
        <w:t> %</w:t>
      </w:r>
      <w:r w:rsidR="0068434D" w:rsidRPr="003B2A48">
        <w:rPr>
          <w:rFonts w:ascii="Times New Roman" w:hAnsi="Times New Roman"/>
          <w:sz w:val="28"/>
          <w:szCs w:val="28"/>
        </w:rPr>
        <w:t xml:space="preserve"> мирового рынка пестицидов/гербицидов.</w:t>
      </w:r>
    </w:p>
    <w:p w:rsidR="0068434D" w:rsidRPr="004D7C74" w:rsidRDefault="0068434D" w:rsidP="004D2C9E">
      <w:pPr>
        <w:spacing w:after="0" w:line="240" w:lineRule="auto"/>
        <w:ind w:firstLine="709"/>
        <w:jc w:val="both"/>
        <w:rPr>
          <w:rFonts w:ascii="Times New Roman" w:hAnsi="Times New Roman"/>
          <w:sz w:val="28"/>
          <w:szCs w:val="28"/>
        </w:rPr>
      </w:pPr>
      <w:r w:rsidRPr="004D7C74">
        <w:rPr>
          <w:rFonts w:ascii="Times New Roman" w:hAnsi="Times New Roman"/>
          <w:sz w:val="28"/>
          <w:szCs w:val="28"/>
        </w:rPr>
        <w:t xml:space="preserve">Указанные направления трансформации мирового агросектора тесно связаны с тенденциями построения цифровых платформ, пронизывающих глобальную экономику. </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Безусловно, происходящие процессы трансформации сельского хозяйства позволят в среднесрочной перспективе существенно повысить эффективность данной отрасли экономики.</w:t>
      </w:r>
    </w:p>
    <w:p w:rsidR="0068434D" w:rsidRDefault="00393362" w:rsidP="004D2C9E">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393362">
        <w:rPr>
          <w:rFonts w:ascii="Times New Roman" w:hAnsi="Times New Roman"/>
          <w:sz w:val="28"/>
          <w:szCs w:val="28"/>
        </w:rPr>
        <w:t xml:space="preserve">же сейчас </w:t>
      </w:r>
      <w:r w:rsidR="0068434D">
        <w:rPr>
          <w:rFonts w:ascii="Times New Roman" w:hAnsi="Times New Roman"/>
          <w:sz w:val="28"/>
          <w:szCs w:val="28"/>
        </w:rPr>
        <w:t>данные процессы трансформации привели к созданию на этом рынке устойчивой олигополии, существование которой влечет за собой определенные риски, в том числе в контексте защиты конкуренции.</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К таким рискам можно отнести:</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повышение цен на семена;</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уменьшение разнообразия предлагаемых семян и биоразнообразия культивируемых культур;</w:t>
      </w:r>
    </w:p>
    <w:p w:rsidR="0068434D" w:rsidRPr="00A50949" w:rsidRDefault="0068434D" w:rsidP="004D2C9E">
      <w:pPr>
        <w:spacing w:after="0" w:line="240" w:lineRule="auto"/>
        <w:ind w:firstLine="709"/>
        <w:jc w:val="both"/>
        <w:rPr>
          <w:rFonts w:ascii="Times New Roman" w:hAnsi="Times New Roman"/>
          <w:sz w:val="28"/>
          <w:szCs w:val="28"/>
        </w:rPr>
      </w:pPr>
      <w:r w:rsidRPr="008D5EF0">
        <w:rPr>
          <w:rFonts w:ascii="Times New Roman" w:hAnsi="Times New Roman"/>
          <w:spacing w:val="-2"/>
          <w:sz w:val="28"/>
          <w:szCs w:val="28"/>
        </w:rPr>
        <w:t>контроль со стороны транснациональных компаний национального семеноводства, входящих ресурсов и доходности</w:t>
      </w:r>
      <w:r w:rsidR="00520FAB" w:rsidRPr="008D5EF0">
        <w:rPr>
          <w:rFonts w:ascii="Times New Roman" w:hAnsi="Times New Roman"/>
          <w:spacing w:val="-2"/>
          <w:sz w:val="28"/>
          <w:szCs w:val="28"/>
        </w:rPr>
        <w:t xml:space="preserve"> </w:t>
      </w:r>
      <w:r w:rsidRPr="008D5EF0">
        <w:rPr>
          <w:rFonts w:ascii="Times New Roman" w:hAnsi="Times New Roman"/>
          <w:spacing w:val="-2"/>
          <w:sz w:val="28"/>
          <w:szCs w:val="28"/>
        </w:rPr>
        <w:t>сельхозтоваропроизводителей</w:t>
      </w:r>
      <w:r>
        <w:rPr>
          <w:rFonts w:ascii="Times New Roman" w:hAnsi="Times New Roman"/>
          <w:sz w:val="28"/>
          <w:szCs w:val="28"/>
        </w:rPr>
        <w:t>.</w:t>
      </w:r>
    </w:p>
    <w:p w:rsidR="0068434D" w:rsidRDefault="0068434D" w:rsidP="004D2C9E">
      <w:pPr>
        <w:spacing w:after="0" w:line="240" w:lineRule="auto"/>
        <w:ind w:firstLine="709"/>
        <w:jc w:val="both"/>
        <w:rPr>
          <w:rFonts w:ascii="Times New Roman" w:hAnsi="Times New Roman"/>
          <w:bCs/>
          <w:color w:val="252525"/>
          <w:sz w:val="28"/>
          <w:szCs w:val="28"/>
          <w:shd w:val="clear" w:color="auto" w:fill="FFFFFF"/>
        </w:rPr>
      </w:pPr>
      <w:r>
        <w:rPr>
          <w:rFonts w:ascii="Times New Roman" w:hAnsi="Times New Roman"/>
          <w:sz w:val="28"/>
          <w:szCs w:val="28"/>
        </w:rPr>
        <w:t xml:space="preserve">Укреплению позиции лидеров отрасли способствует сложившаяся мировая практика защиты интеллектуальной собственности, позволяющая патентовать сорта растений, геномные маркеры и биотехнологические методы работы, которая </w:t>
      </w:r>
      <w:r>
        <w:rPr>
          <w:rFonts w:ascii="Times New Roman" w:hAnsi="Times New Roman"/>
          <w:bCs/>
          <w:color w:val="252525"/>
          <w:sz w:val="28"/>
          <w:szCs w:val="28"/>
          <w:shd w:val="clear" w:color="auto" w:fill="FFFFFF"/>
        </w:rPr>
        <w:t>фактически создает на рынке биотехнологий и биоинформатики замкнутую систему, доступ к которой новых игроков существенно органичен.</w:t>
      </w:r>
    </w:p>
    <w:p w:rsidR="0068434D" w:rsidRDefault="00BC6D31" w:rsidP="004D2C9E">
      <w:pPr>
        <w:spacing w:after="0" w:line="240" w:lineRule="auto"/>
        <w:ind w:firstLine="709"/>
        <w:jc w:val="both"/>
        <w:rPr>
          <w:rFonts w:ascii="Times New Roman" w:hAnsi="Times New Roman"/>
          <w:iCs/>
          <w:noProof/>
          <w:sz w:val="28"/>
          <w:szCs w:val="28"/>
          <w:lang w:eastAsia="ru-RU"/>
        </w:rPr>
      </w:pPr>
      <w:r>
        <w:rPr>
          <w:rFonts w:ascii="Times New Roman" w:hAnsi="Times New Roman"/>
          <w:noProof/>
          <w:sz w:val="28"/>
          <w:szCs w:val="28"/>
          <w:lang w:eastAsia="ru-RU"/>
        </w:rPr>
        <w:t>За период с 2016 по 2017 год</w:t>
      </w:r>
      <w:r w:rsidR="0068434D">
        <w:rPr>
          <w:rFonts w:ascii="Times New Roman" w:hAnsi="Times New Roman"/>
          <w:noProof/>
          <w:sz w:val="28"/>
          <w:szCs w:val="28"/>
          <w:lang w:eastAsia="ru-RU"/>
        </w:rPr>
        <w:t xml:space="preserve"> российским антимонопольным органом было рассмотрен</w:t>
      </w:r>
      <w:r w:rsidR="00D505EF">
        <w:rPr>
          <w:rFonts w:ascii="Times New Roman" w:hAnsi="Times New Roman"/>
          <w:noProof/>
          <w:sz w:val="28"/>
          <w:szCs w:val="28"/>
          <w:lang w:eastAsia="ru-RU"/>
        </w:rPr>
        <w:t>ы</w:t>
      </w:r>
      <w:r w:rsidR="0068434D">
        <w:rPr>
          <w:rFonts w:ascii="Times New Roman" w:hAnsi="Times New Roman"/>
          <w:noProof/>
          <w:sz w:val="28"/>
          <w:szCs w:val="28"/>
          <w:lang w:eastAsia="ru-RU"/>
        </w:rPr>
        <w:t xml:space="preserve"> и согласован</w:t>
      </w:r>
      <w:r w:rsidR="00D505EF">
        <w:rPr>
          <w:rFonts w:ascii="Times New Roman" w:hAnsi="Times New Roman"/>
          <w:noProof/>
          <w:sz w:val="28"/>
          <w:szCs w:val="28"/>
          <w:lang w:eastAsia="ru-RU"/>
        </w:rPr>
        <w:t>ы</w:t>
      </w:r>
      <w:r w:rsidR="0068434D">
        <w:rPr>
          <w:rFonts w:ascii="Times New Roman" w:hAnsi="Times New Roman"/>
          <w:noProof/>
          <w:sz w:val="28"/>
          <w:szCs w:val="28"/>
          <w:lang w:eastAsia="ru-RU"/>
        </w:rPr>
        <w:t xml:space="preserve"> две глобальные сделки: </w:t>
      </w:r>
      <w:r w:rsidR="0068434D" w:rsidRPr="0012631A">
        <w:rPr>
          <w:rFonts w:ascii="Times New Roman" w:hAnsi="Times New Roman"/>
          <w:noProof/>
          <w:sz w:val="28"/>
          <w:szCs w:val="28"/>
          <w:lang w:eastAsia="ru-RU"/>
        </w:rPr>
        <w:t>о</w:t>
      </w:r>
      <w:r w:rsidR="0068434D" w:rsidRPr="0012631A">
        <w:rPr>
          <w:rFonts w:ascii="Times New Roman" w:hAnsi="Times New Roman"/>
          <w:iCs/>
          <w:noProof/>
          <w:sz w:val="28"/>
          <w:szCs w:val="28"/>
          <w:lang w:eastAsia="ru-RU"/>
        </w:rPr>
        <w:t xml:space="preserve">бъединение американских компаний </w:t>
      </w:r>
      <w:r w:rsidR="0068434D" w:rsidRPr="0012631A">
        <w:rPr>
          <w:rFonts w:ascii="Times New Roman" w:hAnsi="Times New Roman"/>
          <w:i/>
          <w:iCs/>
          <w:noProof/>
          <w:sz w:val="28"/>
          <w:szCs w:val="28"/>
          <w:lang w:val="en-US" w:eastAsia="ru-RU"/>
        </w:rPr>
        <w:t>Dow</w:t>
      </w:r>
      <w:r w:rsidR="0068434D" w:rsidRPr="0012631A">
        <w:rPr>
          <w:rFonts w:ascii="Times New Roman" w:hAnsi="Times New Roman"/>
          <w:i/>
          <w:iCs/>
          <w:noProof/>
          <w:sz w:val="28"/>
          <w:szCs w:val="28"/>
          <w:lang w:eastAsia="ru-RU"/>
        </w:rPr>
        <w:t xml:space="preserve"> </w:t>
      </w:r>
      <w:r w:rsidR="0068434D" w:rsidRPr="0012631A">
        <w:rPr>
          <w:rFonts w:ascii="Times New Roman" w:hAnsi="Times New Roman"/>
          <w:i/>
          <w:iCs/>
          <w:noProof/>
          <w:sz w:val="28"/>
          <w:szCs w:val="28"/>
          <w:lang w:val="en-US" w:eastAsia="ru-RU"/>
        </w:rPr>
        <w:t>Chemical</w:t>
      </w:r>
      <w:r w:rsidR="0068434D" w:rsidRPr="0012631A">
        <w:rPr>
          <w:rFonts w:ascii="Times New Roman" w:hAnsi="Times New Roman"/>
          <w:iCs/>
          <w:noProof/>
          <w:sz w:val="28"/>
          <w:szCs w:val="28"/>
          <w:lang w:eastAsia="ru-RU"/>
        </w:rPr>
        <w:t xml:space="preserve"> и </w:t>
      </w:r>
      <w:r w:rsidR="0068434D" w:rsidRPr="0012631A">
        <w:rPr>
          <w:rFonts w:ascii="Times New Roman" w:hAnsi="Times New Roman"/>
          <w:i/>
          <w:iCs/>
          <w:noProof/>
          <w:sz w:val="28"/>
          <w:szCs w:val="28"/>
          <w:lang w:val="en-US" w:eastAsia="ru-RU"/>
        </w:rPr>
        <w:t>DuPont</w:t>
      </w:r>
      <w:r w:rsidR="0068434D">
        <w:rPr>
          <w:rFonts w:ascii="Times New Roman" w:hAnsi="Times New Roman"/>
          <w:i/>
          <w:iCs/>
          <w:noProof/>
          <w:sz w:val="28"/>
          <w:szCs w:val="28"/>
          <w:lang w:eastAsia="ru-RU"/>
        </w:rPr>
        <w:t xml:space="preserve">, </w:t>
      </w:r>
      <w:r w:rsidR="0068434D" w:rsidRPr="0012631A">
        <w:rPr>
          <w:rFonts w:ascii="Times New Roman" w:hAnsi="Times New Roman"/>
          <w:iCs/>
          <w:noProof/>
          <w:sz w:val="28"/>
          <w:szCs w:val="28"/>
          <w:lang w:eastAsia="ru-RU"/>
        </w:rPr>
        <w:t>а также приобретение китайской госкорпорацией</w:t>
      </w:r>
      <w:r w:rsidR="0068434D" w:rsidRPr="0012631A">
        <w:rPr>
          <w:rFonts w:ascii="Times New Roman" w:hAnsi="Times New Roman"/>
          <w:i/>
          <w:iCs/>
          <w:noProof/>
          <w:sz w:val="28"/>
          <w:szCs w:val="28"/>
          <w:lang w:eastAsia="ru-RU"/>
        </w:rPr>
        <w:t xml:space="preserve"> </w:t>
      </w:r>
      <w:r w:rsidR="0068434D" w:rsidRPr="0012631A">
        <w:rPr>
          <w:rFonts w:ascii="Times New Roman" w:hAnsi="Times New Roman"/>
          <w:i/>
          <w:iCs/>
          <w:noProof/>
          <w:sz w:val="28"/>
          <w:szCs w:val="28"/>
          <w:lang w:val="en-US" w:eastAsia="ru-RU"/>
        </w:rPr>
        <w:t>ChemChina</w:t>
      </w:r>
      <w:r w:rsidR="0068434D" w:rsidRPr="0012631A">
        <w:rPr>
          <w:rFonts w:ascii="Times New Roman" w:hAnsi="Times New Roman"/>
          <w:i/>
          <w:iCs/>
          <w:noProof/>
          <w:sz w:val="28"/>
          <w:szCs w:val="28"/>
          <w:lang w:eastAsia="ru-RU"/>
        </w:rPr>
        <w:t xml:space="preserve"> </w:t>
      </w:r>
      <w:r w:rsidR="0068434D" w:rsidRPr="0012631A">
        <w:rPr>
          <w:rFonts w:ascii="Times New Roman" w:hAnsi="Times New Roman"/>
          <w:iCs/>
          <w:noProof/>
          <w:sz w:val="28"/>
          <w:szCs w:val="28"/>
          <w:lang w:eastAsia="ru-RU"/>
        </w:rPr>
        <w:t>швейцарской компании</w:t>
      </w:r>
      <w:r w:rsidR="0068434D" w:rsidRPr="0012631A">
        <w:rPr>
          <w:rFonts w:ascii="Times New Roman" w:hAnsi="Times New Roman"/>
          <w:i/>
          <w:iCs/>
          <w:noProof/>
          <w:sz w:val="28"/>
          <w:szCs w:val="28"/>
          <w:lang w:eastAsia="ru-RU"/>
        </w:rPr>
        <w:t xml:space="preserve"> </w:t>
      </w:r>
      <w:r w:rsidR="0068434D" w:rsidRPr="0012631A">
        <w:rPr>
          <w:rFonts w:ascii="Times New Roman" w:hAnsi="Times New Roman"/>
          <w:i/>
          <w:iCs/>
          <w:noProof/>
          <w:sz w:val="28"/>
          <w:szCs w:val="28"/>
          <w:lang w:val="en-US" w:eastAsia="ru-RU"/>
        </w:rPr>
        <w:t>Syngenta</w:t>
      </w:r>
      <w:r w:rsidR="0068434D">
        <w:rPr>
          <w:rFonts w:ascii="Times New Roman" w:hAnsi="Times New Roman"/>
          <w:iCs/>
          <w:noProof/>
          <w:sz w:val="28"/>
          <w:szCs w:val="28"/>
          <w:lang w:eastAsia="ru-RU"/>
        </w:rPr>
        <w:t>.</w:t>
      </w:r>
    </w:p>
    <w:p w:rsidR="0068434D" w:rsidRDefault="0068434D" w:rsidP="004D2C9E">
      <w:pPr>
        <w:spacing w:after="0" w:line="240" w:lineRule="auto"/>
        <w:ind w:firstLine="709"/>
        <w:jc w:val="both"/>
        <w:rPr>
          <w:rFonts w:ascii="Times New Roman" w:hAnsi="Times New Roman"/>
          <w:iCs/>
          <w:noProof/>
          <w:sz w:val="28"/>
          <w:szCs w:val="28"/>
          <w:lang w:eastAsia="ru-RU"/>
        </w:rPr>
      </w:pPr>
      <w:r>
        <w:rPr>
          <w:rFonts w:ascii="Times New Roman" w:hAnsi="Times New Roman"/>
          <w:iCs/>
          <w:noProof/>
          <w:sz w:val="28"/>
          <w:szCs w:val="28"/>
          <w:lang w:eastAsia="ru-RU"/>
        </w:rPr>
        <w:t>При оценке указанных сделок ФАС России применялся традиционный подход – проводился перспективный анализ влияния сделок на рынки семян и средств защиты растений в резул</w:t>
      </w:r>
      <w:r w:rsidR="00D505EF">
        <w:rPr>
          <w:rFonts w:ascii="Times New Roman" w:hAnsi="Times New Roman"/>
          <w:iCs/>
          <w:noProof/>
          <w:sz w:val="28"/>
          <w:szCs w:val="28"/>
          <w:lang w:eastAsia="ru-RU"/>
        </w:rPr>
        <w:t>ьтате горизонтальной интеграции,</w:t>
      </w:r>
      <w:r>
        <w:rPr>
          <w:rFonts w:ascii="Times New Roman" w:hAnsi="Times New Roman"/>
          <w:iCs/>
          <w:noProof/>
          <w:sz w:val="28"/>
          <w:szCs w:val="28"/>
          <w:lang w:eastAsia="ru-RU"/>
        </w:rPr>
        <w:t xml:space="preserve"> </w:t>
      </w:r>
      <w:r w:rsidR="00D505EF">
        <w:rPr>
          <w:rFonts w:ascii="Times New Roman" w:hAnsi="Times New Roman"/>
          <w:iCs/>
          <w:noProof/>
          <w:sz w:val="28"/>
          <w:szCs w:val="28"/>
          <w:lang w:eastAsia="ru-RU"/>
        </w:rPr>
        <w:t>который</w:t>
      </w:r>
      <w:r>
        <w:rPr>
          <w:rFonts w:ascii="Times New Roman" w:hAnsi="Times New Roman"/>
          <w:iCs/>
          <w:noProof/>
          <w:sz w:val="28"/>
          <w:szCs w:val="28"/>
          <w:lang w:eastAsia="ru-RU"/>
        </w:rPr>
        <w:t xml:space="preserve"> показал, что в результате совершения данных сделок возникновения или усиления доминирующего положения на российских рынках присутствия продукции участвующих в сделке компаний не произойдет. Это послужило основанием для согласования указанных сделок.</w:t>
      </w:r>
    </w:p>
    <w:p w:rsidR="0068434D" w:rsidRDefault="00393362" w:rsidP="004D2C9E">
      <w:pPr>
        <w:spacing w:after="0" w:line="240" w:lineRule="auto"/>
        <w:ind w:firstLine="709"/>
        <w:jc w:val="both"/>
        <w:rPr>
          <w:rFonts w:ascii="Times New Roman" w:hAnsi="Times New Roman"/>
          <w:iCs/>
          <w:noProof/>
          <w:sz w:val="28"/>
          <w:szCs w:val="28"/>
          <w:lang w:eastAsia="ru-RU"/>
        </w:rPr>
      </w:pPr>
      <w:r>
        <w:rPr>
          <w:rFonts w:ascii="Times New Roman" w:hAnsi="Times New Roman"/>
          <w:iCs/>
          <w:noProof/>
          <w:sz w:val="28"/>
          <w:szCs w:val="28"/>
          <w:lang w:eastAsia="ru-RU"/>
        </w:rPr>
        <w:t>Вместе с тем</w:t>
      </w:r>
      <w:r w:rsidR="0068434D">
        <w:rPr>
          <w:rFonts w:ascii="Times New Roman" w:hAnsi="Times New Roman"/>
          <w:iCs/>
          <w:noProof/>
          <w:sz w:val="28"/>
          <w:szCs w:val="28"/>
          <w:lang w:eastAsia="ru-RU"/>
        </w:rPr>
        <w:t xml:space="preserve"> меняющаяся модель ведения бизнеса, в том числе в сфере производства семян, которая основана на применении высокотехнологичных решений, защищенных патентами, больших данных, создании замкнутых систем, объединяющих под единым управлением несвязанные горизонтальным или вертикальным образом рынки, позволяющих максимализировать прибыль за счет использования доминирующего положения на одном из них, предопределяет необходимость изменения подходов к оценке таких сделок.</w:t>
      </w:r>
    </w:p>
    <w:p w:rsidR="0068434D" w:rsidRDefault="0068434D" w:rsidP="004D2C9E">
      <w:pPr>
        <w:spacing w:after="0" w:line="240" w:lineRule="auto"/>
        <w:ind w:firstLine="709"/>
        <w:jc w:val="both"/>
        <w:rPr>
          <w:rFonts w:ascii="Times New Roman" w:hAnsi="Times New Roman"/>
          <w:iCs/>
          <w:noProof/>
          <w:sz w:val="28"/>
          <w:szCs w:val="28"/>
          <w:lang w:eastAsia="ru-RU"/>
        </w:rPr>
      </w:pPr>
      <w:r>
        <w:rPr>
          <w:rFonts w:ascii="Times New Roman" w:hAnsi="Times New Roman"/>
          <w:iCs/>
          <w:noProof/>
          <w:sz w:val="28"/>
          <w:szCs w:val="28"/>
          <w:lang w:eastAsia="ru-RU"/>
        </w:rPr>
        <w:t>Такой подход, по мнению росс</w:t>
      </w:r>
      <w:r w:rsidR="00BD4DB0">
        <w:rPr>
          <w:rFonts w:ascii="Times New Roman" w:hAnsi="Times New Roman"/>
          <w:iCs/>
          <w:noProof/>
          <w:sz w:val="28"/>
          <w:szCs w:val="28"/>
          <w:lang w:eastAsia="ru-RU"/>
        </w:rPr>
        <w:t>ийского антимонопольного органа</w:t>
      </w:r>
      <w:r w:rsidR="00D505EF">
        <w:rPr>
          <w:rFonts w:ascii="Times New Roman" w:hAnsi="Times New Roman"/>
          <w:iCs/>
          <w:noProof/>
          <w:sz w:val="28"/>
          <w:szCs w:val="28"/>
          <w:lang w:eastAsia="ru-RU"/>
        </w:rPr>
        <w:t>,</w:t>
      </w:r>
      <w:r w:rsidR="00636F0D">
        <w:rPr>
          <w:rFonts w:ascii="Times New Roman" w:hAnsi="Times New Roman"/>
          <w:iCs/>
          <w:noProof/>
          <w:sz w:val="28"/>
          <w:szCs w:val="28"/>
          <w:lang w:eastAsia="ru-RU"/>
        </w:rPr>
        <w:t xml:space="preserve"> </w:t>
      </w:r>
      <w:r>
        <w:rPr>
          <w:rFonts w:ascii="Times New Roman" w:hAnsi="Times New Roman"/>
          <w:iCs/>
          <w:noProof/>
          <w:sz w:val="28"/>
          <w:szCs w:val="28"/>
          <w:lang w:eastAsia="ru-RU"/>
        </w:rPr>
        <w:t>предполагает:</w:t>
      </w:r>
    </w:p>
    <w:p w:rsidR="0068434D" w:rsidRDefault="0068434D" w:rsidP="004D2C9E">
      <w:pPr>
        <w:spacing w:after="0" w:line="240" w:lineRule="auto"/>
        <w:ind w:firstLine="709"/>
        <w:jc w:val="both"/>
        <w:rPr>
          <w:rFonts w:ascii="Times New Roman" w:hAnsi="Times New Roman"/>
          <w:iCs/>
          <w:noProof/>
          <w:sz w:val="28"/>
          <w:szCs w:val="28"/>
          <w:lang w:eastAsia="ru-RU"/>
        </w:rPr>
      </w:pPr>
      <w:r>
        <w:rPr>
          <w:rFonts w:ascii="Times New Roman" w:hAnsi="Times New Roman"/>
          <w:iCs/>
          <w:noProof/>
          <w:sz w:val="28"/>
          <w:szCs w:val="28"/>
          <w:lang w:eastAsia="ru-RU"/>
        </w:rPr>
        <w:t>рассмотрение рынка инноваций в тесной взаимосвязи с рынками конечного продукта, реализуемого потребителям. При этом рынок инноваций рассматривается как мировой рынок;</w:t>
      </w:r>
    </w:p>
    <w:p w:rsidR="0068434D" w:rsidRDefault="0068434D" w:rsidP="004D2C9E">
      <w:pPr>
        <w:spacing w:after="0" w:line="240" w:lineRule="auto"/>
        <w:ind w:firstLine="709"/>
        <w:jc w:val="both"/>
        <w:rPr>
          <w:rFonts w:ascii="Times New Roman" w:hAnsi="Times New Roman"/>
          <w:iCs/>
          <w:noProof/>
          <w:sz w:val="28"/>
          <w:szCs w:val="28"/>
          <w:lang w:eastAsia="ru-RU"/>
        </w:rPr>
      </w:pPr>
      <w:r>
        <w:rPr>
          <w:rFonts w:ascii="Times New Roman" w:hAnsi="Times New Roman"/>
          <w:iCs/>
          <w:noProof/>
          <w:sz w:val="28"/>
          <w:szCs w:val="28"/>
          <w:lang w:eastAsia="ru-RU"/>
        </w:rPr>
        <w:t>оценку имеющихся у компаний технологий и ноу-хау, позволяющих в краткосро</w:t>
      </w:r>
      <w:r w:rsidR="00D505EF">
        <w:rPr>
          <w:rFonts w:ascii="Times New Roman" w:hAnsi="Times New Roman"/>
          <w:iCs/>
          <w:noProof/>
          <w:sz w:val="28"/>
          <w:szCs w:val="28"/>
          <w:lang w:eastAsia="ru-RU"/>
        </w:rPr>
        <w:t>чной и среднесрочной перспективах</w:t>
      </w:r>
      <w:r>
        <w:rPr>
          <w:rFonts w:ascii="Times New Roman" w:hAnsi="Times New Roman"/>
          <w:iCs/>
          <w:noProof/>
          <w:sz w:val="28"/>
          <w:szCs w:val="28"/>
          <w:lang w:eastAsia="ru-RU"/>
        </w:rPr>
        <w:t xml:space="preserve"> за счет синергетического эффекта существенно увеличить свою долю на рынке, при этом предполагается оценка имеющихся технологий в контексте горизонтальной, вертикальной и конгломератной интеграции (например, наличие уникальных технологий, баз данных, позволяющих осуществлять ускоренную селекцию, создавать пакетные решения, в том числе </w:t>
      </w:r>
      <w:r>
        <w:rPr>
          <w:rFonts w:ascii="Times New Roman" w:hAnsi="Times New Roman"/>
          <w:iCs/>
          <w:noProof/>
          <w:sz w:val="28"/>
          <w:szCs w:val="28"/>
          <w:lang w:val="en-US" w:eastAsia="ru-RU"/>
        </w:rPr>
        <w:t>IT</w:t>
      </w:r>
      <w:r w:rsidRPr="006A5FBE">
        <w:rPr>
          <w:rFonts w:ascii="Times New Roman" w:hAnsi="Times New Roman"/>
          <w:iCs/>
          <w:noProof/>
          <w:sz w:val="28"/>
          <w:szCs w:val="28"/>
          <w:lang w:eastAsia="ru-RU"/>
        </w:rPr>
        <w:t>-</w:t>
      </w:r>
      <w:r>
        <w:rPr>
          <w:rFonts w:ascii="Times New Roman" w:hAnsi="Times New Roman"/>
          <w:iCs/>
          <w:noProof/>
          <w:sz w:val="28"/>
          <w:szCs w:val="28"/>
          <w:lang w:eastAsia="ru-RU"/>
        </w:rPr>
        <w:t>решения, влияющие на консолидацию спроса конечного потребителя и ограничивающие доступ потенциальных конкурентов как на рынок семян, так и на смеждые рынки);</w:t>
      </w:r>
    </w:p>
    <w:p w:rsidR="0068434D" w:rsidRDefault="0068434D" w:rsidP="004D2C9E">
      <w:pPr>
        <w:spacing w:after="0" w:line="240" w:lineRule="auto"/>
        <w:ind w:firstLine="709"/>
        <w:jc w:val="both"/>
        <w:rPr>
          <w:rFonts w:ascii="Times New Roman" w:hAnsi="Times New Roman"/>
          <w:iCs/>
          <w:noProof/>
          <w:sz w:val="28"/>
          <w:szCs w:val="28"/>
          <w:lang w:eastAsia="ru-RU"/>
        </w:rPr>
      </w:pPr>
      <w:r>
        <w:rPr>
          <w:rFonts w:ascii="Times New Roman" w:hAnsi="Times New Roman"/>
          <w:iCs/>
          <w:noProof/>
          <w:sz w:val="28"/>
          <w:szCs w:val="28"/>
          <w:lang w:eastAsia="ru-RU"/>
        </w:rPr>
        <w:t>оценку влияния предполагаемой сделки на рынок инноваций как с точки зрения возможности ограничения доступа потенциальных конкурентов к инновационным продуктам, так и с точки зрения влияния на развитие инноваций на национальном рынке.</w:t>
      </w:r>
    </w:p>
    <w:p w:rsidR="0068434D" w:rsidRPr="001A5C06" w:rsidRDefault="0068434D" w:rsidP="004D2C9E">
      <w:pPr>
        <w:spacing w:after="0" w:line="240" w:lineRule="auto"/>
        <w:ind w:firstLine="709"/>
        <w:jc w:val="both"/>
        <w:rPr>
          <w:rFonts w:ascii="Times New Roman" w:hAnsi="Times New Roman"/>
          <w:color w:val="000000"/>
          <w:sz w:val="28"/>
          <w:szCs w:val="24"/>
        </w:rPr>
      </w:pPr>
      <w:r>
        <w:rPr>
          <w:rFonts w:ascii="Times New Roman" w:hAnsi="Times New Roman"/>
          <w:iCs/>
          <w:noProof/>
          <w:sz w:val="28"/>
          <w:szCs w:val="28"/>
          <w:lang w:eastAsia="ru-RU"/>
        </w:rPr>
        <w:t xml:space="preserve">Данный подход в настоящее время апробирован российским антимонопольным органом при рассмотрении сделки </w:t>
      </w:r>
      <w:r w:rsidRPr="0044129F">
        <w:rPr>
          <w:rFonts w:ascii="Times New Roman" w:hAnsi="Times New Roman"/>
          <w:color w:val="000000"/>
          <w:sz w:val="28"/>
          <w:szCs w:val="24"/>
          <w:lang w:val="en-US"/>
        </w:rPr>
        <w:t>Bayer</w:t>
      </w:r>
      <w:r w:rsidRPr="0044129F">
        <w:rPr>
          <w:rFonts w:ascii="Times New Roman" w:hAnsi="Times New Roman"/>
          <w:color w:val="000000"/>
          <w:sz w:val="28"/>
          <w:szCs w:val="24"/>
        </w:rPr>
        <w:t>/</w:t>
      </w:r>
      <w:r w:rsidRPr="0044129F">
        <w:rPr>
          <w:rFonts w:ascii="Times New Roman" w:hAnsi="Times New Roman"/>
          <w:color w:val="000000"/>
          <w:sz w:val="28"/>
          <w:szCs w:val="24"/>
          <w:lang w:val="en-US"/>
        </w:rPr>
        <w:t>Monsanto</w:t>
      </w:r>
      <w:r w:rsidRPr="001A5C06">
        <w:rPr>
          <w:rFonts w:ascii="Times New Roman" w:hAnsi="Times New Roman"/>
          <w:color w:val="000000"/>
          <w:sz w:val="28"/>
          <w:szCs w:val="24"/>
        </w:rPr>
        <w:t>.</w:t>
      </w:r>
    </w:p>
    <w:p w:rsidR="0068434D" w:rsidRPr="00946854" w:rsidRDefault="0068434D" w:rsidP="004D2C9E">
      <w:pPr>
        <w:spacing w:after="0" w:line="240" w:lineRule="auto"/>
        <w:ind w:firstLine="709"/>
        <w:jc w:val="both"/>
        <w:rPr>
          <w:rFonts w:ascii="Times New Roman" w:eastAsia="SimSun" w:hAnsi="Times New Roman"/>
          <w:kern w:val="3"/>
          <w:sz w:val="28"/>
          <w:szCs w:val="28"/>
          <w:lang w:eastAsia="zh-CN" w:bidi="hi-IN"/>
        </w:rPr>
      </w:pPr>
      <w:r w:rsidRPr="00946854">
        <w:rPr>
          <w:rFonts w:ascii="Times New Roman" w:eastAsia="SimSun" w:hAnsi="Times New Roman"/>
          <w:kern w:val="3"/>
          <w:sz w:val="28"/>
          <w:szCs w:val="28"/>
          <w:lang w:eastAsia="zh-CN" w:bidi="hi-IN"/>
        </w:rPr>
        <w:t>Данная сделка затрагивает рынки следующих продуктов, конечным потребителем которых являются сельхозпроизводители: генетический материал (семена), определенные средст</w:t>
      </w:r>
      <w:r w:rsidR="00CA497D">
        <w:rPr>
          <w:rFonts w:ascii="Times New Roman" w:eastAsia="SimSun" w:hAnsi="Times New Roman"/>
          <w:kern w:val="3"/>
          <w:sz w:val="28"/>
          <w:szCs w:val="28"/>
          <w:lang w:eastAsia="zh-CN" w:bidi="hi-IN"/>
        </w:rPr>
        <w:t>ва защиты растений, в частности</w:t>
      </w:r>
      <w:r w:rsidRPr="00946854">
        <w:rPr>
          <w:rFonts w:ascii="Times New Roman" w:eastAsia="SimSun" w:hAnsi="Times New Roman"/>
          <w:kern w:val="3"/>
          <w:sz w:val="28"/>
          <w:szCs w:val="28"/>
          <w:lang w:eastAsia="zh-CN" w:bidi="hi-IN"/>
        </w:rPr>
        <w:t xml:space="preserve"> неселективные гербициды, а также цифровые предложения для сельхозпроизводителей. </w:t>
      </w:r>
    </w:p>
    <w:p w:rsidR="0068434D" w:rsidRDefault="0068434D" w:rsidP="004D2C9E">
      <w:pPr>
        <w:spacing w:after="0" w:line="240" w:lineRule="auto"/>
        <w:ind w:firstLine="709"/>
        <w:jc w:val="both"/>
        <w:rPr>
          <w:rFonts w:ascii="Times New Roman" w:hAnsi="Times New Roman"/>
          <w:sz w:val="28"/>
          <w:szCs w:val="28"/>
        </w:rPr>
      </w:pPr>
      <w:r w:rsidRPr="00946854">
        <w:rPr>
          <w:rFonts w:ascii="Times New Roman" w:hAnsi="Times New Roman"/>
          <w:sz w:val="28"/>
          <w:szCs w:val="28"/>
        </w:rPr>
        <w:t xml:space="preserve">Компании </w:t>
      </w:r>
      <w:r w:rsidR="0044129F">
        <w:rPr>
          <w:rFonts w:ascii="Times New Roman" w:hAnsi="Times New Roman"/>
          <w:sz w:val="28"/>
          <w:szCs w:val="28"/>
        </w:rPr>
        <w:t xml:space="preserve">Bayer и </w:t>
      </w:r>
      <w:r w:rsidR="0044129F" w:rsidRPr="0044129F">
        <w:rPr>
          <w:rFonts w:ascii="Times New Roman" w:hAnsi="Times New Roman"/>
          <w:sz w:val="28"/>
          <w:szCs w:val="28"/>
        </w:rPr>
        <w:t xml:space="preserve">Monsanto </w:t>
      </w:r>
      <w:r w:rsidRPr="00946854">
        <w:rPr>
          <w:rFonts w:ascii="Times New Roman" w:hAnsi="Times New Roman"/>
          <w:sz w:val="28"/>
          <w:szCs w:val="28"/>
        </w:rPr>
        <w:t>являются вертикально</w:t>
      </w:r>
      <w:r w:rsidR="0044129F">
        <w:rPr>
          <w:rFonts w:ascii="Times New Roman" w:hAnsi="Times New Roman"/>
          <w:sz w:val="28"/>
          <w:szCs w:val="28"/>
        </w:rPr>
        <w:t xml:space="preserve"> </w:t>
      </w:r>
      <w:r w:rsidRPr="00946854">
        <w:rPr>
          <w:rFonts w:ascii="Times New Roman" w:hAnsi="Times New Roman"/>
          <w:sz w:val="28"/>
          <w:szCs w:val="28"/>
        </w:rPr>
        <w:t>интегрированными высокотехнологич</w:t>
      </w:r>
      <w:r w:rsidR="0044129F">
        <w:rPr>
          <w:rFonts w:ascii="Times New Roman" w:hAnsi="Times New Roman"/>
          <w:sz w:val="28"/>
          <w:szCs w:val="28"/>
        </w:rPr>
        <w:t>ны</w:t>
      </w:r>
      <w:r w:rsidRPr="00946854">
        <w:rPr>
          <w:rFonts w:ascii="Times New Roman" w:hAnsi="Times New Roman"/>
          <w:sz w:val="28"/>
          <w:szCs w:val="28"/>
        </w:rPr>
        <w:t>ми компаниями полного цикла, включающего как исследования и разработки, так и продажу указанных средств производства сельхозпроизводителям.</w:t>
      </w:r>
    </w:p>
    <w:p w:rsidR="0068434D" w:rsidRPr="00946854" w:rsidRDefault="0068434D" w:rsidP="004D2C9E">
      <w:pPr>
        <w:spacing w:after="0" w:line="240" w:lineRule="auto"/>
        <w:ind w:firstLine="709"/>
        <w:jc w:val="both"/>
        <w:rPr>
          <w:rFonts w:ascii="Times New Roman" w:hAnsi="Times New Roman"/>
          <w:sz w:val="28"/>
          <w:szCs w:val="28"/>
        </w:rPr>
      </w:pPr>
      <w:r w:rsidRPr="00946854">
        <w:rPr>
          <w:rFonts w:ascii="Times New Roman" w:hAnsi="Times New Roman"/>
          <w:sz w:val="28"/>
          <w:szCs w:val="28"/>
        </w:rPr>
        <w:t>В ходе рассмотрения сделки ФАС России провела серию консультаций с заинтересованными федеральными органами исполнительной власти, научным и бизнес-сообществом, а также с зарубежными конкурентными ведомствами. Кроме того, ФАС</w:t>
      </w:r>
      <w:r>
        <w:rPr>
          <w:rFonts w:ascii="Times New Roman" w:hAnsi="Times New Roman"/>
          <w:sz w:val="28"/>
          <w:szCs w:val="28"/>
        </w:rPr>
        <w:t xml:space="preserve"> России</w:t>
      </w:r>
      <w:r w:rsidR="0044129F">
        <w:rPr>
          <w:rFonts w:ascii="Times New Roman" w:hAnsi="Times New Roman"/>
          <w:sz w:val="28"/>
          <w:szCs w:val="28"/>
        </w:rPr>
        <w:t xml:space="preserve"> проводились</w:t>
      </w:r>
      <w:r w:rsidRPr="00946854">
        <w:rPr>
          <w:rFonts w:ascii="Times New Roman" w:hAnsi="Times New Roman"/>
          <w:sz w:val="28"/>
          <w:szCs w:val="28"/>
        </w:rPr>
        <w:t xml:space="preserve"> регулярн</w:t>
      </w:r>
      <w:r w:rsidR="0044129F">
        <w:rPr>
          <w:rFonts w:ascii="Times New Roman" w:hAnsi="Times New Roman"/>
          <w:sz w:val="28"/>
          <w:szCs w:val="28"/>
        </w:rPr>
        <w:t>ые</w:t>
      </w:r>
      <w:r w:rsidRPr="00946854">
        <w:rPr>
          <w:rFonts w:ascii="Times New Roman" w:hAnsi="Times New Roman"/>
          <w:sz w:val="28"/>
          <w:szCs w:val="28"/>
        </w:rPr>
        <w:t xml:space="preserve"> встреч</w:t>
      </w:r>
      <w:r w:rsidR="0044129F">
        <w:rPr>
          <w:rFonts w:ascii="Times New Roman" w:hAnsi="Times New Roman"/>
          <w:sz w:val="28"/>
          <w:szCs w:val="28"/>
        </w:rPr>
        <w:t>и</w:t>
      </w:r>
      <w:r w:rsidRPr="00946854">
        <w:rPr>
          <w:rFonts w:ascii="Times New Roman" w:hAnsi="Times New Roman"/>
          <w:sz w:val="28"/>
          <w:szCs w:val="28"/>
        </w:rPr>
        <w:t xml:space="preserve"> с участниками сделки, </w:t>
      </w:r>
      <w:r w:rsidR="0044129F">
        <w:rPr>
          <w:rFonts w:ascii="Times New Roman" w:hAnsi="Times New Roman"/>
          <w:sz w:val="28"/>
          <w:szCs w:val="28"/>
        </w:rPr>
        <w:t xml:space="preserve">где </w:t>
      </w:r>
      <w:r w:rsidRPr="00946854">
        <w:rPr>
          <w:rFonts w:ascii="Times New Roman" w:hAnsi="Times New Roman"/>
          <w:sz w:val="28"/>
          <w:szCs w:val="28"/>
        </w:rPr>
        <w:t>обсужда</w:t>
      </w:r>
      <w:r w:rsidR="0044129F">
        <w:rPr>
          <w:rFonts w:ascii="Times New Roman" w:hAnsi="Times New Roman"/>
          <w:sz w:val="28"/>
          <w:szCs w:val="28"/>
        </w:rPr>
        <w:t>лись</w:t>
      </w:r>
      <w:r w:rsidRPr="00946854">
        <w:rPr>
          <w:rFonts w:ascii="Times New Roman" w:hAnsi="Times New Roman"/>
          <w:sz w:val="28"/>
          <w:szCs w:val="28"/>
        </w:rPr>
        <w:t xml:space="preserve"> возможные негативные эффекты для конкуренции от ее совершения, а также меры по их устранению.</w:t>
      </w:r>
      <w:r w:rsidR="004D2C9E">
        <w:rPr>
          <w:rFonts w:ascii="Times New Roman" w:hAnsi="Times New Roman"/>
          <w:sz w:val="28"/>
          <w:szCs w:val="28"/>
        </w:rPr>
        <w:t xml:space="preserve"> </w:t>
      </w:r>
    </w:p>
    <w:p w:rsidR="0068434D" w:rsidRPr="00946854" w:rsidRDefault="0068434D" w:rsidP="004D2C9E">
      <w:pPr>
        <w:spacing w:after="0" w:line="240" w:lineRule="auto"/>
        <w:ind w:firstLine="709"/>
        <w:jc w:val="both"/>
        <w:rPr>
          <w:rFonts w:ascii="Times New Roman" w:hAnsi="Times New Roman"/>
          <w:sz w:val="28"/>
          <w:szCs w:val="28"/>
        </w:rPr>
      </w:pPr>
      <w:r w:rsidRPr="00946854">
        <w:rPr>
          <w:rFonts w:ascii="Times New Roman" w:hAnsi="Times New Roman"/>
          <w:sz w:val="28"/>
          <w:szCs w:val="28"/>
        </w:rPr>
        <w:t>Понимая, что сделка может иметь значительные последствия для динамики технологического и инновационного развития российского АПК, ФАС России учитывала также программные документы, описывающие состояние и тенденции научно-технологического развития</w:t>
      </w:r>
      <w:r w:rsidR="004D2C9E">
        <w:rPr>
          <w:rFonts w:ascii="Times New Roman" w:hAnsi="Times New Roman"/>
          <w:sz w:val="28"/>
          <w:szCs w:val="28"/>
        </w:rPr>
        <w:t xml:space="preserve"> </w:t>
      </w:r>
      <w:r w:rsidRPr="00946854">
        <w:rPr>
          <w:rFonts w:ascii="Times New Roman" w:hAnsi="Times New Roman"/>
          <w:sz w:val="28"/>
          <w:szCs w:val="28"/>
        </w:rPr>
        <w:t>России, в частности Стратегию научно-технического развития Российской Федерации, Прогноз научно-технологического развития АПК на период до 2030 года, Федеральную научно-техническую программу развития сельского хозяйства на 2017</w:t>
      </w:r>
      <w:r w:rsidR="00F9318B">
        <w:rPr>
          <w:rFonts w:ascii="Times New Roman" w:hAnsi="Times New Roman"/>
          <w:sz w:val="28"/>
          <w:szCs w:val="28"/>
        </w:rPr>
        <w:t>–</w:t>
      </w:r>
      <w:r w:rsidRPr="00946854">
        <w:rPr>
          <w:rFonts w:ascii="Times New Roman" w:hAnsi="Times New Roman"/>
          <w:sz w:val="28"/>
          <w:szCs w:val="28"/>
        </w:rPr>
        <w:t>2025</w:t>
      </w:r>
      <w:r w:rsidR="00F9318B">
        <w:rPr>
          <w:rFonts w:ascii="Times New Roman" w:hAnsi="Times New Roman"/>
          <w:sz w:val="28"/>
          <w:szCs w:val="28"/>
        </w:rPr>
        <w:t> </w:t>
      </w:r>
      <w:r w:rsidRPr="00946854">
        <w:rPr>
          <w:rFonts w:ascii="Times New Roman" w:hAnsi="Times New Roman"/>
          <w:sz w:val="28"/>
          <w:szCs w:val="28"/>
        </w:rPr>
        <w:t>год</w:t>
      </w:r>
      <w:r w:rsidR="00520FAB">
        <w:rPr>
          <w:rFonts w:ascii="Times New Roman" w:hAnsi="Times New Roman"/>
          <w:sz w:val="28"/>
          <w:szCs w:val="28"/>
        </w:rPr>
        <w:t>ы</w:t>
      </w:r>
      <w:r w:rsidRPr="00946854">
        <w:rPr>
          <w:rFonts w:ascii="Times New Roman" w:hAnsi="Times New Roman"/>
          <w:sz w:val="28"/>
          <w:szCs w:val="28"/>
        </w:rPr>
        <w:t xml:space="preserve">, Государственную программу </w:t>
      </w:r>
      <w:r w:rsidR="004D2C9E">
        <w:rPr>
          <w:rFonts w:ascii="Times New Roman" w:hAnsi="Times New Roman"/>
          <w:sz w:val="28"/>
          <w:szCs w:val="28"/>
        </w:rPr>
        <w:t>«</w:t>
      </w:r>
      <w:r w:rsidRPr="00946854">
        <w:rPr>
          <w:rFonts w:ascii="Times New Roman" w:hAnsi="Times New Roman"/>
          <w:sz w:val="28"/>
          <w:szCs w:val="28"/>
        </w:rPr>
        <w:t>Цифровая экономика</w:t>
      </w:r>
      <w:r w:rsidR="004D2C9E">
        <w:rPr>
          <w:rFonts w:ascii="Times New Roman" w:hAnsi="Times New Roman"/>
          <w:sz w:val="28"/>
          <w:szCs w:val="28"/>
        </w:rPr>
        <w:t>»</w:t>
      </w:r>
      <w:r w:rsidRPr="00946854">
        <w:rPr>
          <w:rFonts w:ascii="Times New Roman" w:hAnsi="Times New Roman"/>
          <w:sz w:val="28"/>
          <w:szCs w:val="28"/>
        </w:rPr>
        <w:t xml:space="preserve"> и др.</w:t>
      </w:r>
    </w:p>
    <w:p w:rsidR="0068434D" w:rsidRPr="00946854" w:rsidRDefault="0068434D" w:rsidP="004D2C9E">
      <w:pPr>
        <w:spacing w:after="0" w:line="240" w:lineRule="auto"/>
        <w:ind w:firstLine="709"/>
        <w:jc w:val="both"/>
        <w:rPr>
          <w:rFonts w:ascii="Times New Roman" w:hAnsi="Times New Roman"/>
          <w:sz w:val="28"/>
          <w:szCs w:val="28"/>
        </w:rPr>
      </w:pPr>
      <w:r w:rsidRPr="00946854">
        <w:rPr>
          <w:rFonts w:ascii="Times New Roman" w:hAnsi="Times New Roman"/>
          <w:sz w:val="28"/>
          <w:szCs w:val="28"/>
        </w:rPr>
        <w:t>Учитывая высокое значение технологических изменений, происходящих в сельскохозяйственной отрасли, в том числе в части цифровизации сельского хозяйства, ФАС России при оценке последствий от данной сделки экономической концентрации для состояния конкуренции на российском и глобальном рынк</w:t>
      </w:r>
      <w:r w:rsidR="0044129F">
        <w:rPr>
          <w:rFonts w:ascii="Times New Roman" w:hAnsi="Times New Roman"/>
          <w:sz w:val="28"/>
          <w:szCs w:val="28"/>
        </w:rPr>
        <w:t>ах</w:t>
      </w:r>
      <w:r w:rsidRPr="00946854">
        <w:rPr>
          <w:rFonts w:ascii="Times New Roman" w:hAnsi="Times New Roman"/>
          <w:sz w:val="28"/>
          <w:szCs w:val="28"/>
        </w:rPr>
        <w:t xml:space="preserve"> агротехнологий применила современные методические подходы, разработанные совместно с ведущими научными учреждениями, включая Институт права и развития </w:t>
      </w:r>
      <w:r w:rsidR="00C60771" w:rsidRPr="00C60771">
        <w:rPr>
          <w:rFonts w:ascii="Times New Roman" w:hAnsi="Times New Roman"/>
          <w:sz w:val="28"/>
          <w:szCs w:val="28"/>
        </w:rPr>
        <w:t>Высш</w:t>
      </w:r>
      <w:r w:rsidR="00C60771">
        <w:rPr>
          <w:rFonts w:ascii="Times New Roman" w:hAnsi="Times New Roman"/>
          <w:sz w:val="28"/>
          <w:szCs w:val="28"/>
        </w:rPr>
        <w:t>ую</w:t>
      </w:r>
      <w:r w:rsidR="00C60771" w:rsidRPr="00C60771">
        <w:rPr>
          <w:rFonts w:ascii="Times New Roman" w:hAnsi="Times New Roman"/>
          <w:sz w:val="28"/>
          <w:szCs w:val="28"/>
        </w:rPr>
        <w:t xml:space="preserve"> школ</w:t>
      </w:r>
      <w:r w:rsidR="00C60771">
        <w:rPr>
          <w:rFonts w:ascii="Times New Roman" w:hAnsi="Times New Roman"/>
          <w:sz w:val="28"/>
          <w:szCs w:val="28"/>
        </w:rPr>
        <w:t>у</w:t>
      </w:r>
      <w:r w:rsidR="00C60771" w:rsidRPr="00C60771">
        <w:rPr>
          <w:rFonts w:ascii="Times New Roman" w:hAnsi="Times New Roman"/>
          <w:sz w:val="28"/>
          <w:szCs w:val="28"/>
        </w:rPr>
        <w:t xml:space="preserve"> экономики</w:t>
      </w:r>
      <w:r w:rsidRPr="00946854">
        <w:rPr>
          <w:rFonts w:ascii="Times New Roman" w:hAnsi="Times New Roman"/>
          <w:sz w:val="28"/>
          <w:szCs w:val="28"/>
        </w:rPr>
        <w:t>-Сколково, учитывала успешный опыт зарубежных конкурентных ведомств, рекомендации Комитета по конкуренции ОЭСР, актуальные российские и международные научные публикации по контролю экономической концентрации на рынках с высокой инновационной составляющей, а также опиралась на опыт обсуждения процессов экономической концентрации на рынках агротехнологий в рамках Рабочей группы БРИКС по рынкам продовольствия, созданной антимонопольными ведомствами стран БРИКС в 2015 г</w:t>
      </w:r>
      <w:r w:rsidR="00520FAB">
        <w:rPr>
          <w:rFonts w:ascii="Times New Roman" w:hAnsi="Times New Roman"/>
          <w:sz w:val="28"/>
          <w:szCs w:val="28"/>
        </w:rPr>
        <w:t>оду</w:t>
      </w:r>
      <w:r w:rsidRPr="00946854">
        <w:rPr>
          <w:rFonts w:ascii="Times New Roman" w:hAnsi="Times New Roman"/>
          <w:sz w:val="28"/>
          <w:szCs w:val="28"/>
        </w:rPr>
        <w:t xml:space="preserve">. </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Такое свойство цифровых рынков, как сетевые эффекты, заслуживают пристального внимания со стороны антимонопольных органов. Важно определить роль сетевых эффектов для конкуренции: являются ли они барьером входа на рынок (что кажется очевидным) или само их существование является стимулом для справедливой конкуренции.</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рассмотрении сделки по слиянию Яндекс.Такси и </w:t>
      </w:r>
      <w:r>
        <w:rPr>
          <w:rFonts w:ascii="Times New Roman" w:hAnsi="Times New Roman"/>
          <w:sz w:val="28"/>
          <w:szCs w:val="28"/>
          <w:lang w:val="en-US"/>
        </w:rPr>
        <w:t>Uber</w:t>
      </w:r>
      <w:r>
        <w:rPr>
          <w:rFonts w:ascii="Times New Roman" w:hAnsi="Times New Roman"/>
          <w:sz w:val="28"/>
          <w:szCs w:val="28"/>
        </w:rPr>
        <w:t xml:space="preserve"> – двух агрегаторов рынка перевозки пассажиров такси</w:t>
      </w:r>
      <w:r w:rsidR="00F9318B">
        <w:rPr>
          <w:rFonts w:ascii="Times New Roman" w:hAnsi="Times New Roman"/>
          <w:sz w:val="28"/>
          <w:szCs w:val="28"/>
        </w:rPr>
        <w:t xml:space="preserve"> – </w:t>
      </w:r>
      <w:r>
        <w:rPr>
          <w:rFonts w:ascii="Times New Roman" w:hAnsi="Times New Roman"/>
          <w:sz w:val="28"/>
          <w:szCs w:val="28"/>
        </w:rPr>
        <w:t>ФАС России анализировал</w:t>
      </w:r>
      <w:r w:rsidR="00B52207">
        <w:rPr>
          <w:rFonts w:ascii="Times New Roman" w:hAnsi="Times New Roman"/>
          <w:sz w:val="28"/>
          <w:szCs w:val="28"/>
        </w:rPr>
        <w:t>а</w:t>
      </w:r>
      <w:r>
        <w:rPr>
          <w:rFonts w:ascii="Times New Roman" w:hAnsi="Times New Roman"/>
          <w:sz w:val="28"/>
          <w:szCs w:val="28"/>
        </w:rPr>
        <w:t xml:space="preserve"> влияние сетевых эффектов и поведения потребителей </w:t>
      </w:r>
      <w:r w:rsidR="0044129F">
        <w:rPr>
          <w:rFonts w:ascii="Times New Roman" w:hAnsi="Times New Roman"/>
          <w:sz w:val="28"/>
          <w:szCs w:val="28"/>
        </w:rPr>
        <w:t>с целью выяснить,</w:t>
      </w:r>
      <w:r>
        <w:rPr>
          <w:rFonts w:ascii="Times New Roman" w:hAnsi="Times New Roman"/>
          <w:sz w:val="28"/>
          <w:szCs w:val="28"/>
        </w:rPr>
        <w:t xml:space="preserve"> сможет ли объединенная компания определять условия обращения товара и получить возможность злоупотребления своим положением на рынке.</w:t>
      </w:r>
    </w:p>
    <w:p w:rsidR="0068434D" w:rsidRPr="00EB5926"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Рынок услуг агрегаторов такси – классический пример рынка с ярко выраженными сетевыми эффектами: потребительская ценность товара растет по мере роста количества обеих групп потребителей – </w:t>
      </w:r>
      <w:r w:rsidR="000639F8">
        <w:rPr>
          <w:rFonts w:ascii="Times New Roman" w:hAnsi="Times New Roman"/>
          <w:sz w:val="28"/>
          <w:szCs w:val="28"/>
        </w:rPr>
        <w:t>пассажиров и водителей. То есть</w:t>
      </w:r>
      <w:r>
        <w:rPr>
          <w:rFonts w:ascii="Times New Roman" w:hAnsi="Times New Roman"/>
          <w:sz w:val="28"/>
          <w:szCs w:val="28"/>
        </w:rPr>
        <w:t xml:space="preserve"> чем больше водителей использу</w:t>
      </w:r>
      <w:r w:rsidR="000639F8">
        <w:rPr>
          <w:rFonts w:ascii="Times New Roman" w:hAnsi="Times New Roman"/>
          <w:sz w:val="28"/>
          <w:szCs w:val="28"/>
        </w:rPr>
        <w:t>ю</w:t>
      </w:r>
      <w:r>
        <w:rPr>
          <w:rFonts w:ascii="Times New Roman" w:hAnsi="Times New Roman"/>
          <w:sz w:val="28"/>
          <w:szCs w:val="28"/>
        </w:rPr>
        <w:t>т конкретное приложение, тем выше ценность приложения для пассажира, так как этим обеспечивается быстрая подача автомобиля. Одновременно, чем больше пассажиров использу</w:t>
      </w:r>
      <w:r w:rsidR="000639F8">
        <w:rPr>
          <w:rFonts w:ascii="Times New Roman" w:hAnsi="Times New Roman"/>
          <w:sz w:val="28"/>
          <w:szCs w:val="28"/>
        </w:rPr>
        <w:t>ю</w:t>
      </w:r>
      <w:r>
        <w:rPr>
          <w:rFonts w:ascii="Times New Roman" w:hAnsi="Times New Roman"/>
          <w:sz w:val="28"/>
          <w:szCs w:val="28"/>
        </w:rPr>
        <w:t>т приложение для заказа такси, тем выше вероятность для водителя получить заказ и снизить время простоя.</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На состояние конкуренции на всех рынках программного обеспечения существенно влияе</w:t>
      </w:r>
      <w:r w:rsidR="000639F8">
        <w:rPr>
          <w:rFonts w:ascii="Times New Roman" w:hAnsi="Times New Roman"/>
          <w:sz w:val="28"/>
          <w:szCs w:val="28"/>
        </w:rPr>
        <w:t>т</w:t>
      </w:r>
      <w:r>
        <w:rPr>
          <w:rFonts w:ascii="Times New Roman" w:hAnsi="Times New Roman"/>
          <w:sz w:val="28"/>
          <w:szCs w:val="28"/>
        </w:rPr>
        <w:t xml:space="preserve"> возможность переключения. В рассматриваемом случае возможность переключения и, что также немаловажно</w:t>
      </w:r>
      <w:r w:rsidR="000639F8">
        <w:rPr>
          <w:rFonts w:ascii="Times New Roman" w:hAnsi="Times New Roman"/>
          <w:sz w:val="28"/>
          <w:szCs w:val="28"/>
        </w:rPr>
        <w:t xml:space="preserve">, </w:t>
      </w:r>
      <w:r>
        <w:rPr>
          <w:rFonts w:ascii="Times New Roman" w:hAnsi="Times New Roman"/>
          <w:sz w:val="28"/>
          <w:szCs w:val="28"/>
        </w:rPr>
        <w:t>– склонность потребителей к переключению – игра</w:t>
      </w:r>
      <w:r w:rsidR="000639F8">
        <w:rPr>
          <w:rFonts w:ascii="Times New Roman" w:hAnsi="Times New Roman"/>
          <w:sz w:val="28"/>
          <w:szCs w:val="28"/>
        </w:rPr>
        <w:t>ю</w:t>
      </w:r>
      <w:r>
        <w:rPr>
          <w:rFonts w:ascii="Times New Roman" w:hAnsi="Times New Roman"/>
          <w:sz w:val="28"/>
          <w:szCs w:val="28"/>
        </w:rPr>
        <w:t xml:space="preserve">т ключевую роль. </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Изучение потребительского поведения показало, что переключение приложений агрегаторов такси происходит без какого-либо затруднения: пассажиры в ходе опроса заявили, что при малейшем неудобстве, снижении качества, росте цены, они моментально перейдут на использование другого агрегатора, в том числе и без использования приложений</w:t>
      </w:r>
      <w:r w:rsidR="000639F8">
        <w:rPr>
          <w:rFonts w:ascii="Times New Roman" w:hAnsi="Times New Roman"/>
          <w:sz w:val="28"/>
          <w:szCs w:val="28"/>
        </w:rPr>
        <w:t>,</w:t>
      </w:r>
      <w:r>
        <w:rPr>
          <w:rFonts w:ascii="Times New Roman" w:hAnsi="Times New Roman"/>
          <w:sz w:val="28"/>
          <w:szCs w:val="28"/>
        </w:rPr>
        <w:t xml:space="preserve"> т</w:t>
      </w:r>
      <w:r w:rsidR="000639F8">
        <w:rPr>
          <w:rFonts w:ascii="Times New Roman" w:hAnsi="Times New Roman"/>
          <w:sz w:val="28"/>
          <w:szCs w:val="28"/>
        </w:rPr>
        <w:t>.</w:t>
      </w:r>
      <w:r>
        <w:rPr>
          <w:rFonts w:ascii="Times New Roman" w:hAnsi="Times New Roman"/>
          <w:sz w:val="28"/>
          <w:szCs w:val="28"/>
        </w:rPr>
        <w:t>е</w:t>
      </w:r>
      <w:r w:rsidR="000639F8">
        <w:rPr>
          <w:rFonts w:ascii="Times New Roman" w:hAnsi="Times New Roman"/>
          <w:sz w:val="28"/>
          <w:szCs w:val="28"/>
        </w:rPr>
        <w:t>.</w:t>
      </w:r>
      <w:r>
        <w:rPr>
          <w:rFonts w:ascii="Times New Roman" w:hAnsi="Times New Roman"/>
          <w:sz w:val="28"/>
          <w:szCs w:val="28"/>
        </w:rPr>
        <w:t xml:space="preserve"> вызовут такси по телефону; водители используют одновременно несколько приложений агрегаторов, самостоятельно определяя порядок выбора заказов.</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Такое легкое переключение делает сетевые эффекты мощным инструментом пресечения попыток антиконкурентного поведения на рынке: как только агрегатор ухудшит условия хотя бы для одной группы потребителей, результат последует незамедлительно – ущемленные потребители переключатся на другого агрегатора, а это сразу повлечет уход второй группы.</w:t>
      </w:r>
    </w:p>
    <w:p w:rsidR="0068434D" w:rsidRPr="00F60C1E"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Влияние обоих выявленных факторов – легкости переключения и сетевых эффектов – возрастает еще и потому, что рынок услуг агрегаторов такси в Российской Федерации находится в стадии бурного роста – увеличение объема рынка за год составляет более 100</w:t>
      </w:r>
      <w:r w:rsidR="004D2C9E">
        <w:rPr>
          <w:rFonts w:ascii="Times New Roman" w:hAnsi="Times New Roman"/>
          <w:sz w:val="28"/>
          <w:szCs w:val="28"/>
        </w:rPr>
        <w:t> %</w:t>
      </w:r>
      <w:r>
        <w:rPr>
          <w:rFonts w:ascii="Times New Roman" w:hAnsi="Times New Roman"/>
          <w:sz w:val="28"/>
          <w:szCs w:val="28"/>
        </w:rPr>
        <w:t xml:space="preserve">, причем ожидается сохранение такого роста за счет увеличения использования потребителями смартфонов и роста степени проникновения услуг сотовой связи в стандартах </w:t>
      </w:r>
      <w:r>
        <w:rPr>
          <w:rFonts w:ascii="Times New Roman" w:hAnsi="Times New Roman"/>
          <w:sz w:val="28"/>
          <w:szCs w:val="28"/>
          <w:lang w:val="en-US"/>
        </w:rPr>
        <w:t>UMTS</w:t>
      </w:r>
      <w:r w:rsidRPr="00F60C1E">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LTE</w:t>
      </w:r>
      <w:r>
        <w:rPr>
          <w:rFonts w:ascii="Times New Roman" w:hAnsi="Times New Roman"/>
          <w:sz w:val="28"/>
          <w:szCs w:val="28"/>
        </w:rPr>
        <w:t>.</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Вместе с результатами анализа рынка, который показал, что на территории Российской Федерации присутствует не менее 5 федеральных агрегаторов и множество местных, ФАС России приш</w:t>
      </w:r>
      <w:r w:rsidR="000639F8">
        <w:rPr>
          <w:rFonts w:ascii="Times New Roman" w:hAnsi="Times New Roman"/>
          <w:sz w:val="28"/>
          <w:szCs w:val="28"/>
        </w:rPr>
        <w:t>ла</w:t>
      </w:r>
      <w:r>
        <w:rPr>
          <w:rFonts w:ascii="Times New Roman" w:hAnsi="Times New Roman"/>
          <w:sz w:val="28"/>
          <w:szCs w:val="28"/>
        </w:rPr>
        <w:t xml:space="preserve"> к выводу, что сделка сама по себе не приводит к ограничению конкуренции в настоящее время. Вместе с этим ФАС России </w:t>
      </w:r>
      <w:r w:rsidR="000639F8">
        <w:rPr>
          <w:rFonts w:ascii="Times New Roman" w:hAnsi="Times New Roman"/>
          <w:sz w:val="28"/>
          <w:szCs w:val="28"/>
        </w:rPr>
        <w:t>сочла</w:t>
      </w:r>
      <w:r>
        <w:rPr>
          <w:rFonts w:ascii="Times New Roman" w:hAnsi="Times New Roman"/>
          <w:sz w:val="28"/>
          <w:szCs w:val="28"/>
        </w:rPr>
        <w:t xml:space="preserve"> необходимым обеспечить сохранение условий для конкуренции и в будущем и выдать участникам сделки предписание. Условия предписания разрабатывались на основании особенностей рынка с целью сохранить имеющуюся возможность переключения для пассажиров и водителей</w:t>
      </w:r>
      <w:r w:rsidR="000639F8">
        <w:rPr>
          <w:rFonts w:ascii="Times New Roman" w:hAnsi="Times New Roman"/>
          <w:sz w:val="28"/>
          <w:szCs w:val="28"/>
        </w:rPr>
        <w:t>,</w:t>
      </w:r>
      <w:r>
        <w:rPr>
          <w:rFonts w:ascii="Times New Roman" w:hAnsi="Times New Roman"/>
          <w:sz w:val="28"/>
          <w:szCs w:val="28"/>
        </w:rPr>
        <w:t xml:space="preserve"> поэтому компании получили требование о запрете введения какого-либо ограничения обеих групп потребителей в выборе и использовании услуг сторонних агрегаторов.</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Одной из особенностей большинства цифровых рынков является тот факт, что их функционирование определяется оборотом интеллектуальных прав. Если этот факт значим для конкретного рынка, вопрос об использовании и (или) отчуждении интеллектуальных прав должен стать объектом пристального внимания антимонопольного органа.</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рассмотрении сделки Яндекс.Такси – </w:t>
      </w:r>
      <w:r>
        <w:rPr>
          <w:rFonts w:ascii="Times New Roman" w:hAnsi="Times New Roman"/>
          <w:sz w:val="28"/>
          <w:szCs w:val="28"/>
          <w:lang w:val="en-US"/>
        </w:rPr>
        <w:t>Uber</w:t>
      </w:r>
      <w:r>
        <w:rPr>
          <w:rFonts w:ascii="Times New Roman" w:hAnsi="Times New Roman"/>
          <w:sz w:val="28"/>
          <w:szCs w:val="28"/>
        </w:rPr>
        <w:t xml:space="preserve"> ФАС России тщательно изучен вопрос об условиях использования приложений, значимых для функционирования рынка такси. В данном случае угроз для конкуренции не выявлено</w:t>
      </w:r>
      <w:r w:rsidR="00020610">
        <w:rPr>
          <w:rFonts w:ascii="Times New Roman" w:hAnsi="Times New Roman"/>
          <w:sz w:val="28"/>
          <w:szCs w:val="28"/>
        </w:rPr>
        <w:t>,</w:t>
      </w:r>
      <w:r>
        <w:rPr>
          <w:rFonts w:ascii="Times New Roman" w:hAnsi="Times New Roman"/>
          <w:sz w:val="28"/>
          <w:szCs w:val="28"/>
        </w:rPr>
        <w:t xml:space="preserve"> в том числе и потому, что приложений аналогичной функциональности на рынке множество, и вход на эти рынки не затруднен.</w:t>
      </w:r>
    </w:p>
    <w:p w:rsidR="0068434D" w:rsidRPr="00FD6D39" w:rsidRDefault="003611BB" w:rsidP="005A282F">
      <w:pPr>
        <w:pStyle w:val="3"/>
        <w:ind w:firstLine="0"/>
        <w:jc w:val="center"/>
      </w:pPr>
      <w:bookmarkStart w:id="14" w:name="_Toc526253884"/>
      <w:r>
        <w:t>2.</w:t>
      </w:r>
      <w:r w:rsidR="00BD638F">
        <w:t>3.3. </w:t>
      </w:r>
      <w:r w:rsidR="0068434D" w:rsidRPr="00FD6D39">
        <w:t>Новые подходы к проведению анализа рынка</w:t>
      </w:r>
      <w:bookmarkEnd w:id="14"/>
    </w:p>
    <w:p w:rsidR="00650C32" w:rsidRPr="00650C32" w:rsidRDefault="00650C32" w:rsidP="004D2C9E">
      <w:pPr>
        <w:pStyle w:val="4"/>
      </w:pPr>
      <w:r>
        <w:t>Республика Армения</w:t>
      </w:r>
    </w:p>
    <w:p w:rsidR="00650C32" w:rsidRPr="00650C32" w:rsidRDefault="00650C32" w:rsidP="004D2C9E">
      <w:pPr>
        <w:spacing w:after="0" w:line="240" w:lineRule="auto"/>
        <w:ind w:firstLine="709"/>
        <w:jc w:val="both"/>
        <w:rPr>
          <w:rFonts w:ascii="Times New Roman" w:hAnsi="Times New Roman"/>
          <w:sz w:val="28"/>
          <w:szCs w:val="28"/>
        </w:rPr>
      </w:pPr>
      <w:r w:rsidRPr="00650C32">
        <w:rPr>
          <w:rFonts w:ascii="Times New Roman" w:hAnsi="Times New Roman"/>
          <w:sz w:val="28"/>
          <w:szCs w:val="28"/>
        </w:rPr>
        <w:t>В Республике Армения стремительно развиваются услуги такси с использованием информационных технологий. Кроме компании Яндекс</w:t>
      </w:r>
      <w:r w:rsidR="00722327">
        <w:rPr>
          <w:rFonts w:ascii="Times New Roman" w:hAnsi="Times New Roman"/>
          <w:sz w:val="28"/>
          <w:szCs w:val="28"/>
        </w:rPr>
        <w:t>.Т</w:t>
      </w:r>
      <w:r w:rsidRPr="00650C32">
        <w:rPr>
          <w:rFonts w:ascii="Times New Roman" w:hAnsi="Times New Roman"/>
          <w:sz w:val="28"/>
          <w:szCs w:val="28"/>
        </w:rPr>
        <w:t>акси</w:t>
      </w:r>
      <w:r w:rsidR="00544E0E">
        <w:rPr>
          <w:rFonts w:ascii="Times New Roman" w:hAnsi="Times New Roman"/>
          <w:sz w:val="28"/>
          <w:szCs w:val="28"/>
        </w:rPr>
        <w:t>,</w:t>
      </w:r>
      <w:r w:rsidRPr="00650C32">
        <w:rPr>
          <w:rFonts w:ascii="Times New Roman" w:hAnsi="Times New Roman"/>
          <w:sz w:val="28"/>
          <w:szCs w:val="28"/>
        </w:rPr>
        <w:t xml:space="preserve"> услуги заказа такси с использованием информационных технологий в Республике Армения предоставляют еще 10 компаний.</w:t>
      </w:r>
      <w:r w:rsidR="004D2C9E">
        <w:rPr>
          <w:rFonts w:ascii="Times New Roman" w:hAnsi="Times New Roman"/>
          <w:sz w:val="28"/>
          <w:szCs w:val="28"/>
        </w:rPr>
        <w:t xml:space="preserve"> </w:t>
      </w:r>
    </w:p>
    <w:p w:rsidR="00650C32" w:rsidRPr="00650C32" w:rsidRDefault="00650C32" w:rsidP="004D2C9E">
      <w:pPr>
        <w:spacing w:after="0" w:line="240" w:lineRule="auto"/>
        <w:ind w:firstLine="709"/>
        <w:jc w:val="both"/>
        <w:rPr>
          <w:rFonts w:ascii="Times New Roman" w:hAnsi="Times New Roman"/>
          <w:sz w:val="28"/>
          <w:szCs w:val="28"/>
        </w:rPr>
      </w:pPr>
      <w:r w:rsidRPr="00650C32">
        <w:rPr>
          <w:rFonts w:ascii="Times New Roman" w:hAnsi="Times New Roman"/>
          <w:sz w:val="28"/>
          <w:szCs w:val="28"/>
        </w:rPr>
        <w:t xml:space="preserve">Исследования </w:t>
      </w:r>
      <w:r w:rsidR="00C60771">
        <w:rPr>
          <w:rFonts w:ascii="Times New Roman" w:hAnsi="Times New Roman"/>
          <w:sz w:val="28"/>
          <w:szCs w:val="28"/>
        </w:rPr>
        <w:t>Комиссии</w:t>
      </w:r>
      <w:r w:rsidRPr="00020610">
        <w:rPr>
          <w:rFonts w:ascii="Times New Roman" w:hAnsi="Times New Roman"/>
          <w:sz w:val="28"/>
          <w:szCs w:val="28"/>
        </w:rPr>
        <w:t xml:space="preserve"> </w:t>
      </w:r>
      <w:r w:rsidRPr="00650C32">
        <w:rPr>
          <w:rFonts w:ascii="Times New Roman" w:hAnsi="Times New Roman"/>
          <w:sz w:val="28"/>
          <w:szCs w:val="28"/>
        </w:rPr>
        <w:t>показали, что в Республике Армения компании предоставляют заказы водителям такси посредством электронных платформ за определенную комиссионную плату.</w:t>
      </w:r>
      <w:r w:rsidR="004D2C9E">
        <w:rPr>
          <w:rFonts w:ascii="Times New Roman" w:hAnsi="Times New Roman"/>
          <w:sz w:val="28"/>
          <w:szCs w:val="28"/>
        </w:rPr>
        <w:t xml:space="preserve"> </w:t>
      </w:r>
      <w:r w:rsidRPr="00650C32">
        <w:rPr>
          <w:rFonts w:ascii="Times New Roman" w:hAnsi="Times New Roman"/>
          <w:sz w:val="28"/>
          <w:szCs w:val="28"/>
        </w:rPr>
        <w:t>А компания Яндекс, которая вышла на данный рынок с июня 2016 года, от водителей, получающих заказ через ее электронную платформу, комиссионную плату не взимала. Кроме того, компания Яндекс выплачивала компенсацию на сумму 400 драм</w:t>
      </w:r>
      <w:r w:rsidR="00020610">
        <w:rPr>
          <w:rFonts w:ascii="Times New Roman" w:hAnsi="Times New Roman"/>
          <w:sz w:val="28"/>
          <w:szCs w:val="28"/>
        </w:rPr>
        <w:t>ов</w:t>
      </w:r>
      <w:r w:rsidRPr="00650C32">
        <w:rPr>
          <w:rFonts w:ascii="Times New Roman" w:hAnsi="Times New Roman"/>
          <w:sz w:val="28"/>
          <w:szCs w:val="28"/>
        </w:rPr>
        <w:t xml:space="preserve"> (около 0</w:t>
      </w:r>
      <w:r w:rsidR="00CF6C98">
        <w:rPr>
          <w:rFonts w:ascii="Times New Roman" w:hAnsi="Times New Roman"/>
          <w:sz w:val="28"/>
          <w:szCs w:val="28"/>
        </w:rPr>
        <w:t>,</w:t>
      </w:r>
      <w:r w:rsidRPr="00650C32">
        <w:rPr>
          <w:rFonts w:ascii="Times New Roman" w:hAnsi="Times New Roman"/>
          <w:sz w:val="28"/>
          <w:szCs w:val="28"/>
        </w:rPr>
        <w:t>83</w:t>
      </w:r>
      <w:r w:rsidR="00CF6C98">
        <w:rPr>
          <w:rFonts w:ascii="Times New Roman" w:hAnsi="Times New Roman"/>
          <w:sz w:val="28"/>
          <w:szCs w:val="28"/>
        </w:rPr>
        <w:t> </w:t>
      </w:r>
      <w:r w:rsidRPr="00650C32">
        <w:rPr>
          <w:rFonts w:ascii="Times New Roman" w:hAnsi="Times New Roman"/>
          <w:sz w:val="28"/>
          <w:szCs w:val="28"/>
        </w:rPr>
        <w:t>долл</w:t>
      </w:r>
      <w:r w:rsidR="00020610">
        <w:rPr>
          <w:rFonts w:ascii="Times New Roman" w:hAnsi="Times New Roman"/>
          <w:sz w:val="28"/>
          <w:szCs w:val="28"/>
        </w:rPr>
        <w:t>ара</w:t>
      </w:r>
      <w:r w:rsidRPr="00650C32">
        <w:rPr>
          <w:rFonts w:ascii="Times New Roman" w:hAnsi="Times New Roman"/>
          <w:sz w:val="28"/>
          <w:szCs w:val="28"/>
        </w:rPr>
        <w:t xml:space="preserve"> США) за каждый заказ под видом платы за маркетинговые</w:t>
      </w:r>
      <w:r w:rsidR="004D2C9E">
        <w:rPr>
          <w:rFonts w:ascii="Times New Roman" w:hAnsi="Times New Roman"/>
          <w:sz w:val="28"/>
          <w:szCs w:val="28"/>
        </w:rPr>
        <w:t xml:space="preserve"> </w:t>
      </w:r>
      <w:r w:rsidRPr="00650C32">
        <w:rPr>
          <w:rFonts w:ascii="Times New Roman" w:hAnsi="Times New Roman"/>
          <w:sz w:val="28"/>
          <w:szCs w:val="28"/>
        </w:rPr>
        <w:t>услуги. В результате водители, сотруднич</w:t>
      </w:r>
      <w:r>
        <w:rPr>
          <w:rFonts w:ascii="Times New Roman" w:hAnsi="Times New Roman"/>
          <w:sz w:val="28"/>
          <w:szCs w:val="28"/>
        </w:rPr>
        <w:t>а</w:t>
      </w:r>
      <w:r w:rsidRPr="00650C32">
        <w:rPr>
          <w:rFonts w:ascii="Times New Roman" w:hAnsi="Times New Roman"/>
          <w:sz w:val="28"/>
          <w:szCs w:val="28"/>
        </w:rPr>
        <w:t>ющие с компанией Яндекс, предлагали цену в несколько раз ниже рыночной цены, вытесняя с рынка други</w:t>
      </w:r>
      <w:r w:rsidR="00020610">
        <w:rPr>
          <w:rFonts w:ascii="Times New Roman" w:hAnsi="Times New Roman"/>
          <w:sz w:val="28"/>
          <w:szCs w:val="28"/>
        </w:rPr>
        <w:t>е</w:t>
      </w:r>
      <w:r w:rsidRPr="00650C32">
        <w:rPr>
          <w:rFonts w:ascii="Times New Roman" w:hAnsi="Times New Roman"/>
          <w:sz w:val="28"/>
          <w:szCs w:val="28"/>
        </w:rPr>
        <w:t xml:space="preserve"> компани</w:t>
      </w:r>
      <w:r w:rsidR="00020610">
        <w:rPr>
          <w:rFonts w:ascii="Times New Roman" w:hAnsi="Times New Roman"/>
          <w:sz w:val="28"/>
          <w:szCs w:val="28"/>
        </w:rPr>
        <w:t>и</w:t>
      </w:r>
      <w:r w:rsidRPr="00650C32">
        <w:rPr>
          <w:rFonts w:ascii="Times New Roman" w:hAnsi="Times New Roman"/>
          <w:sz w:val="28"/>
          <w:szCs w:val="28"/>
        </w:rPr>
        <w:t>, оказывающи</w:t>
      </w:r>
      <w:r w:rsidR="00020610">
        <w:rPr>
          <w:rFonts w:ascii="Times New Roman" w:hAnsi="Times New Roman"/>
          <w:sz w:val="28"/>
          <w:szCs w:val="28"/>
        </w:rPr>
        <w:t>е</w:t>
      </w:r>
      <w:r w:rsidRPr="00650C32">
        <w:rPr>
          <w:rFonts w:ascii="Times New Roman" w:hAnsi="Times New Roman"/>
          <w:sz w:val="28"/>
          <w:szCs w:val="28"/>
        </w:rPr>
        <w:t xml:space="preserve"> услуги заказа такси посредством электронных платформ и услуги лицензированных такси.</w:t>
      </w:r>
      <w:r w:rsidR="004D2C9E">
        <w:rPr>
          <w:rFonts w:ascii="Times New Roman" w:hAnsi="Times New Roman"/>
          <w:sz w:val="28"/>
          <w:szCs w:val="28"/>
        </w:rPr>
        <w:t xml:space="preserve"> </w:t>
      </w:r>
    </w:p>
    <w:p w:rsidR="00650C32" w:rsidRPr="00650C32" w:rsidRDefault="00650C32" w:rsidP="004D2C9E">
      <w:pPr>
        <w:spacing w:after="0" w:line="240" w:lineRule="auto"/>
        <w:ind w:firstLine="709"/>
        <w:jc w:val="both"/>
        <w:rPr>
          <w:rFonts w:ascii="Times New Roman" w:hAnsi="Times New Roman"/>
          <w:sz w:val="28"/>
          <w:szCs w:val="28"/>
        </w:rPr>
      </w:pPr>
      <w:r w:rsidRPr="00650C32">
        <w:rPr>
          <w:rFonts w:ascii="Times New Roman" w:hAnsi="Times New Roman"/>
          <w:sz w:val="28"/>
          <w:szCs w:val="28"/>
        </w:rPr>
        <w:t>Комиссия посчитала, что дополнительные выплаты под видом оказ</w:t>
      </w:r>
      <w:r w:rsidR="00520FAB">
        <w:rPr>
          <w:rFonts w:ascii="Times New Roman" w:hAnsi="Times New Roman"/>
          <w:sz w:val="28"/>
          <w:szCs w:val="28"/>
        </w:rPr>
        <w:t>ания маркетинговых услуг и невзи</w:t>
      </w:r>
      <w:r w:rsidRPr="00650C32">
        <w:rPr>
          <w:rFonts w:ascii="Times New Roman" w:hAnsi="Times New Roman"/>
          <w:sz w:val="28"/>
          <w:szCs w:val="28"/>
        </w:rPr>
        <w:t xml:space="preserve">мание суммы от водителей, которые получают заказы посредством электронных платформ </w:t>
      </w:r>
      <w:r w:rsidR="004D2C9E">
        <w:rPr>
          <w:rFonts w:ascii="Times New Roman" w:hAnsi="Times New Roman"/>
          <w:sz w:val="28"/>
          <w:szCs w:val="28"/>
        </w:rPr>
        <w:t>«</w:t>
      </w:r>
      <w:r w:rsidRPr="00650C32">
        <w:rPr>
          <w:rFonts w:ascii="Times New Roman" w:hAnsi="Times New Roman"/>
          <w:sz w:val="28"/>
          <w:szCs w:val="28"/>
        </w:rPr>
        <w:t>Яндекс</w:t>
      </w:r>
      <w:r w:rsidR="004D2C9E">
        <w:rPr>
          <w:rFonts w:ascii="Times New Roman" w:hAnsi="Times New Roman"/>
          <w:sz w:val="28"/>
          <w:szCs w:val="28"/>
        </w:rPr>
        <w:t>»</w:t>
      </w:r>
      <w:r w:rsidRPr="00650C32">
        <w:rPr>
          <w:rFonts w:ascii="Times New Roman" w:hAnsi="Times New Roman"/>
          <w:sz w:val="28"/>
          <w:szCs w:val="28"/>
        </w:rPr>
        <w:t>, могут искажать конкурентную среду, привести к ограничению конкуренции на соответствующем товарном рынке и вытеснению конкурентов с данного рынка.</w:t>
      </w:r>
    </w:p>
    <w:p w:rsidR="00650C32" w:rsidRPr="00650C32" w:rsidRDefault="00650C32" w:rsidP="004D2C9E">
      <w:pPr>
        <w:spacing w:after="0" w:line="240" w:lineRule="auto"/>
        <w:ind w:firstLine="709"/>
        <w:jc w:val="both"/>
        <w:rPr>
          <w:rFonts w:ascii="Times New Roman" w:hAnsi="Times New Roman"/>
          <w:sz w:val="28"/>
          <w:szCs w:val="28"/>
        </w:rPr>
      </w:pPr>
      <w:r w:rsidRPr="00650C32">
        <w:rPr>
          <w:rFonts w:ascii="Times New Roman" w:hAnsi="Times New Roman"/>
          <w:sz w:val="28"/>
          <w:szCs w:val="28"/>
        </w:rPr>
        <w:t>Компания Яндекс согласилась с вопросами, п</w:t>
      </w:r>
      <w:r w:rsidR="00020610">
        <w:rPr>
          <w:rFonts w:ascii="Times New Roman" w:hAnsi="Times New Roman"/>
          <w:sz w:val="28"/>
          <w:szCs w:val="28"/>
        </w:rPr>
        <w:t>однятыми Комиссией, в частности</w:t>
      </w:r>
      <w:r w:rsidRPr="00650C32">
        <w:rPr>
          <w:rFonts w:ascii="Times New Roman" w:hAnsi="Times New Roman"/>
          <w:sz w:val="28"/>
          <w:szCs w:val="28"/>
        </w:rPr>
        <w:t xml:space="preserve"> что их действия могут создать проблемы, и все проблемы решила в кратчайшие сроки.</w:t>
      </w:r>
    </w:p>
    <w:p w:rsidR="0068434D" w:rsidRPr="00BD638F" w:rsidRDefault="0068434D" w:rsidP="004D2C9E">
      <w:pPr>
        <w:pStyle w:val="4"/>
        <w:rPr>
          <w:rFonts w:eastAsia="Calibri"/>
        </w:rPr>
      </w:pPr>
      <w:r w:rsidRPr="00BD638F">
        <w:rPr>
          <w:rFonts w:eastAsia="Calibri"/>
        </w:rPr>
        <w:t>Республика Беларусь</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Появление новых реалий и сделок интегрированных продуктов также создают дополнительные барьеры для входа на рынок новых игроков, поскольку самостоятельные поставки продукции или услуг вне рамок интегрированных продуктов являются неэффективными.</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Многие товары нематериальны, что также требует от антимонопольных органов новых подходов в определении объема товарных рынков и долей хозяйствующих субъектов.</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 xml:space="preserve">При проведении анализа товарных рынков антимонопольный орган сталкивается в настоящее время с </w:t>
      </w:r>
      <w:r w:rsidR="00C346EE">
        <w:rPr>
          <w:rFonts w:ascii="Times New Roman" w:hAnsi="Times New Roman"/>
          <w:sz w:val="28"/>
          <w:szCs w:val="28"/>
        </w:rPr>
        <w:t>тем</w:t>
      </w:r>
      <w:r w:rsidRPr="00125122">
        <w:rPr>
          <w:rFonts w:ascii="Times New Roman" w:hAnsi="Times New Roman"/>
          <w:sz w:val="28"/>
          <w:szCs w:val="28"/>
        </w:rPr>
        <w:t xml:space="preserve">, что большинство </w:t>
      </w:r>
      <w:r w:rsidR="004D2C9E">
        <w:rPr>
          <w:rFonts w:ascii="Times New Roman" w:hAnsi="Times New Roman"/>
          <w:sz w:val="28"/>
          <w:szCs w:val="28"/>
        </w:rPr>
        <w:t>«</w:t>
      </w:r>
      <w:r w:rsidRPr="00125122">
        <w:rPr>
          <w:rFonts w:ascii="Times New Roman" w:hAnsi="Times New Roman"/>
          <w:sz w:val="28"/>
          <w:szCs w:val="28"/>
        </w:rPr>
        <w:t>новых</w:t>
      </w:r>
      <w:r w:rsidR="004D2C9E">
        <w:rPr>
          <w:rFonts w:ascii="Times New Roman" w:hAnsi="Times New Roman"/>
          <w:sz w:val="28"/>
          <w:szCs w:val="28"/>
        </w:rPr>
        <w:t>»</w:t>
      </w:r>
      <w:r w:rsidRPr="00125122">
        <w:rPr>
          <w:rFonts w:ascii="Times New Roman" w:hAnsi="Times New Roman"/>
          <w:sz w:val="28"/>
          <w:szCs w:val="28"/>
        </w:rPr>
        <w:t xml:space="preserve"> товаров отсутствуют в статистических сборниках, регистрации не подлежат, кроме как в таможенных органах, определить их количество </w:t>
      </w:r>
      <w:r w:rsidR="00A83722">
        <w:rPr>
          <w:rFonts w:ascii="Times New Roman" w:hAnsi="Times New Roman"/>
          <w:sz w:val="28"/>
          <w:szCs w:val="28"/>
        </w:rPr>
        <w:t>довольно</w:t>
      </w:r>
      <w:r w:rsidRPr="00125122">
        <w:rPr>
          <w:rFonts w:ascii="Times New Roman" w:hAnsi="Times New Roman"/>
          <w:sz w:val="28"/>
          <w:szCs w:val="28"/>
        </w:rPr>
        <w:t xml:space="preserve"> сложно и отсутствует возможность объективно осуществить оценку рынка.</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Согласно методическим рекомендациям о проведении анализа и оценки состояния конкуренции на товарных рынках Республики Беларусь, утвержденным приказом Министра антимонопольного регулирования и торговли Республики Беларусь</w:t>
      </w:r>
      <w:r w:rsidR="00A83722">
        <w:rPr>
          <w:rFonts w:ascii="Times New Roman" w:hAnsi="Times New Roman"/>
          <w:sz w:val="28"/>
          <w:szCs w:val="28"/>
        </w:rPr>
        <w:t xml:space="preserve"> </w:t>
      </w:r>
      <w:r w:rsidRPr="00125122">
        <w:rPr>
          <w:rFonts w:ascii="Times New Roman" w:hAnsi="Times New Roman"/>
          <w:sz w:val="28"/>
          <w:szCs w:val="28"/>
        </w:rPr>
        <w:t>от 13 февраля 2017 г</w:t>
      </w:r>
      <w:r w:rsidR="00520FAB">
        <w:rPr>
          <w:rFonts w:ascii="Times New Roman" w:hAnsi="Times New Roman"/>
          <w:sz w:val="28"/>
          <w:szCs w:val="28"/>
        </w:rPr>
        <w:t>ода</w:t>
      </w:r>
      <w:r w:rsidRPr="00125122">
        <w:rPr>
          <w:rFonts w:ascii="Times New Roman" w:hAnsi="Times New Roman"/>
          <w:sz w:val="28"/>
          <w:szCs w:val="28"/>
        </w:rPr>
        <w:t xml:space="preserve"> </w:t>
      </w:r>
      <w:r w:rsidR="00E720B2">
        <w:rPr>
          <w:rFonts w:ascii="Times New Roman" w:hAnsi="Times New Roman"/>
          <w:sz w:val="28"/>
          <w:szCs w:val="28"/>
        </w:rPr>
        <w:t>№ </w:t>
      </w:r>
      <w:r w:rsidRPr="00125122">
        <w:rPr>
          <w:rFonts w:ascii="Times New Roman" w:hAnsi="Times New Roman"/>
          <w:sz w:val="28"/>
          <w:szCs w:val="28"/>
        </w:rPr>
        <w:t>19, для расчета доли хозяйствующего субъекта на товарном рынке необходимо рассчитать емкость рынка, которая в свою очередь может быть рассчитана исходя из объемов реализации, потребления, поставок (отгрузок), выручки (доходов), перевозок, производства, производственных мощностей, запасов ресурсов, товара в соответствии с заключенными договорами.</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Как рассчитать емкость рынка, если стоимость товара нулевая, а покупатель платит, как правило, только за лицензию. В данном случае, когда стоимость товара равна нулю, и его ценность определена стоимостью лицензии, возникают противоречия при расчете емкости рынка и доли на товарном рынке, что требует внесения изменений и (или) дополнений в законодательство для исключения возможного оспаривания со стороны хозяйствующих субъектов.</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Еще с одной проблемой столкнулся антимонопольный орган при проведении анализа товарного рынка услуг диспетчеров такси, когда антимонопольному органу необходимо было применить такой подх</w:t>
      </w:r>
      <w:r w:rsidR="00A83722">
        <w:rPr>
          <w:rFonts w:ascii="Times New Roman" w:hAnsi="Times New Roman"/>
          <w:sz w:val="28"/>
          <w:szCs w:val="28"/>
        </w:rPr>
        <w:t>од, который позволил бы оценить</w:t>
      </w:r>
      <w:r w:rsidRPr="00125122">
        <w:rPr>
          <w:rFonts w:ascii="Times New Roman" w:hAnsi="Times New Roman"/>
          <w:sz w:val="28"/>
          <w:szCs w:val="28"/>
        </w:rPr>
        <w:t xml:space="preserve"> в том числе положение агрегатора такси Uber. </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Сам агрегатор позиционировал себя как информационную платформу для взаимодействия пассажира и перевозчика и не относил себя ни к диспетчеру, ни к перевозчику. Однако взаимодействие пассажира осуществлялось непосредственно через агрегатора</w:t>
      </w:r>
      <w:r w:rsidR="00A83722">
        <w:rPr>
          <w:rFonts w:ascii="Times New Roman" w:hAnsi="Times New Roman"/>
          <w:sz w:val="28"/>
          <w:szCs w:val="28"/>
        </w:rPr>
        <w:t>,</w:t>
      </w:r>
      <w:r w:rsidRPr="00125122">
        <w:rPr>
          <w:rFonts w:ascii="Times New Roman" w:hAnsi="Times New Roman"/>
          <w:sz w:val="28"/>
          <w:szCs w:val="28"/>
        </w:rPr>
        <w:t xml:space="preserve"> и оплачивал услуги пассажир в адрес агрегатора такси.</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 xml:space="preserve">Таким образом, антимонопольный орган для данного анализа использовал следующий подход: агрегатора такси Uber </w:t>
      </w:r>
      <w:r w:rsidR="00544E0E">
        <w:rPr>
          <w:rFonts w:ascii="Times New Roman" w:hAnsi="Times New Roman"/>
          <w:sz w:val="28"/>
          <w:szCs w:val="28"/>
        </w:rPr>
        <w:t>Министерство</w:t>
      </w:r>
      <w:r w:rsidR="00544E0E" w:rsidRPr="00544E0E">
        <w:rPr>
          <w:rFonts w:ascii="Times New Roman" w:hAnsi="Times New Roman"/>
          <w:sz w:val="28"/>
          <w:szCs w:val="28"/>
        </w:rPr>
        <w:t xml:space="preserve"> антимонопольного регулирования и торговли </w:t>
      </w:r>
      <w:r w:rsidRPr="00125122">
        <w:rPr>
          <w:rFonts w:ascii="Times New Roman" w:hAnsi="Times New Roman"/>
          <w:sz w:val="28"/>
          <w:szCs w:val="28"/>
        </w:rPr>
        <w:t>рассматривал</w:t>
      </w:r>
      <w:r w:rsidR="00544E0E">
        <w:rPr>
          <w:rFonts w:ascii="Times New Roman" w:hAnsi="Times New Roman"/>
          <w:sz w:val="28"/>
          <w:szCs w:val="28"/>
        </w:rPr>
        <w:t>о</w:t>
      </w:r>
      <w:r w:rsidRPr="00125122">
        <w:rPr>
          <w:rFonts w:ascii="Times New Roman" w:hAnsi="Times New Roman"/>
          <w:sz w:val="28"/>
          <w:szCs w:val="28"/>
        </w:rPr>
        <w:t xml:space="preserve"> как обычного диспетчера службы такси, который осуществлял организацию и управление технологическим процессом выполнения автомобильных перевозок пассажиров автомобилями-такси независимо от используемых средств (телефонный номер, сайт в Интернет</w:t>
      </w:r>
      <w:r w:rsidR="00A83722">
        <w:rPr>
          <w:rFonts w:ascii="Times New Roman" w:hAnsi="Times New Roman"/>
          <w:sz w:val="28"/>
          <w:szCs w:val="28"/>
        </w:rPr>
        <w:t>е</w:t>
      </w:r>
      <w:r w:rsidRPr="00125122">
        <w:rPr>
          <w:rFonts w:ascii="Times New Roman" w:hAnsi="Times New Roman"/>
          <w:sz w:val="28"/>
          <w:szCs w:val="28"/>
        </w:rPr>
        <w:t>, мобильные приложения и др.). Для потребителя (пассажира) в данном случае не имеет значения способ заказа автомобиля-такси, целью обращения пассажира к диспетчеру, на сайт, в мобильное приложение является необходимость получения услуги перевозки. И агрегатор, и деспетчер, и мобильные сервисы могу</w:t>
      </w:r>
      <w:r w:rsidR="00A83722">
        <w:rPr>
          <w:rFonts w:ascii="Times New Roman" w:hAnsi="Times New Roman"/>
          <w:sz w:val="28"/>
          <w:szCs w:val="28"/>
        </w:rPr>
        <w:t>т</w:t>
      </w:r>
      <w:r w:rsidRPr="00125122">
        <w:rPr>
          <w:rFonts w:ascii="Times New Roman" w:hAnsi="Times New Roman"/>
          <w:sz w:val="28"/>
          <w:szCs w:val="28"/>
        </w:rPr>
        <w:t xml:space="preserve"> обеспечить это для потребителя (пассажира).</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 xml:space="preserve">Необходимо отметить, что в период проведения анализа товарного рынка такие отношения получили описание на законодательном уровне. </w:t>
      </w:r>
      <w:r w:rsidR="00A83722">
        <w:rPr>
          <w:rFonts w:ascii="Times New Roman" w:hAnsi="Times New Roman"/>
          <w:sz w:val="28"/>
          <w:szCs w:val="28"/>
        </w:rPr>
        <w:t>Б</w:t>
      </w:r>
      <w:r w:rsidRPr="00125122">
        <w:rPr>
          <w:rFonts w:ascii="Times New Roman" w:hAnsi="Times New Roman"/>
          <w:sz w:val="28"/>
          <w:szCs w:val="28"/>
        </w:rPr>
        <w:t xml:space="preserve">ыл принят Закон Республики Беларусь </w:t>
      </w:r>
      <w:r w:rsidR="00C60771" w:rsidRPr="00C60771">
        <w:rPr>
          <w:rFonts w:ascii="Times New Roman" w:hAnsi="Times New Roman"/>
          <w:sz w:val="28"/>
          <w:szCs w:val="28"/>
        </w:rPr>
        <w:t xml:space="preserve">от 17 июля 2017 года </w:t>
      </w:r>
      <w:r w:rsidR="00E720B2">
        <w:rPr>
          <w:rFonts w:ascii="Times New Roman" w:hAnsi="Times New Roman"/>
          <w:sz w:val="28"/>
          <w:szCs w:val="28"/>
        </w:rPr>
        <w:t>№ </w:t>
      </w:r>
      <w:r w:rsidR="00A83722" w:rsidRPr="00A83722">
        <w:rPr>
          <w:rFonts w:ascii="Times New Roman" w:hAnsi="Times New Roman"/>
          <w:sz w:val="28"/>
          <w:szCs w:val="28"/>
        </w:rPr>
        <w:t>50-З</w:t>
      </w:r>
      <w:r w:rsidR="00A83722">
        <w:rPr>
          <w:rFonts w:ascii="Times New Roman" w:hAnsi="Times New Roman"/>
          <w:sz w:val="28"/>
          <w:szCs w:val="28"/>
        </w:rPr>
        <w:t xml:space="preserve"> </w:t>
      </w:r>
      <w:r w:rsidR="004D2C9E">
        <w:rPr>
          <w:rFonts w:ascii="Times New Roman" w:hAnsi="Times New Roman"/>
          <w:sz w:val="28"/>
          <w:szCs w:val="28"/>
        </w:rPr>
        <w:t>«</w:t>
      </w:r>
      <w:r w:rsidRPr="00125122">
        <w:rPr>
          <w:rFonts w:ascii="Times New Roman" w:hAnsi="Times New Roman"/>
          <w:sz w:val="28"/>
          <w:szCs w:val="28"/>
        </w:rPr>
        <w:t xml:space="preserve">О внесении изменений в Закон Республики Беларусь </w:t>
      </w:r>
      <w:r w:rsidR="004D2C9E">
        <w:rPr>
          <w:rFonts w:ascii="Times New Roman" w:hAnsi="Times New Roman"/>
          <w:sz w:val="28"/>
          <w:szCs w:val="28"/>
        </w:rPr>
        <w:t>«</w:t>
      </w:r>
      <w:r w:rsidRPr="00125122">
        <w:rPr>
          <w:rFonts w:ascii="Times New Roman" w:hAnsi="Times New Roman"/>
          <w:sz w:val="28"/>
          <w:szCs w:val="28"/>
        </w:rPr>
        <w:t>Об автомобильном транспорте и автомобильных перевозках</w:t>
      </w:r>
      <w:r w:rsidR="004D2C9E">
        <w:rPr>
          <w:rFonts w:ascii="Times New Roman" w:hAnsi="Times New Roman"/>
          <w:sz w:val="28"/>
          <w:szCs w:val="28"/>
        </w:rPr>
        <w:t>»</w:t>
      </w:r>
      <w:r w:rsidRPr="00125122">
        <w:rPr>
          <w:rFonts w:ascii="Times New Roman" w:hAnsi="Times New Roman"/>
          <w:sz w:val="28"/>
          <w:szCs w:val="28"/>
        </w:rPr>
        <w:t xml:space="preserve"> (вступил в силу с 23 января 2018 г</w:t>
      </w:r>
      <w:r w:rsidR="00CF6C98">
        <w:rPr>
          <w:rFonts w:ascii="Times New Roman" w:hAnsi="Times New Roman"/>
          <w:sz w:val="28"/>
          <w:szCs w:val="28"/>
        </w:rPr>
        <w:t>ода</w:t>
      </w:r>
      <w:r w:rsidRPr="00125122">
        <w:rPr>
          <w:rFonts w:ascii="Times New Roman" w:hAnsi="Times New Roman"/>
          <w:sz w:val="28"/>
          <w:szCs w:val="28"/>
        </w:rPr>
        <w:t>), в котором закреплены понятие диспетчер такси и электронная информационная система.</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 xml:space="preserve">Так, согласно абзацу </w:t>
      </w:r>
      <w:r w:rsidR="00EB43E5">
        <w:rPr>
          <w:rFonts w:ascii="Times New Roman" w:hAnsi="Times New Roman"/>
          <w:sz w:val="28"/>
          <w:szCs w:val="28"/>
        </w:rPr>
        <w:t>тридцать второму</w:t>
      </w:r>
      <w:r w:rsidRPr="00125122">
        <w:rPr>
          <w:rFonts w:ascii="Times New Roman" w:hAnsi="Times New Roman"/>
          <w:sz w:val="28"/>
          <w:szCs w:val="28"/>
        </w:rPr>
        <w:t xml:space="preserve"> статьи 1 Закона </w:t>
      </w:r>
      <w:r w:rsidR="00947605">
        <w:rPr>
          <w:rFonts w:ascii="Times New Roman" w:hAnsi="Times New Roman"/>
          <w:sz w:val="28"/>
          <w:szCs w:val="28"/>
        </w:rPr>
        <w:br/>
      </w:r>
      <w:r w:rsidR="00EB43E5" w:rsidRPr="00EB43E5">
        <w:rPr>
          <w:rFonts w:ascii="Times New Roman" w:hAnsi="Times New Roman"/>
          <w:sz w:val="28"/>
          <w:szCs w:val="28"/>
        </w:rPr>
        <w:t>«Об автомобильном транспорте и автомобильных перевозках»</w:t>
      </w:r>
      <w:r w:rsidR="00636F0D">
        <w:rPr>
          <w:rFonts w:ascii="Times New Roman" w:hAnsi="Times New Roman"/>
          <w:sz w:val="28"/>
          <w:szCs w:val="28"/>
        </w:rPr>
        <w:t xml:space="preserve"> </w:t>
      </w:r>
      <w:r w:rsidRPr="00125122">
        <w:rPr>
          <w:rFonts w:ascii="Times New Roman" w:hAnsi="Times New Roman"/>
          <w:sz w:val="28"/>
          <w:szCs w:val="28"/>
        </w:rPr>
        <w:t>электронной информационной системой для целей настоящего Закона является информационная система, зарегистрированная в установленном Советом Министров Республики Беларусь порядке в Государственном регистре информационных систем, посредством которой диспетчер такси или автомобильный перевозчик обеспечива</w:t>
      </w:r>
      <w:r w:rsidR="00EB43E5">
        <w:rPr>
          <w:rFonts w:ascii="Times New Roman" w:hAnsi="Times New Roman"/>
          <w:sz w:val="28"/>
          <w:szCs w:val="28"/>
        </w:rPr>
        <w:t>е</w:t>
      </w:r>
      <w:r w:rsidRPr="00125122">
        <w:rPr>
          <w:rFonts w:ascii="Times New Roman" w:hAnsi="Times New Roman"/>
          <w:sz w:val="28"/>
          <w:szCs w:val="28"/>
        </w:rPr>
        <w:t>т организацию и управление технологическим процессом выполнения автомобильных перевозок пассажиров автомобилями-такси с использованием средств электросвязи и Интернет</w:t>
      </w:r>
      <w:r w:rsidR="00EB43E5">
        <w:rPr>
          <w:rFonts w:ascii="Times New Roman" w:hAnsi="Times New Roman"/>
          <w:sz w:val="28"/>
          <w:szCs w:val="28"/>
        </w:rPr>
        <w:t>а</w:t>
      </w:r>
      <w:r w:rsidRPr="00125122">
        <w:rPr>
          <w:rFonts w:ascii="Times New Roman" w:hAnsi="Times New Roman"/>
          <w:sz w:val="28"/>
          <w:szCs w:val="28"/>
        </w:rPr>
        <w:t xml:space="preserve"> и посредством которой оплата пассажирами выполненных автомобильных перевозок пассажиров автомобилями-такси осуществляется в безналичном порядке в соответствии с законодательством. </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Введение таких изменений усилило аргументацию антимонопольного органа по рассмотрению агрегатора такси Uber в качестве организатора (диспетчера) перевозок автомобилями-такси и включению его услуг в анализ товарного рынка в качестве услуги, взаимозаменяемой с услугами обычного ранее действующего диспетчера.</w:t>
      </w:r>
    </w:p>
    <w:p w:rsidR="0068434D" w:rsidRPr="00125122"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 xml:space="preserve">В условиях инновационного развития цифровых рынков выработка методологических подходов к анализу рынков, на которых обращение товара </w:t>
      </w:r>
      <w:r w:rsidRPr="005A282F">
        <w:rPr>
          <w:rFonts w:ascii="Times New Roman" w:hAnsi="Times New Roman"/>
          <w:spacing w:val="-2"/>
          <w:sz w:val="28"/>
          <w:szCs w:val="28"/>
        </w:rPr>
        <w:t>не связано с обращением материальных носителей, остается актуальной задачей</w:t>
      </w:r>
      <w:r w:rsidRPr="00125122">
        <w:rPr>
          <w:rFonts w:ascii="Times New Roman" w:hAnsi="Times New Roman"/>
          <w:sz w:val="28"/>
          <w:szCs w:val="28"/>
        </w:rPr>
        <w:t>.</w:t>
      </w:r>
    </w:p>
    <w:p w:rsidR="0068434D" w:rsidRDefault="0068434D" w:rsidP="004D2C9E">
      <w:pPr>
        <w:spacing w:after="0" w:line="240" w:lineRule="auto"/>
        <w:ind w:firstLine="709"/>
        <w:jc w:val="both"/>
        <w:rPr>
          <w:rFonts w:ascii="Times New Roman" w:hAnsi="Times New Roman"/>
          <w:sz w:val="28"/>
          <w:szCs w:val="28"/>
        </w:rPr>
      </w:pPr>
      <w:r w:rsidRPr="00125122">
        <w:rPr>
          <w:rFonts w:ascii="Times New Roman" w:hAnsi="Times New Roman"/>
          <w:sz w:val="28"/>
          <w:szCs w:val="28"/>
        </w:rPr>
        <w:t xml:space="preserve">На традиционных рынках, которые качественно изменились после внедрения на них новых технологий, антимонопольному органу следует </w:t>
      </w:r>
      <w:r w:rsidRPr="005A282F">
        <w:rPr>
          <w:rFonts w:ascii="Times New Roman" w:hAnsi="Times New Roman"/>
          <w:spacing w:val="-2"/>
          <w:sz w:val="28"/>
          <w:szCs w:val="28"/>
        </w:rPr>
        <w:t xml:space="preserve">тщательно исследовать вопрос о взаимозаменяемости </w:t>
      </w:r>
      <w:r w:rsidR="004D2C9E" w:rsidRPr="005A282F">
        <w:rPr>
          <w:rFonts w:ascii="Times New Roman" w:hAnsi="Times New Roman"/>
          <w:spacing w:val="-2"/>
          <w:sz w:val="28"/>
          <w:szCs w:val="28"/>
        </w:rPr>
        <w:t>«</w:t>
      </w:r>
      <w:r w:rsidRPr="005A282F">
        <w:rPr>
          <w:rFonts w:ascii="Times New Roman" w:hAnsi="Times New Roman"/>
          <w:spacing w:val="-2"/>
          <w:sz w:val="28"/>
          <w:szCs w:val="28"/>
        </w:rPr>
        <w:t>старого</w:t>
      </w:r>
      <w:r w:rsidR="004D2C9E" w:rsidRPr="005A282F">
        <w:rPr>
          <w:rFonts w:ascii="Times New Roman" w:hAnsi="Times New Roman"/>
          <w:spacing w:val="-2"/>
          <w:sz w:val="28"/>
          <w:szCs w:val="28"/>
        </w:rPr>
        <w:t>»</w:t>
      </w:r>
      <w:r w:rsidRPr="005A282F">
        <w:rPr>
          <w:rFonts w:ascii="Times New Roman" w:hAnsi="Times New Roman"/>
          <w:spacing w:val="-2"/>
          <w:sz w:val="28"/>
          <w:szCs w:val="28"/>
        </w:rPr>
        <w:t>, традиционного способа получения товара</w:t>
      </w:r>
      <w:r w:rsidR="00F16CE6">
        <w:rPr>
          <w:rFonts w:ascii="Times New Roman" w:hAnsi="Times New Roman"/>
          <w:spacing w:val="-2"/>
          <w:sz w:val="28"/>
          <w:szCs w:val="28"/>
        </w:rPr>
        <w:t>,</w:t>
      </w:r>
      <w:r w:rsidRPr="005A282F">
        <w:rPr>
          <w:rFonts w:ascii="Times New Roman" w:hAnsi="Times New Roman"/>
          <w:spacing w:val="-2"/>
          <w:sz w:val="28"/>
          <w:szCs w:val="28"/>
        </w:rPr>
        <w:t xml:space="preserve"> или услуги и нового цифрового способа</w:t>
      </w:r>
      <w:r w:rsidRPr="00125122">
        <w:rPr>
          <w:rFonts w:ascii="Times New Roman" w:hAnsi="Times New Roman"/>
          <w:sz w:val="28"/>
          <w:szCs w:val="28"/>
        </w:rPr>
        <w:t>.</w:t>
      </w:r>
    </w:p>
    <w:p w:rsidR="0068434D" w:rsidRPr="00125122" w:rsidRDefault="0068434D" w:rsidP="004D2C9E">
      <w:pPr>
        <w:pStyle w:val="4"/>
      </w:pPr>
      <w:r w:rsidRPr="00125122">
        <w:t>Российс</w:t>
      </w:r>
      <w:r w:rsidRPr="00BD638F">
        <w:rPr>
          <w:rStyle w:val="40"/>
        </w:rPr>
        <w:t>к</w:t>
      </w:r>
      <w:r w:rsidRPr="00125122">
        <w:t>ая Федерация</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Появление новых реалий и сделок интегрированных продуктов, например, в агросекторе компании, продемонстрировали заинтересованность в объединении в </w:t>
      </w:r>
      <w:r w:rsidR="004D2C9E">
        <w:rPr>
          <w:rFonts w:ascii="Times New Roman" w:hAnsi="Times New Roman"/>
          <w:sz w:val="28"/>
          <w:szCs w:val="28"/>
        </w:rPr>
        <w:t>«</w:t>
      </w:r>
      <w:r>
        <w:rPr>
          <w:rFonts w:ascii="Times New Roman" w:hAnsi="Times New Roman"/>
          <w:sz w:val="28"/>
          <w:szCs w:val="28"/>
        </w:rPr>
        <w:t>одной корзине</w:t>
      </w:r>
      <w:r w:rsidR="004D2C9E">
        <w:rPr>
          <w:rFonts w:ascii="Times New Roman" w:hAnsi="Times New Roman"/>
          <w:sz w:val="28"/>
          <w:szCs w:val="28"/>
        </w:rPr>
        <w:t>»</w:t>
      </w:r>
      <w:r>
        <w:rPr>
          <w:rFonts w:ascii="Times New Roman" w:hAnsi="Times New Roman"/>
          <w:sz w:val="28"/>
          <w:szCs w:val="28"/>
        </w:rPr>
        <w:t xml:space="preserve"> таких продуктов, как высокопродуктивные биотехнологические семена и связанные с ними средства защиты растений или закрытые </w:t>
      </w:r>
      <w:r w:rsidR="00EB43E5">
        <w:rPr>
          <w:rFonts w:ascii="Times New Roman" w:hAnsi="Times New Roman"/>
          <w:sz w:val="28"/>
          <w:szCs w:val="28"/>
        </w:rPr>
        <w:t>ИТ</w:t>
      </w:r>
      <w:r>
        <w:rPr>
          <w:rFonts w:ascii="Times New Roman" w:hAnsi="Times New Roman"/>
          <w:sz w:val="28"/>
          <w:szCs w:val="28"/>
        </w:rPr>
        <w:t>-платформы точного земледелия, также создают дополнительные барьеры для входа на рынок новых игроков, поскольку самостоятельные поставки продукции или услуг вне рамок интегрированных продуктов являются неэффективными.</w:t>
      </w:r>
    </w:p>
    <w:p w:rsidR="0068434D" w:rsidRDefault="0068434D" w:rsidP="004D2C9E">
      <w:pPr>
        <w:spacing w:after="0" w:line="240" w:lineRule="auto"/>
        <w:ind w:firstLine="709"/>
        <w:jc w:val="both"/>
        <w:rPr>
          <w:rFonts w:ascii="Times New Roman" w:hAnsi="Times New Roman"/>
          <w:sz w:val="28"/>
          <w:szCs w:val="28"/>
        </w:rPr>
      </w:pPr>
      <w:r w:rsidRPr="003B2A48">
        <w:rPr>
          <w:rFonts w:ascii="Times New Roman" w:hAnsi="Times New Roman"/>
          <w:sz w:val="28"/>
          <w:szCs w:val="28"/>
        </w:rPr>
        <w:t>Многие национальные игроки, занимающиеся непосредственно выращиванием сельскохозяйственной продукци</w:t>
      </w:r>
      <w:r w:rsidR="00EB43E5">
        <w:rPr>
          <w:rFonts w:ascii="Times New Roman" w:hAnsi="Times New Roman"/>
          <w:sz w:val="28"/>
          <w:szCs w:val="28"/>
        </w:rPr>
        <w:t>и</w:t>
      </w:r>
      <w:r w:rsidRPr="003B2A48">
        <w:rPr>
          <w:rFonts w:ascii="Times New Roman" w:hAnsi="Times New Roman"/>
          <w:sz w:val="28"/>
          <w:szCs w:val="28"/>
        </w:rPr>
        <w:t xml:space="preserve">, ее последующим хранением и переработкой, представляют собой одно из последних звеньев глобальной продовольственной цепочки. Эта деятельность, хотя и требует значительных трудозатрат, с технологической точки зрения не является сложной и, как следствие, </w:t>
      </w:r>
      <w:r>
        <w:rPr>
          <w:rFonts w:ascii="Times New Roman" w:hAnsi="Times New Roman"/>
          <w:sz w:val="28"/>
          <w:szCs w:val="28"/>
        </w:rPr>
        <w:t xml:space="preserve">демонстрирует </w:t>
      </w:r>
      <w:r w:rsidRPr="003B2A48">
        <w:rPr>
          <w:rFonts w:ascii="Times New Roman" w:hAnsi="Times New Roman"/>
          <w:sz w:val="28"/>
          <w:szCs w:val="28"/>
        </w:rPr>
        <w:t>низкую маржинальность</w:t>
      </w:r>
      <w:r>
        <w:rPr>
          <w:rFonts w:ascii="Times New Roman" w:hAnsi="Times New Roman"/>
          <w:sz w:val="28"/>
          <w:szCs w:val="28"/>
        </w:rPr>
        <w:t xml:space="preserve"> и</w:t>
      </w:r>
      <w:r w:rsidRPr="003B2A48">
        <w:rPr>
          <w:rFonts w:ascii="Times New Roman" w:hAnsi="Times New Roman"/>
          <w:sz w:val="28"/>
          <w:szCs w:val="28"/>
        </w:rPr>
        <w:t xml:space="preserve"> по этой причине является очень чувствительной к различным формам государственной поддержки.</w:t>
      </w:r>
      <w:r>
        <w:rPr>
          <w:rFonts w:ascii="Times New Roman" w:hAnsi="Times New Roman"/>
          <w:sz w:val="28"/>
          <w:szCs w:val="28"/>
        </w:rPr>
        <w:t xml:space="preserve"> При этом контроль входящих ресурсов со стороны транснациональных компаний позволяет контролировать эффективность такой поддержки. </w:t>
      </w:r>
    </w:p>
    <w:p w:rsidR="00EB43E5" w:rsidRDefault="0068434D" w:rsidP="008D5EF0">
      <w:pPr>
        <w:spacing w:after="240" w:line="240" w:lineRule="auto"/>
        <w:ind w:firstLine="709"/>
        <w:jc w:val="both"/>
        <w:rPr>
          <w:rFonts w:ascii="Times New Roman" w:hAnsi="Times New Roman"/>
          <w:noProof/>
          <w:sz w:val="28"/>
          <w:szCs w:val="28"/>
          <w:lang w:eastAsia="ru-RU"/>
        </w:rPr>
      </w:pPr>
      <w:r w:rsidRPr="003B2A48">
        <w:rPr>
          <w:rFonts w:ascii="Times New Roman" w:hAnsi="Times New Roman"/>
          <w:sz w:val="28"/>
          <w:szCs w:val="28"/>
        </w:rPr>
        <w:t xml:space="preserve">В целях выявления уровня зависимости российского рынка от импортных поставок семян </w:t>
      </w:r>
      <w:r>
        <w:rPr>
          <w:rFonts w:ascii="Times New Roman" w:hAnsi="Times New Roman"/>
          <w:sz w:val="28"/>
          <w:szCs w:val="28"/>
        </w:rPr>
        <w:t>ФАС России</w:t>
      </w:r>
      <w:r w:rsidRPr="003B2A48">
        <w:rPr>
          <w:rFonts w:ascii="Times New Roman" w:hAnsi="Times New Roman"/>
          <w:sz w:val="28"/>
          <w:szCs w:val="28"/>
        </w:rPr>
        <w:t xml:space="preserve"> </w:t>
      </w:r>
      <w:r>
        <w:rPr>
          <w:rFonts w:ascii="Times New Roman" w:hAnsi="Times New Roman"/>
          <w:sz w:val="28"/>
          <w:szCs w:val="28"/>
        </w:rPr>
        <w:t xml:space="preserve">в 2016 году </w:t>
      </w:r>
      <w:r w:rsidRPr="003B2A48">
        <w:rPr>
          <w:rFonts w:ascii="Times New Roman" w:hAnsi="Times New Roman"/>
          <w:sz w:val="28"/>
          <w:szCs w:val="28"/>
        </w:rPr>
        <w:t>провел</w:t>
      </w:r>
      <w:r w:rsidR="00EB43E5">
        <w:rPr>
          <w:rFonts w:ascii="Times New Roman" w:hAnsi="Times New Roman"/>
          <w:sz w:val="28"/>
          <w:szCs w:val="28"/>
        </w:rPr>
        <w:t>а</w:t>
      </w:r>
      <w:r w:rsidRPr="003B2A48">
        <w:rPr>
          <w:rFonts w:ascii="Times New Roman" w:hAnsi="Times New Roman"/>
          <w:sz w:val="28"/>
          <w:szCs w:val="28"/>
        </w:rPr>
        <w:t xml:space="preserve"> анкетирование около </w:t>
      </w:r>
      <w:r w:rsidR="00CF6C98">
        <w:rPr>
          <w:rFonts w:ascii="Times New Roman" w:hAnsi="Times New Roman"/>
          <w:sz w:val="28"/>
          <w:szCs w:val="28"/>
        </w:rPr>
        <w:br/>
      </w:r>
      <w:r w:rsidRPr="003B2A48">
        <w:rPr>
          <w:rFonts w:ascii="Times New Roman" w:hAnsi="Times New Roman"/>
          <w:sz w:val="28"/>
          <w:szCs w:val="28"/>
        </w:rPr>
        <w:t>3</w:t>
      </w:r>
      <w:r w:rsidR="00CF6C98">
        <w:rPr>
          <w:rFonts w:ascii="Times New Roman" w:hAnsi="Times New Roman"/>
          <w:sz w:val="28"/>
          <w:szCs w:val="28"/>
        </w:rPr>
        <w:t> </w:t>
      </w:r>
      <w:r w:rsidRPr="003B2A48">
        <w:rPr>
          <w:rFonts w:ascii="Times New Roman" w:hAnsi="Times New Roman"/>
          <w:sz w:val="28"/>
          <w:szCs w:val="28"/>
        </w:rPr>
        <w:t>000 хозяйствующих субъектов, осуществляющих свою деятельность</w:t>
      </w:r>
      <w:r w:rsidR="00EB43E5">
        <w:rPr>
          <w:rFonts w:ascii="Times New Roman" w:hAnsi="Times New Roman"/>
          <w:sz w:val="28"/>
          <w:szCs w:val="28"/>
        </w:rPr>
        <w:t xml:space="preserve"> в области сельского хозяйства </w:t>
      </w:r>
      <w:r w:rsidRPr="003B2A48">
        <w:rPr>
          <w:rFonts w:ascii="Times New Roman" w:hAnsi="Times New Roman"/>
          <w:sz w:val="28"/>
          <w:szCs w:val="28"/>
        </w:rPr>
        <w:t xml:space="preserve">и являющихся получателями субсидий в рамках Государственной программы развития сельского хозяйства и регулирования рынков сельскохозяйственной продукции, сырья и продовольствия на </w:t>
      </w:r>
      <w:r w:rsidR="00CF6C98">
        <w:rPr>
          <w:rFonts w:ascii="Times New Roman" w:hAnsi="Times New Roman"/>
          <w:sz w:val="28"/>
          <w:szCs w:val="28"/>
        </w:rPr>
        <w:br/>
      </w:r>
      <w:r w:rsidRPr="003B2A48">
        <w:rPr>
          <w:rFonts w:ascii="Times New Roman" w:hAnsi="Times New Roman"/>
          <w:sz w:val="28"/>
          <w:szCs w:val="28"/>
        </w:rPr>
        <w:t>2013</w:t>
      </w:r>
      <w:r w:rsidR="00F9318B">
        <w:rPr>
          <w:rFonts w:ascii="Times New Roman" w:hAnsi="Times New Roman"/>
          <w:sz w:val="28"/>
          <w:szCs w:val="28"/>
        </w:rPr>
        <w:t>–</w:t>
      </w:r>
      <w:r w:rsidRPr="003B2A48">
        <w:rPr>
          <w:rFonts w:ascii="Times New Roman" w:hAnsi="Times New Roman"/>
          <w:sz w:val="28"/>
          <w:szCs w:val="28"/>
        </w:rPr>
        <w:t xml:space="preserve">2020 годы. </w:t>
      </w:r>
      <w:r w:rsidRPr="003B2A48">
        <w:rPr>
          <w:rFonts w:ascii="Times New Roman" w:hAnsi="Times New Roman"/>
          <w:noProof/>
          <w:sz w:val="28"/>
          <w:szCs w:val="28"/>
          <w:lang w:eastAsia="ru-RU"/>
        </w:rPr>
        <w:t xml:space="preserve">Результаты опроса представлены </w:t>
      </w:r>
      <w:r w:rsidR="00EB43E5">
        <w:rPr>
          <w:rFonts w:ascii="Times New Roman" w:hAnsi="Times New Roman"/>
          <w:noProof/>
          <w:sz w:val="28"/>
          <w:szCs w:val="28"/>
          <w:lang w:eastAsia="ru-RU"/>
        </w:rPr>
        <w:t>ниже</w:t>
      </w:r>
      <w:r w:rsidRPr="003B2A48">
        <w:rPr>
          <w:rFonts w:ascii="Times New Roman" w:hAnsi="Times New Roman"/>
          <w:noProof/>
          <w:sz w:val="28"/>
          <w:szCs w:val="28"/>
          <w:lang w:eastAsia="ru-RU"/>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5"/>
        <w:gridCol w:w="2551"/>
      </w:tblGrid>
      <w:tr w:rsidR="00EB43E5" w:rsidRPr="00EB43E5" w:rsidTr="005A282F">
        <w:trPr>
          <w:trHeight w:val="518"/>
        </w:trPr>
        <w:tc>
          <w:tcPr>
            <w:tcW w:w="4111" w:type="dxa"/>
            <w:tcBorders>
              <w:bottom w:val="double" w:sz="4" w:space="0" w:color="auto"/>
            </w:tcBorders>
            <w:shd w:val="clear" w:color="auto" w:fill="auto"/>
            <w:vAlign w:val="center"/>
          </w:tcPr>
          <w:p w:rsidR="00EB43E5" w:rsidRPr="005A282F" w:rsidRDefault="00EB43E5" w:rsidP="005A282F">
            <w:pPr>
              <w:spacing w:before="60" w:after="60" w:line="200" w:lineRule="exact"/>
              <w:ind w:left="-142" w:firstLine="142"/>
              <w:jc w:val="center"/>
              <w:rPr>
                <w:rFonts w:ascii="Times New Roman" w:hAnsi="Times New Roman"/>
                <w:noProof/>
                <w:sz w:val="20"/>
                <w:szCs w:val="20"/>
                <w:lang w:eastAsia="ru-RU"/>
              </w:rPr>
            </w:pPr>
            <w:r w:rsidRPr="005A282F">
              <w:rPr>
                <w:rFonts w:ascii="Times New Roman" w:hAnsi="Times New Roman"/>
                <w:noProof/>
                <w:sz w:val="20"/>
                <w:szCs w:val="20"/>
                <w:lang w:eastAsia="ru-RU"/>
              </w:rPr>
              <w:t>Наименование культуры</w:t>
            </w:r>
          </w:p>
        </w:tc>
        <w:tc>
          <w:tcPr>
            <w:tcW w:w="2835" w:type="dxa"/>
            <w:tcBorders>
              <w:bottom w:val="double" w:sz="4" w:space="0" w:color="auto"/>
            </w:tcBorders>
            <w:shd w:val="clear" w:color="auto" w:fill="auto"/>
            <w:vAlign w:val="center"/>
          </w:tcPr>
          <w:p w:rsidR="00EB43E5" w:rsidRPr="005A282F" w:rsidRDefault="00EB43E5" w:rsidP="005A282F">
            <w:pPr>
              <w:spacing w:before="60" w:after="60" w:line="200" w:lineRule="exact"/>
              <w:ind w:firstLine="5"/>
              <w:jc w:val="center"/>
              <w:rPr>
                <w:rFonts w:ascii="Times New Roman" w:hAnsi="Times New Roman"/>
                <w:noProof/>
                <w:sz w:val="20"/>
                <w:szCs w:val="20"/>
                <w:lang w:eastAsia="ru-RU"/>
              </w:rPr>
            </w:pPr>
            <w:r w:rsidRPr="005A282F">
              <w:rPr>
                <w:rFonts w:ascii="Times New Roman" w:hAnsi="Times New Roman"/>
                <w:noProof/>
                <w:sz w:val="20"/>
                <w:szCs w:val="20"/>
                <w:lang w:eastAsia="ru-RU"/>
              </w:rPr>
              <w:t>Доля отечественных семян, %</w:t>
            </w:r>
          </w:p>
        </w:tc>
        <w:tc>
          <w:tcPr>
            <w:tcW w:w="2551" w:type="dxa"/>
            <w:tcBorders>
              <w:bottom w:val="double" w:sz="4" w:space="0" w:color="auto"/>
            </w:tcBorders>
            <w:shd w:val="clear" w:color="auto" w:fill="auto"/>
            <w:vAlign w:val="center"/>
          </w:tcPr>
          <w:p w:rsidR="00EB43E5" w:rsidRPr="005A282F" w:rsidRDefault="00EB43E5" w:rsidP="005A282F">
            <w:pPr>
              <w:spacing w:before="60" w:after="60" w:line="200" w:lineRule="exact"/>
              <w:ind w:firstLine="5"/>
              <w:jc w:val="center"/>
              <w:rPr>
                <w:rFonts w:ascii="Times New Roman" w:hAnsi="Times New Roman"/>
                <w:noProof/>
                <w:sz w:val="20"/>
                <w:szCs w:val="20"/>
                <w:lang w:eastAsia="ru-RU"/>
              </w:rPr>
            </w:pPr>
            <w:r w:rsidRPr="005A282F">
              <w:rPr>
                <w:rFonts w:ascii="Times New Roman" w:hAnsi="Times New Roman"/>
                <w:noProof/>
                <w:sz w:val="20"/>
                <w:szCs w:val="20"/>
                <w:lang w:eastAsia="ru-RU"/>
              </w:rPr>
              <w:t>Доля импортных семян, %</w:t>
            </w:r>
          </w:p>
        </w:tc>
      </w:tr>
      <w:tr w:rsidR="00EB43E5" w:rsidRPr="005A282F" w:rsidTr="005A282F">
        <w:trPr>
          <w:trHeight w:val="327"/>
        </w:trPr>
        <w:tc>
          <w:tcPr>
            <w:tcW w:w="4111" w:type="dxa"/>
            <w:tcBorders>
              <w:top w:val="double" w:sz="4" w:space="0" w:color="auto"/>
            </w:tcBorders>
            <w:shd w:val="clear" w:color="auto" w:fill="auto"/>
          </w:tcPr>
          <w:p w:rsidR="00EB43E5" w:rsidRPr="005A282F" w:rsidRDefault="00EB43E5" w:rsidP="005A282F">
            <w:pPr>
              <w:spacing w:before="60" w:after="60" w:line="260" w:lineRule="exact"/>
              <w:ind w:firstLine="142"/>
              <w:jc w:val="both"/>
              <w:rPr>
                <w:rFonts w:ascii="Times New Roman" w:hAnsi="Times New Roman"/>
                <w:noProof/>
                <w:sz w:val="24"/>
                <w:szCs w:val="24"/>
                <w:lang w:eastAsia="ru-RU"/>
              </w:rPr>
            </w:pPr>
            <w:r w:rsidRPr="005A282F">
              <w:rPr>
                <w:rFonts w:ascii="Times New Roman" w:hAnsi="Times New Roman"/>
                <w:noProof/>
                <w:sz w:val="24"/>
                <w:szCs w:val="24"/>
                <w:lang w:eastAsia="ru-RU"/>
              </w:rPr>
              <w:t>Пшеница яровая</w:t>
            </w:r>
          </w:p>
        </w:tc>
        <w:tc>
          <w:tcPr>
            <w:tcW w:w="2835" w:type="dxa"/>
            <w:tcBorders>
              <w:top w:val="double" w:sz="4" w:space="0" w:color="auto"/>
            </w:tcBorders>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94,9</w:t>
            </w:r>
          </w:p>
        </w:tc>
        <w:tc>
          <w:tcPr>
            <w:tcW w:w="2551" w:type="dxa"/>
            <w:tcBorders>
              <w:top w:val="double" w:sz="4" w:space="0" w:color="auto"/>
            </w:tcBorders>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5,2</w:t>
            </w:r>
          </w:p>
        </w:tc>
      </w:tr>
      <w:tr w:rsidR="00EB43E5" w:rsidRPr="005A282F" w:rsidTr="005A282F">
        <w:trPr>
          <w:trHeight w:val="314"/>
        </w:trPr>
        <w:tc>
          <w:tcPr>
            <w:tcW w:w="4111" w:type="dxa"/>
            <w:shd w:val="clear" w:color="auto" w:fill="auto"/>
          </w:tcPr>
          <w:p w:rsidR="00EB43E5" w:rsidRPr="005A282F" w:rsidRDefault="00EB43E5" w:rsidP="005A282F">
            <w:pPr>
              <w:spacing w:before="60" w:after="60" w:line="260" w:lineRule="exact"/>
              <w:ind w:firstLine="142"/>
              <w:jc w:val="both"/>
              <w:rPr>
                <w:rFonts w:ascii="Times New Roman" w:hAnsi="Times New Roman"/>
                <w:noProof/>
                <w:sz w:val="24"/>
                <w:szCs w:val="24"/>
                <w:lang w:eastAsia="ru-RU"/>
              </w:rPr>
            </w:pPr>
            <w:r w:rsidRPr="005A282F">
              <w:rPr>
                <w:rFonts w:ascii="Times New Roman" w:hAnsi="Times New Roman"/>
                <w:noProof/>
                <w:sz w:val="24"/>
                <w:szCs w:val="24"/>
                <w:lang w:eastAsia="ru-RU"/>
              </w:rPr>
              <w:t xml:space="preserve">Пшеница озимая </w:t>
            </w:r>
          </w:p>
        </w:tc>
        <w:tc>
          <w:tcPr>
            <w:tcW w:w="2835"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96,9</w:t>
            </w:r>
          </w:p>
        </w:tc>
        <w:tc>
          <w:tcPr>
            <w:tcW w:w="2551"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3,1</w:t>
            </w:r>
          </w:p>
        </w:tc>
      </w:tr>
      <w:tr w:rsidR="00EB43E5" w:rsidRPr="005A282F" w:rsidTr="005A282F">
        <w:trPr>
          <w:trHeight w:val="314"/>
        </w:trPr>
        <w:tc>
          <w:tcPr>
            <w:tcW w:w="4111" w:type="dxa"/>
            <w:shd w:val="clear" w:color="auto" w:fill="auto"/>
          </w:tcPr>
          <w:p w:rsidR="00EB43E5" w:rsidRPr="005A282F" w:rsidRDefault="00EB43E5" w:rsidP="005A282F">
            <w:pPr>
              <w:spacing w:before="60" w:after="60" w:line="260" w:lineRule="exact"/>
              <w:ind w:firstLine="142"/>
              <w:jc w:val="both"/>
              <w:rPr>
                <w:rFonts w:ascii="Times New Roman" w:hAnsi="Times New Roman"/>
                <w:noProof/>
                <w:sz w:val="24"/>
                <w:szCs w:val="24"/>
                <w:lang w:eastAsia="ru-RU"/>
              </w:rPr>
            </w:pPr>
            <w:r w:rsidRPr="005A282F">
              <w:rPr>
                <w:rFonts w:ascii="Times New Roman" w:hAnsi="Times New Roman"/>
                <w:noProof/>
                <w:sz w:val="24"/>
                <w:szCs w:val="24"/>
                <w:lang w:eastAsia="ru-RU"/>
              </w:rPr>
              <w:t>Ячмень</w:t>
            </w:r>
          </w:p>
        </w:tc>
        <w:tc>
          <w:tcPr>
            <w:tcW w:w="2835"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91,3</w:t>
            </w:r>
          </w:p>
        </w:tc>
        <w:tc>
          <w:tcPr>
            <w:tcW w:w="2551"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8,7</w:t>
            </w:r>
          </w:p>
        </w:tc>
      </w:tr>
      <w:tr w:rsidR="00EB43E5" w:rsidRPr="005A282F" w:rsidTr="005A282F">
        <w:trPr>
          <w:trHeight w:val="314"/>
        </w:trPr>
        <w:tc>
          <w:tcPr>
            <w:tcW w:w="4111" w:type="dxa"/>
            <w:shd w:val="clear" w:color="auto" w:fill="auto"/>
          </w:tcPr>
          <w:p w:rsidR="00EB43E5" w:rsidRPr="005A282F" w:rsidRDefault="00EB43E5" w:rsidP="005A282F">
            <w:pPr>
              <w:spacing w:before="60" w:after="60" w:line="260" w:lineRule="exact"/>
              <w:ind w:firstLine="142"/>
              <w:jc w:val="both"/>
              <w:rPr>
                <w:rFonts w:ascii="Times New Roman" w:hAnsi="Times New Roman"/>
                <w:noProof/>
                <w:sz w:val="24"/>
                <w:szCs w:val="24"/>
                <w:lang w:eastAsia="ru-RU"/>
              </w:rPr>
            </w:pPr>
            <w:r w:rsidRPr="005A282F">
              <w:rPr>
                <w:rFonts w:ascii="Times New Roman" w:hAnsi="Times New Roman"/>
                <w:noProof/>
                <w:sz w:val="24"/>
                <w:szCs w:val="24"/>
                <w:lang w:eastAsia="ru-RU"/>
              </w:rPr>
              <w:t>Соя</w:t>
            </w:r>
          </w:p>
        </w:tc>
        <w:tc>
          <w:tcPr>
            <w:tcW w:w="2835"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44,2</w:t>
            </w:r>
          </w:p>
        </w:tc>
        <w:tc>
          <w:tcPr>
            <w:tcW w:w="2551"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55,8</w:t>
            </w:r>
          </w:p>
        </w:tc>
      </w:tr>
      <w:tr w:rsidR="00EB43E5" w:rsidRPr="005A282F" w:rsidTr="005A282F">
        <w:trPr>
          <w:trHeight w:val="314"/>
        </w:trPr>
        <w:tc>
          <w:tcPr>
            <w:tcW w:w="4111" w:type="dxa"/>
            <w:shd w:val="clear" w:color="auto" w:fill="auto"/>
          </w:tcPr>
          <w:p w:rsidR="00EB43E5" w:rsidRPr="005A282F" w:rsidRDefault="00EB43E5" w:rsidP="005A282F">
            <w:pPr>
              <w:spacing w:before="60" w:after="60" w:line="260" w:lineRule="exact"/>
              <w:ind w:firstLine="142"/>
              <w:jc w:val="both"/>
              <w:rPr>
                <w:rFonts w:ascii="Times New Roman" w:hAnsi="Times New Roman"/>
                <w:noProof/>
                <w:sz w:val="24"/>
                <w:szCs w:val="24"/>
                <w:lang w:eastAsia="ru-RU"/>
              </w:rPr>
            </w:pPr>
            <w:r w:rsidRPr="005A282F">
              <w:rPr>
                <w:rFonts w:ascii="Times New Roman" w:hAnsi="Times New Roman"/>
                <w:noProof/>
                <w:sz w:val="24"/>
                <w:szCs w:val="24"/>
                <w:lang w:eastAsia="ru-RU"/>
              </w:rPr>
              <w:t>Сахарная свекла</w:t>
            </w:r>
          </w:p>
        </w:tc>
        <w:tc>
          <w:tcPr>
            <w:tcW w:w="2835"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2,7</w:t>
            </w:r>
          </w:p>
        </w:tc>
        <w:tc>
          <w:tcPr>
            <w:tcW w:w="2551"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97,3</w:t>
            </w:r>
          </w:p>
        </w:tc>
      </w:tr>
      <w:tr w:rsidR="00EB43E5" w:rsidRPr="005A282F" w:rsidTr="005A282F">
        <w:trPr>
          <w:trHeight w:val="314"/>
        </w:trPr>
        <w:tc>
          <w:tcPr>
            <w:tcW w:w="4111" w:type="dxa"/>
            <w:shd w:val="clear" w:color="auto" w:fill="auto"/>
          </w:tcPr>
          <w:p w:rsidR="00EB43E5" w:rsidRPr="005A282F" w:rsidRDefault="00EB43E5" w:rsidP="005A282F">
            <w:pPr>
              <w:spacing w:before="60" w:after="60" w:line="260" w:lineRule="exact"/>
              <w:ind w:firstLine="142"/>
              <w:jc w:val="both"/>
              <w:rPr>
                <w:rFonts w:ascii="Times New Roman" w:hAnsi="Times New Roman"/>
                <w:noProof/>
                <w:sz w:val="24"/>
                <w:szCs w:val="24"/>
                <w:lang w:eastAsia="ru-RU"/>
              </w:rPr>
            </w:pPr>
            <w:r w:rsidRPr="005A282F">
              <w:rPr>
                <w:rFonts w:ascii="Times New Roman" w:hAnsi="Times New Roman"/>
                <w:noProof/>
                <w:sz w:val="24"/>
                <w:szCs w:val="24"/>
                <w:lang w:eastAsia="ru-RU"/>
              </w:rPr>
              <w:t>Кукуруза</w:t>
            </w:r>
          </w:p>
        </w:tc>
        <w:tc>
          <w:tcPr>
            <w:tcW w:w="2835"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34,9</w:t>
            </w:r>
          </w:p>
        </w:tc>
        <w:tc>
          <w:tcPr>
            <w:tcW w:w="2551"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65,1</w:t>
            </w:r>
          </w:p>
        </w:tc>
      </w:tr>
      <w:tr w:rsidR="00EB43E5" w:rsidRPr="005A282F" w:rsidTr="005A282F">
        <w:trPr>
          <w:trHeight w:val="314"/>
        </w:trPr>
        <w:tc>
          <w:tcPr>
            <w:tcW w:w="4111" w:type="dxa"/>
            <w:shd w:val="clear" w:color="auto" w:fill="auto"/>
          </w:tcPr>
          <w:p w:rsidR="00EB43E5" w:rsidRPr="005A282F" w:rsidRDefault="00EB43E5" w:rsidP="005A282F">
            <w:pPr>
              <w:spacing w:before="60" w:after="60" w:line="260" w:lineRule="exact"/>
              <w:ind w:firstLine="142"/>
              <w:jc w:val="both"/>
              <w:rPr>
                <w:rFonts w:ascii="Times New Roman" w:hAnsi="Times New Roman"/>
                <w:noProof/>
                <w:sz w:val="24"/>
                <w:szCs w:val="24"/>
                <w:lang w:eastAsia="ru-RU"/>
              </w:rPr>
            </w:pPr>
            <w:r w:rsidRPr="005A282F">
              <w:rPr>
                <w:rFonts w:ascii="Times New Roman" w:hAnsi="Times New Roman"/>
                <w:noProof/>
                <w:sz w:val="24"/>
                <w:szCs w:val="24"/>
                <w:lang w:eastAsia="ru-RU"/>
              </w:rPr>
              <w:t>Подсолнечник</w:t>
            </w:r>
          </w:p>
        </w:tc>
        <w:tc>
          <w:tcPr>
            <w:tcW w:w="2835"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3,6</w:t>
            </w:r>
          </w:p>
        </w:tc>
        <w:tc>
          <w:tcPr>
            <w:tcW w:w="2551"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96,4</w:t>
            </w:r>
          </w:p>
        </w:tc>
      </w:tr>
      <w:tr w:rsidR="00EB43E5" w:rsidRPr="005A282F" w:rsidTr="005A282F">
        <w:trPr>
          <w:trHeight w:val="314"/>
        </w:trPr>
        <w:tc>
          <w:tcPr>
            <w:tcW w:w="4111" w:type="dxa"/>
            <w:shd w:val="clear" w:color="auto" w:fill="auto"/>
          </w:tcPr>
          <w:p w:rsidR="00EB43E5" w:rsidRPr="005A282F" w:rsidRDefault="00EB43E5" w:rsidP="005A282F">
            <w:pPr>
              <w:spacing w:before="60" w:after="60" w:line="260" w:lineRule="exact"/>
              <w:ind w:firstLine="142"/>
              <w:jc w:val="both"/>
              <w:rPr>
                <w:rFonts w:ascii="Times New Roman" w:hAnsi="Times New Roman"/>
                <w:noProof/>
                <w:sz w:val="24"/>
                <w:szCs w:val="24"/>
                <w:lang w:eastAsia="ru-RU"/>
              </w:rPr>
            </w:pPr>
            <w:r w:rsidRPr="005A282F">
              <w:rPr>
                <w:rFonts w:ascii="Times New Roman" w:hAnsi="Times New Roman"/>
                <w:noProof/>
                <w:sz w:val="24"/>
                <w:szCs w:val="24"/>
                <w:lang w:eastAsia="ru-RU"/>
              </w:rPr>
              <w:t>Картофель</w:t>
            </w:r>
          </w:p>
        </w:tc>
        <w:tc>
          <w:tcPr>
            <w:tcW w:w="2835"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30,9</w:t>
            </w:r>
          </w:p>
        </w:tc>
        <w:tc>
          <w:tcPr>
            <w:tcW w:w="2551"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69,1</w:t>
            </w:r>
          </w:p>
        </w:tc>
      </w:tr>
      <w:tr w:rsidR="00EB43E5" w:rsidRPr="005A282F" w:rsidTr="005A282F">
        <w:trPr>
          <w:trHeight w:val="300"/>
        </w:trPr>
        <w:tc>
          <w:tcPr>
            <w:tcW w:w="4111" w:type="dxa"/>
            <w:shd w:val="clear" w:color="auto" w:fill="auto"/>
          </w:tcPr>
          <w:p w:rsidR="00EB43E5" w:rsidRPr="005A282F" w:rsidRDefault="00EB43E5" w:rsidP="005A282F">
            <w:pPr>
              <w:spacing w:before="60" w:after="60" w:line="260" w:lineRule="exact"/>
              <w:ind w:firstLine="142"/>
              <w:jc w:val="both"/>
              <w:rPr>
                <w:rFonts w:ascii="Times New Roman" w:hAnsi="Times New Roman"/>
                <w:noProof/>
                <w:sz w:val="24"/>
                <w:szCs w:val="24"/>
                <w:lang w:eastAsia="ru-RU"/>
              </w:rPr>
            </w:pPr>
            <w:r w:rsidRPr="005A282F">
              <w:rPr>
                <w:rFonts w:ascii="Times New Roman" w:hAnsi="Times New Roman"/>
                <w:noProof/>
                <w:sz w:val="24"/>
                <w:szCs w:val="24"/>
                <w:lang w:eastAsia="ru-RU"/>
              </w:rPr>
              <w:t>Овощные культуры</w:t>
            </w:r>
          </w:p>
        </w:tc>
        <w:tc>
          <w:tcPr>
            <w:tcW w:w="2835" w:type="dxa"/>
            <w:shd w:val="clear" w:color="auto" w:fill="auto"/>
          </w:tcPr>
          <w:p w:rsidR="00EB43E5" w:rsidRPr="005A282F" w:rsidRDefault="00BF747D"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10</w:t>
            </w:r>
          </w:p>
        </w:tc>
        <w:tc>
          <w:tcPr>
            <w:tcW w:w="2551" w:type="dxa"/>
            <w:shd w:val="clear" w:color="auto" w:fill="auto"/>
          </w:tcPr>
          <w:p w:rsidR="00EB43E5" w:rsidRPr="005A282F" w:rsidRDefault="00EB43E5" w:rsidP="005A282F">
            <w:pPr>
              <w:spacing w:before="60" w:after="60" w:line="260" w:lineRule="exact"/>
              <w:ind w:right="1031" w:firstLine="5"/>
              <w:jc w:val="right"/>
              <w:rPr>
                <w:rFonts w:ascii="Times New Roman" w:hAnsi="Times New Roman"/>
                <w:noProof/>
                <w:sz w:val="24"/>
                <w:szCs w:val="24"/>
                <w:lang w:eastAsia="ru-RU"/>
              </w:rPr>
            </w:pPr>
            <w:r w:rsidRPr="005A282F">
              <w:rPr>
                <w:rFonts w:ascii="Times New Roman" w:hAnsi="Times New Roman"/>
                <w:noProof/>
                <w:sz w:val="24"/>
                <w:szCs w:val="24"/>
                <w:lang w:eastAsia="ru-RU"/>
              </w:rPr>
              <w:t>9</w:t>
            </w:r>
            <w:r w:rsidR="00BF747D" w:rsidRPr="005A282F">
              <w:rPr>
                <w:rFonts w:ascii="Times New Roman" w:hAnsi="Times New Roman"/>
                <w:noProof/>
                <w:sz w:val="24"/>
                <w:szCs w:val="24"/>
                <w:lang w:eastAsia="ru-RU"/>
              </w:rPr>
              <w:t>0</w:t>
            </w:r>
          </w:p>
        </w:tc>
      </w:tr>
    </w:tbl>
    <w:p w:rsidR="0068434D" w:rsidRDefault="0068434D" w:rsidP="00CF6C98">
      <w:pPr>
        <w:spacing w:before="360" w:after="0" w:line="240" w:lineRule="auto"/>
        <w:ind w:firstLine="709"/>
        <w:jc w:val="both"/>
        <w:rPr>
          <w:rFonts w:ascii="Times New Roman" w:hAnsi="Times New Roman"/>
          <w:sz w:val="28"/>
          <w:szCs w:val="28"/>
        </w:rPr>
      </w:pPr>
      <w:r w:rsidRPr="003B2A48">
        <w:rPr>
          <w:rFonts w:ascii="Times New Roman" w:hAnsi="Times New Roman"/>
          <w:noProof/>
          <w:sz w:val="28"/>
          <w:szCs w:val="28"/>
          <w:lang w:eastAsia="ru-RU"/>
        </w:rPr>
        <w:t xml:space="preserve">Представленные в таблице данные по отдельным культурам отличаются от данных, представленных в Национальном докладе </w:t>
      </w:r>
      <w:r w:rsidR="004D2C9E">
        <w:rPr>
          <w:rFonts w:ascii="Times New Roman" w:hAnsi="Times New Roman"/>
          <w:sz w:val="28"/>
          <w:szCs w:val="28"/>
        </w:rPr>
        <w:t>«</w:t>
      </w:r>
      <w:r w:rsidRPr="003B2A48">
        <w:rPr>
          <w:rFonts w:ascii="Times New Roman" w:hAnsi="Times New Roman"/>
          <w:sz w:val="28"/>
          <w:szCs w:val="28"/>
        </w:rPr>
        <w:t>О ходе и результатах реализации в 2014 году Государственной программы развития сельского хозяйства и регулирования рынков сельскохозяйственной продукции, сырья и продовольствия на 2013</w:t>
      </w:r>
      <w:r w:rsidR="00F9318B">
        <w:rPr>
          <w:rFonts w:ascii="Times New Roman" w:hAnsi="Times New Roman"/>
          <w:sz w:val="28"/>
          <w:szCs w:val="28"/>
        </w:rPr>
        <w:t>–</w:t>
      </w:r>
      <w:r w:rsidRPr="003B2A48">
        <w:rPr>
          <w:rFonts w:ascii="Times New Roman" w:hAnsi="Times New Roman"/>
          <w:sz w:val="28"/>
          <w:szCs w:val="28"/>
        </w:rPr>
        <w:t>2020 годы</w:t>
      </w:r>
      <w:r w:rsidR="004D2C9E">
        <w:rPr>
          <w:rFonts w:ascii="Times New Roman" w:hAnsi="Times New Roman"/>
          <w:sz w:val="28"/>
          <w:szCs w:val="28"/>
        </w:rPr>
        <w:t>»</w:t>
      </w:r>
      <w:r w:rsidRPr="003B2A48">
        <w:rPr>
          <w:rFonts w:ascii="Times New Roman" w:hAnsi="Times New Roman"/>
          <w:sz w:val="28"/>
          <w:szCs w:val="28"/>
        </w:rPr>
        <w:t xml:space="preserve"> (по отдельным культурам существенно), основанным на данных Минсельхоза России и данным таможенной статистики. В частности, по оценке Минсельхоза России, уровень зависимости внутреннего рынка подсолнечника от импортных поставок составляет 56</w:t>
      </w:r>
      <w:r w:rsidR="004D2C9E">
        <w:rPr>
          <w:rFonts w:ascii="Times New Roman" w:hAnsi="Times New Roman"/>
          <w:sz w:val="28"/>
          <w:szCs w:val="28"/>
        </w:rPr>
        <w:t> %</w:t>
      </w:r>
      <w:r w:rsidRPr="003B2A48">
        <w:rPr>
          <w:rFonts w:ascii="Times New Roman" w:hAnsi="Times New Roman"/>
          <w:sz w:val="28"/>
          <w:szCs w:val="28"/>
        </w:rPr>
        <w:t xml:space="preserve"> (по данным Национальной ассоциации производителей семян кукурузы и подсолнечника – 62</w:t>
      </w:r>
      <w:r w:rsidR="004D2C9E">
        <w:rPr>
          <w:rFonts w:ascii="Times New Roman" w:hAnsi="Times New Roman"/>
          <w:sz w:val="28"/>
          <w:szCs w:val="28"/>
        </w:rPr>
        <w:t> %</w:t>
      </w:r>
      <w:r w:rsidRPr="003B2A48">
        <w:rPr>
          <w:rFonts w:ascii="Times New Roman" w:hAnsi="Times New Roman"/>
          <w:sz w:val="28"/>
          <w:szCs w:val="28"/>
        </w:rPr>
        <w:t xml:space="preserve">, по данным Фонда </w:t>
      </w:r>
      <w:r w:rsidR="004D2C9E">
        <w:rPr>
          <w:rFonts w:ascii="Times New Roman" w:hAnsi="Times New Roman"/>
          <w:sz w:val="28"/>
          <w:szCs w:val="28"/>
        </w:rPr>
        <w:t>«</w:t>
      </w:r>
      <w:r w:rsidRPr="003B2A48">
        <w:rPr>
          <w:rFonts w:ascii="Times New Roman" w:hAnsi="Times New Roman"/>
          <w:sz w:val="28"/>
          <w:szCs w:val="28"/>
        </w:rPr>
        <w:t>Сколково</w:t>
      </w:r>
      <w:r w:rsidR="004D2C9E">
        <w:rPr>
          <w:rFonts w:ascii="Times New Roman" w:hAnsi="Times New Roman"/>
          <w:sz w:val="28"/>
          <w:szCs w:val="28"/>
        </w:rPr>
        <w:t>»</w:t>
      </w:r>
      <w:r w:rsidRPr="003B2A48">
        <w:rPr>
          <w:rFonts w:ascii="Times New Roman" w:hAnsi="Times New Roman"/>
          <w:sz w:val="28"/>
          <w:szCs w:val="28"/>
        </w:rPr>
        <w:t>, основанных на опросе крупных производителей сельхозпродукции</w:t>
      </w:r>
      <w:r w:rsidR="00BF747D">
        <w:rPr>
          <w:rFonts w:ascii="Times New Roman" w:hAnsi="Times New Roman"/>
          <w:sz w:val="28"/>
          <w:szCs w:val="28"/>
        </w:rPr>
        <w:t>,</w:t>
      </w:r>
      <w:r w:rsidR="00F9318B">
        <w:rPr>
          <w:rFonts w:ascii="Times New Roman" w:hAnsi="Times New Roman"/>
          <w:sz w:val="28"/>
          <w:szCs w:val="28"/>
        </w:rPr>
        <w:t xml:space="preserve"> – </w:t>
      </w:r>
      <w:r w:rsidRPr="003B2A48">
        <w:rPr>
          <w:rFonts w:ascii="Times New Roman" w:hAnsi="Times New Roman"/>
          <w:sz w:val="28"/>
          <w:szCs w:val="28"/>
        </w:rPr>
        <w:t>80</w:t>
      </w:r>
      <w:r w:rsidR="004D2C9E">
        <w:rPr>
          <w:rFonts w:ascii="Times New Roman" w:hAnsi="Times New Roman"/>
          <w:sz w:val="28"/>
          <w:szCs w:val="28"/>
        </w:rPr>
        <w:t> %</w:t>
      </w:r>
      <w:r w:rsidRPr="003B2A48">
        <w:rPr>
          <w:rFonts w:ascii="Times New Roman" w:hAnsi="Times New Roman"/>
          <w:sz w:val="28"/>
          <w:szCs w:val="28"/>
        </w:rPr>
        <w:t>).</w:t>
      </w:r>
    </w:p>
    <w:p w:rsidR="0068434D" w:rsidRPr="003B2A48" w:rsidRDefault="0068434D" w:rsidP="004D2C9E">
      <w:pPr>
        <w:spacing w:after="0" w:line="240" w:lineRule="auto"/>
        <w:ind w:firstLine="709"/>
        <w:jc w:val="both"/>
        <w:rPr>
          <w:rFonts w:ascii="Times New Roman" w:hAnsi="Times New Roman"/>
          <w:noProof/>
          <w:sz w:val="28"/>
          <w:szCs w:val="28"/>
          <w:lang w:eastAsia="ru-RU"/>
        </w:rPr>
      </w:pPr>
      <w:r w:rsidRPr="003B2A48">
        <w:rPr>
          <w:rFonts w:ascii="Times New Roman" w:hAnsi="Times New Roman"/>
          <w:noProof/>
          <w:sz w:val="28"/>
          <w:szCs w:val="28"/>
          <w:lang w:eastAsia="ru-RU"/>
        </w:rPr>
        <w:t>Столь существенное различие в данных объясняется наличием незаконного оборота семян, в том числе ввоз</w:t>
      </w:r>
      <w:r w:rsidR="00C60771">
        <w:rPr>
          <w:rFonts w:ascii="Times New Roman" w:hAnsi="Times New Roman"/>
          <w:noProof/>
          <w:sz w:val="28"/>
          <w:szCs w:val="28"/>
          <w:lang w:eastAsia="ru-RU"/>
        </w:rPr>
        <w:t>ом</w:t>
      </w:r>
      <w:r w:rsidRPr="003B2A48">
        <w:rPr>
          <w:rFonts w:ascii="Times New Roman" w:hAnsi="Times New Roman"/>
          <w:noProof/>
          <w:sz w:val="28"/>
          <w:szCs w:val="28"/>
          <w:lang w:eastAsia="ru-RU"/>
        </w:rPr>
        <w:t xml:space="preserve"> семян под видом семян на зерно, занижением </w:t>
      </w:r>
      <w:r w:rsidR="00C60771">
        <w:rPr>
          <w:rFonts w:ascii="Times New Roman" w:hAnsi="Times New Roman"/>
          <w:noProof/>
          <w:sz w:val="28"/>
          <w:szCs w:val="28"/>
          <w:lang w:eastAsia="ru-RU"/>
        </w:rPr>
        <w:t xml:space="preserve">размеров </w:t>
      </w:r>
      <w:r w:rsidRPr="003B2A48">
        <w:rPr>
          <w:rFonts w:ascii="Times New Roman" w:hAnsi="Times New Roman"/>
          <w:noProof/>
          <w:sz w:val="28"/>
          <w:szCs w:val="28"/>
          <w:lang w:eastAsia="ru-RU"/>
        </w:rPr>
        <w:t>посевных площадей, а также по отдельным культурам</w:t>
      </w:r>
      <w:r w:rsidR="00054CD0">
        <w:rPr>
          <w:rFonts w:ascii="Times New Roman" w:hAnsi="Times New Roman"/>
          <w:noProof/>
          <w:sz w:val="28"/>
          <w:szCs w:val="28"/>
          <w:lang w:eastAsia="ru-RU"/>
        </w:rPr>
        <w:t xml:space="preserve"> –</w:t>
      </w:r>
      <w:r w:rsidR="00636F0D">
        <w:rPr>
          <w:rFonts w:ascii="Times New Roman" w:hAnsi="Times New Roman"/>
          <w:noProof/>
          <w:sz w:val="28"/>
          <w:szCs w:val="28"/>
          <w:lang w:eastAsia="ru-RU"/>
        </w:rPr>
        <w:t xml:space="preserve"> </w:t>
      </w:r>
      <w:r w:rsidRPr="003B2A48">
        <w:rPr>
          <w:rFonts w:ascii="Times New Roman" w:hAnsi="Times New Roman"/>
          <w:noProof/>
          <w:sz w:val="28"/>
          <w:szCs w:val="28"/>
          <w:lang w:eastAsia="ru-RU"/>
        </w:rPr>
        <w:t>многократным пересеиванием сорта во внутрихозяйственном семеноводстве.</w:t>
      </w:r>
    </w:p>
    <w:p w:rsidR="0068434D" w:rsidRDefault="0068434D" w:rsidP="004D2C9E">
      <w:pPr>
        <w:spacing w:after="0" w:line="24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В качестве основных барьеров, препятствующих развитию семеноводства на территории Российской Федерации, респонденты назвали:</w:t>
      </w:r>
    </w:p>
    <w:p w:rsidR="0068434D" w:rsidRDefault="0068434D" w:rsidP="004D2C9E">
      <w:pPr>
        <w:spacing w:after="0" w:line="24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значительные затраты при выведении нового сорта/гибрида (90</w:t>
      </w:r>
      <w:r w:rsidR="004D2C9E">
        <w:rPr>
          <w:rFonts w:ascii="Times New Roman" w:hAnsi="Times New Roman"/>
          <w:noProof/>
          <w:sz w:val="28"/>
          <w:szCs w:val="28"/>
          <w:lang w:eastAsia="ru-RU"/>
        </w:rPr>
        <w:t> %</w:t>
      </w:r>
      <w:r>
        <w:rPr>
          <w:rFonts w:ascii="Times New Roman" w:hAnsi="Times New Roman"/>
          <w:noProof/>
          <w:sz w:val="28"/>
          <w:szCs w:val="28"/>
          <w:lang w:eastAsia="ru-RU"/>
        </w:rPr>
        <w:t xml:space="preserve"> респондентов);</w:t>
      </w:r>
    </w:p>
    <w:p w:rsidR="0068434D" w:rsidRDefault="0068434D" w:rsidP="004D2C9E">
      <w:pPr>
        <w:spacing w:after="0" w:line="24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отсутствие необходимого материально-технического оснащения, технологий и кадров (76</w:t>
      </w:r>
      <w:r w:rsidR="004D2C9E">
        <w:rPr>
          <w:rFonts w:ascii="Times New Roman" w:hAnsi="Times New Roman"/>
          <w:noProof/>
          <w:sz w:val="28"/>
          <w:szCs w:val="28"/>
          <w:lang w:eastAsia="ru-RU"/>
        </w:rPr>
        <w:t> %</w:t>
      </w:r>
      <w:r>
        <w:rPr>
          <w:rFonts w:ascii="Times New Roman" w:hAnsi="Times New Roman"/>
          <w:noProof/>
          <w:sz w:val="28"/>
          <w:szCs w:val="28"/>
          <w:lang w:eastAsia="ru-RU"/>
        </w:rPr>
        <w:t>);</w:t>
      </w:r>
    </w:p>
    <w:p w:rsidR="0068434D" w:rsidRDefault="0068434D" w:rsidP="004D2C9E">
      <w:pPr>
        <w:spacing w:after="0" w:line="24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недостаточное субсидирование со стороны государства (67</w:t>
      </w:r>
      <w:r w:rsidR="004D2C9E">
        <w:rPr>
          <w:rFonts w:ascii="Times New Roman" w:hAnsi="Times New Roman"/>
          <w:noProof/>
          <w:sz w:val="28"/>
          <w:szCs w:val="28"/>
          <w:lang w:eastAsia="ru-RU"/>
        </w:rPr>
        <w:t> %</w:t>
      </w:r>
      <w:r>
        <w:rPr>
          <w:rFonts w:ascii="Times New Roman" w:hAnsi="Times New Roman"/>
          <w:noProof/>
          <w:sz w:val="28"/>
          <w:szCs w:val="28"/>
          <w:lang w:eastAsia="ru-RU"/>
        </w:rPr>
        <w:t>);</w:t>
      </w:r>
    </w:p>
    <w:p w:rsidR="0068434D" w:rsidRDefault="0068434D" w:rsidP="004D2C9E">
      <w:pPr>
        <w:spacing w:after="0" w:line="24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отсутствие необходимого разнообразия селекционного материала (62</w:t>
      </w:r>
      <w:r w:rsidR="004D2C9E">
        <w:rPr>
          <w:rFonts w:ascii="Times New Roman" w:hAnsi="Times New Roman"/>
          <w:noProof/>
          <w:sz w:val="28"/>
          <w:szCs w:val="28"/>
          <w:lang w:eastAsia="ru-RU"/>
        </w:rPr>
        <w:t> %</w:t>
      </w:r>
      <w:r>
        <w:rPr>
          <w:rFonts w:ascii="Times New Roman" w:hAnsi="Times New Roman"/>
          <w:noProof/>
          <w:sz w:val="28"/>
          <w:szCs w:val="28"/>
          <w:lang w:eastAsia="ru-RU"/>
        </w:rPr>
        <w:t>);</w:t>
      </w:r>
    </w:p>
    <w:p w:rsidR="0068434D" w:rsidRDefault="0068434D" w:rsidP="004D2C9E">
      <w:pPr>
        <w:spacing w:after="0" w:line="24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сложности с регистрацией селекционного достижения (52</w:t>
      </w:r>
      <w:r w:rsidR="004D2C9E">
        <w:rPr>
          <w:rFonts w:ascii="Times New Roman" w:hAnsi="Times New Roman"/>
          <w:noProof/>
          <w:sz w:val="28"/>
          <w:szCs w:val="28"/>
          <w:lang w:eastAsia="ru-RU"/>
        </w:rPr>
        <w:t> %</w:t>
      </w:r>
      <w:r>
        <w:rPr>
          <w:rFonts w:ascii="Times New Roman" w:hAnsi="Times New Roman"/>
          <w:noProof/>
          <w:sz w:val="28"/>
          <w:szCs w:val="28"/>
          <w:lang w:eastAsia="ru-RU"/>
        </w:rPr>
        <w:t>).</w:t>
      </w:r>
    </w:p>
    <w:p w:rsidR="0068434D" w:rsidRDefault="0068434D" w:rsidP="004D2C9E">
      <w:pPr>
        <w:spacing w:after="0" w:line="24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Кроме того, среди барьеров, которые смещают выбор покупателей в сторону импортных семян, являются их высокая производительность, устойчивость к определенным средствам защиты растений, доступность цены, возможность получения отсрочки платежа, а также получения консультационных услуг.</w:t>
      </w:r>
    </w:p>
    <w:p w:rsidR="0068434D" w:rsidRPr="00946854" w:rsidRDefault="0068434D" w:rsidP="004D2C9E">
      <w:pPr>
        <w:spacing w:after="0" w:line="240" w:lineRule="auto"/>
        <w:ind w:firstLine="709"/>
        <w:jc w:val="both"/>
        <w:rPr>
          <w:rFonts w:ascii="Times New Roman" w:hAnsi="Times New Roman"/>
          <w:sz w:val="28"/>
          <w:szCs w:val="28"/>
        </w:rPr>
      </w:pPr>
      <w:r w:rsidRPr="00946854">
        <w:rPr>
          <w:rFonts w:ascii="Times New Roman" w:hAnsi="Times New Roman"/>
          <w:sz w:val="28"/>
          <w:szCs w:val="28"/>
        </w:rPr>
        <w:t>В рамках рассмотрения ходатайства ФАС России провела анализ затрагиваемых настоящей сделкой рынков средств производства для АПК, включая интегрированный рынок агротехнологических решений, который сформировался в результате серии технологических и социально-экономических трансформаций последних лет, произошедших в секторе средств производства для сельского хозяйства.</w:t>
      </w:r>
    </w:p>
    <w:p w:rsidR="0068434D" w:rsidRPr="00946854" w:rsidRDefault="0068434D" w:rsidP="004D2C9E">
      <w:pPr>
        <w:spacing w:after="0" w:line="240" w:lineRule="auto"/>
        <w:ind w:firstLine="709"/>
        <w:jc w:val="both"/>
        <w:rPr>
          <w:rFonts w:ascii="Times New Roman" w:hAnsi="Times New Roman"/>
          <w:sz w:val="28"/>
          <w:szCs w:val="28"/>
        </w:rPr>
      </w:pPr>
      <w:r w:rsidRPr="00946854">
        <w:rPr>
          <w:rFonts w:ascii="Times New Roman" w:hAnsi="Times New Roman"/>
          <w:sz w:val="28"/>
          <w:szCs w:val="28"/>
        </w:rPr>
        <w:t xml:space="preserve">Данные рынки рассматривались ФАС России в контексте усиливающейся глобализации мировой экономики и интеграции сельскохозяйственного производства в глобальные цепочки создания стоимости, что потребовало оценки не только состояния </w:t>
      </w:r>
      <w:r w:rsidR="004D2C9E">
        <w:rPr>
          <w:rFonts w:ascii="Times New Roman" w:hAnsi="Times New Roman"/>
          <w:sz w:val="28"/>
          <w:szCs w:val="28"/>
        </w:rPr>
        <w:t>«</w:t>
      </w:r>
      <w:r w:rsidRPr="00946854">
        <w:rPr>
          <w:rFonts w:ascii="Times New Roman" w:hAnsi="Times New Roman"/>
          <w:sz w:val="28"/>
          <w:szCs w:val="28"/>
        </w:rPr>
        <w:t>горизонтальной</w:t>
      </w:r>
      <w:r w:rsidR="004D2C9E">
        <w:rPr>
          <w:rFonts w:ascii="Times New Roman" w:hAnsi="Times New Roman"/>
          <w:sz w:val="28"/>
          <w:szCs w:val="28"/>
        </w:rPr>
        <w:t>»</w:t>
      </w:r>
      <w:r w:rsidRPr="00946854">
        <w:rPr>
          <w:rFonts w:ascii="Times New Roman" w:hAnsi="Times New Roman"/>
          <w:sz w:val="28"/>
          <w:szCs w:val="28"/>
        </w:rPr>
        <w:t xml:space="preserve"> конкуренции между участниками соответствующих товарных рынков средств производства для АПК, но и </w:t>
      </w:r>
      <w:r w:rsidR="004D2C9E">
        <w:rPr>
          <w:rFonts w:ascii="Times New Roman" w:hAnsi="Times New Roman"/>
          <w:sz w:val="28"/>
          <w:szCs w:val="28"/>
        </w:rPr>
        <w:t>«</w:t>
      </w:r>
      <w:r w:rsidRPr="00946854">
        <w:rPr>
          <w:rFonts w:ascii="Times New Roman" w:hAnsi="Times New Roman"/>
          <w:sz w:val="28"/>
          <w:szCs w:val="28"/>
        </w:rPr>
        <w:t>вертикальных</w:t>
      </w:r>
      <w:r w:rsidR="004D2C9E">
        <w:rPr>
          <w:rFonts w:ascii="Times New Roman" w:hAnsi="Times New Roman"/>
          <w:sz w:val="28"/>
          <w:szCs w:val="28"/>
        </w:rPr>
        <w:t>»</w:t>
      </w:r>
      <w:r w:rsidRPr="00946854">
        <w:rPr>
          <w:rFonts w:ascii="Times New Roman" w:hAnsi="Times New Roman"/>
          <w:sz w:val="28"/>
          <w:szCs w:val="28"/>
        </w:rPr>
        <w:t xml:space="preserve"> взаимоотношений между участниками соответствующих сегментов глобальных стоимостных цепочек. </w:t>
      </w:r>
    </w:p>
    <w:p w:rsidR="0068434D" w:rsidRPr="00946854" w:rsidRDefault="0081302F" w:rsidP="004D2C9E">
      <w:pPr>
        <w:spacing w:after="0" w:line="240" w:lineRule="auto"/>
        <w:ind w:firstLine="709"/>
        <w:jc w:val="both"/>
        <w:rPr>
          <w:rFonts w:ascii="Times New Roman" w:hAnsi="Times New Roman"/>
          <w:sz w:val="28"/>
          <w:szCs w:val="28"/>
        </w:rPr>
      </w:pPr>
      <w:r>
        <w:rPr>
          <w:rFonts w:ascii="Times New Roman" w:hAnsi="Times New Roman"/>
          <w:sz w:val="28"/>
          <w:szCs w:val="28"/>
        </w:rPr>
        <w:t>При этом</w:t>
      </w:r>
      <w:r w:rsidR="0068434D" w:rsidRPr="00946854">
        <w:rPr>
          <w:rFonts w:ascii="Times New Roman" w:hAnsi="Times New Roman"/>
          <w:sz w:val="28"/>
          <w:szCs w:val="28"/>
        </w:rPr>
        <w:t xml:space="preserve"> в силу ускоряющихся инновационных процессов в сфере агротехнологий ФАС России рассматривала не только текущее положение участвующих в сделке компаний на соответствующих товарных рынках, но и наиболее вероятные изменения структуры этих рынков и, соответственно, состояния конкуренции на них в краткосрочной и среднесрочной перспектив</w:t>
      </w:r>
      <w:r>
        <w:rPr>
          <w:rFonts w:ascii="Times New Roman" w:hAnsi="Times New Roman"/>
          <w:sz w:val="28"/>
          <w:szCs w:val="28"/>
        </w:rPr>
        <w:t>ах</w:t>
      </w:r>
      <w:r w:rsidR="0068434D" w:rsidRPr="00946854">
        <w:rPr>
          <w:rFonts w:ascii="Times New Roman" w:hAnsi="Times New Roman"/>
          <w:sz w:val="28"/>
          <w:szCs w:val="28"/>
        </w:rPr>
        <w:t xml:space="preserve">. </w:t>
      </w:r>
    </w:p>
    <w:p w:rsidR="0068434D" w:rsidRPr="00946854" w:rsidRDefault="0068434D" w:rsidP="004D2C9E">
      <w:pPr>
        <w:spacing w:after="0" w:line="240" w:lineRule="auto"/>
        <w:ind w:firstLine="709"/>
        <w:jc w:val="both"/>
        <w:rPr>
          <w:rFonts w:ascii="Times New Roman" w:hAnsi="Times New Roman"/>
          <w:sz w:val="28"/>
          <w:szCs w:val="28"/>
        </w:rPr>
      </w:pPr>
      <w:r w:rsidRPr="00946854">
        <w:rPr>
          <w:rFonts w:ascii="Times New Roman" w:hAnsi="Times New Roman"/>
          <w:sz w:val="28"/>
          <w:szCs w:val="28"/>
        </w:rPr>
        <w:t xml:space="preserve">Такие изменения являются следствием происходящей системной трансформации агротехнологических рынков, делающей глобально конкурентоспособными только те компаний, которые имеют возможность предложить сельхозпроизводителям интегрированные (пакетные) решения, включающие как адаптированные под конкретные условия семена и средства защиты растений, так и цифровые управленческие решения, основанные на анализе большого массива данных (почвенных, природно-климатических и т.д.), собираемых и обрабатываемых в рамках цифровых агрономических платформ точного земледелия. </w:t>
      </w:r>
    </w:p>
    <w:p w:rsidR="0068434D" w:rsidRDefault="0081302F" w:rsidP="004D2C9E">
      <w:pPr>
        <w:spacing w:after="0" w:line="240" w:lineRule="auto"/>
        <w:ind w:firstLine="709"/>
        <w:jc w:val="both"/>
        <w:rPr>
          <w:rFonts w:ascii="Times New Roman" w:hAnsi="Times New Roman"/>
          <w:sz w:val="28"/>
          <w:szCs w:val="28"/>
        </w:rPr>
      </w:pPr>
      <w:r>
        <w:rPr>
          <w:rFonts w:ascii="Times New Roman" w:hAnsi="Times New Roman"/>
          <w:sz w:val="28"/>
          <w:szCs w:val="28"/>
        </w:rPr>
        <w:t>При этом</w:t>
      </w:r>
      <w:r w:rsidR="0068434D" w:rsidRPr="00946854">
        <w:rPr>
          <w:rFonts w:ascii="Times New Roman" w:hAnsi="Times New Roman"/>
          <w:sz w:val="28"/>
          <w:szCs w:val="28"/>
        </w:rPr>
        <w:t xml:space="preserve"> с учетом интеграции российского рынка сельхозпродукции и средс</w:t>
      </w:r>
      <w:r>
        <w:rPr>
          <w:rFonts w:ascii="Times New Roman" w:hAnsi="Times New Roman"/>
          <w:sz w:val="28"/>
          <w:szCs w:val="28"/>
        </w:rPr>
        <w:t>тв производства в мировой рынок</w:t>
      </w:r>
      <w:r w:rsidR="0068434D" w:rsidRPr="00946854">
        <w:rPr>
          <w:rFonts w:ascii="Times New Roman" w:hAnsi="Times New Roman"/>
          <w:sz w:val="28"/>
          <w:szCs w:val="28"/>
        </w:rPr>
        <w:t xml:space="preserve"> структурные изменения, происходящие на мировом рынке, предсказуемо и устойчиво распространяются на соответствующие рынки Российской Федерации.</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К</w:t>
      </w:r>
      <w:r w:rsidR="0081302F">
        <w:rPr>
          <w:rFonts w:ascii="Times New Roman" w:hAnsi="Times New Roman"/>
          <w:sz w:val="28"/>
          <w:szCs w:val="28"/>
        </w:rPr>
        <w:t>ак уже упоминалось в настоящем Д</w:t>
      </w:r>
      <w:r>
        <w:rPr>
          <w:rFonts w:ascii="Times New Roman" w:hAnsi="Times New Roman"/>
          <w:sz w:val="28"/>
          <w:szCs w:val="28"/>
        </w:rPr>
        <w:t>окладе, х</w:t>
      </w:r>
      <w:r w:rsidRPr="00A837B6">
        <w:rPr>
          <w:rFonts w:ascii="Times New Roman" w:hAnsi="Times New Roman"/>
          <w:sz w:val="28"/>
          <w:szCs w:val="28"/>
        </w:rPr>
        <w:t xml:space="preserve">арактерной чертой </w:t>
      </w:r>
      <w:r>
        <w:rPr>
          <w:rFonts w:ascii="Times New Roman" w:hAnsi="Times New Roman"/>
          <w:sz w:val="28"/>
          <w:szCs w:val="28"/>
        </w:rPr>
        <w:t xml:space="preserve">цифрового рынка </w:t>
      </w:r>
      <w:r w:rsidRPr="00A837B6">
        <w:rPr>
          <w:rFonts w:ascii="Times New Roman" w:hAnsi="Times New Roman"/>
          <w:sz w:val="28"/>
          <w:szCs w:val="28"/>
        </w:rPr>
        <w:t>является его глобальный характер, что связано как с нулевой стоимостью транспортировки, так и со спецификой продуктов – как правило, они являются универсальными или с небольшими временными и финансовыми затратами могут быть адаптированы с учетом особенностей национального потребления.</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Многие товары нематериальны, что вместе с глобальным характером их обращения требуют от антимонопольных органов новых подходов в определении объема товарных рынков и долей хозяйствующих субъектов.</w:t>
      </w:r>
    </w:p>
    <w:p w:rsidR="0068434D" w:rsidRDefault="0068434D" w:rsidP="004D2C9E">
      <w:pPr>
        <w:pStyle w:val="Textbody"/>
        <w:widowControl/>
        <w:spacing w:after="0"/>
        <w:ind w:firstLine="709"/>
        <w:jc w:val="both"/>
        <w:rPr>
          <w:bCs/>
          <w:sz w:val="28"/>
          <w:szCs w:val="28"/>
        </w:rPr>
      </w:pPr>
      <w:r w:rsidRPr="00A837B6">
        <w:rPr>
          <w:bCs/>
          <w:sz w:val="28"/>
          <w:szCs w:val="28"/>
        </w:rPr>
        <w:t xml:space="preserve">Методология анализа товарных рынков в Российской Федерации закреплена законодательно: Порядок проведения анализа состояния конкуренции на товарных рынках утвержден </w:t>
      </w:r>
      <w:r w:rsidR="0081302F">
        <w:rPr>
          <w:bCs/>
          <w:sz w:val="28"/>
          <w:szCs w:val="28"/>
        </w:rPr>
        <w:t>п</w:t>
      </w:r>
      <w:r w:rsidRPr="00A837B6">
        <w:rPr>
          <w:bCs/>
          <w:sz w:val="28"/>
          <w:szCs w:val="28"/>
        </w:rPr>
        <w:t>риказом ФАС России от 28</w:t>
      </w:r>
      <w:r w:rsidR="00CF6C98">
        <w:rPr>
          <w:bCs/>
          <w:sz w:val="28"/>
          <w:szCs w:val="28"/>
        </w:rPr>
        <w:t> </w:t>
      </w:r>
      <w:r w:rsidRPr="00A837B6">
        <w:rPr>
          <w:bCs/>
          <w:sz w:val="28"/>
          <w:szCs w:val="28"/>
        </w:rPr>
        <w:t xml:space="preserve">апреля 2010 года </w:t>
      </w:r>
      <w:r w:rsidR="00E720B2">
        <w:rPr>
          <w:bCs/>
          <w:sz w:val="28"/>
          <w:szCs w:val="28"/>
        </w:rPr>
        <w:t>№ </w:t>
      </w:r>
      <w:r w:rsidRPr="00A837B6">
        <w:rPr>
          <w:bCs/>
          <w:sz w:val="28"/>
          <w:szCs w:val="28"/>
        </w:rPr>
        <w:t xml:space="preserve">220. </w:t>
      </w:r>
    </w:p>
    <w:p w:rsidR="0068434D" w:rsidRPr="00A837B6" w:rsidRDefault="0002095C" w:rsidP="004D2C9E">
      <w:pPr>
        <w:pStyle w:val="Textbody"/>
        <w:widowControl/>
        <w:spacing w:after="0"/>
        <w:ind w:firstLine="709"/>
        <w:jc w:val="both"/>
        <w:rPr>
          <w:bCs/>
          <w:sz w:val="28"/>
          <w:szCs w:val="28"/>
        </w:rPr>
      </w:pPr>
      <w:r>
        <w:rPr>
          <w:bCs/>
          <w:sz w:val="28"/>
          <w:szCs w:val="28"/>
        </w:rPr>
        <w:t>Следует признать, что данный П</w:t>
      </w:r>
      <w:r w:rsidR="0068434D" w:rsidRPr="004F01D0">
        <w:rPr>
          <w:bCs/>
          <w:sz w:val="28"/>
          <w:szCs w:val="28"/>
        </w:rPr>
        <w:t>орядок требует совершенствования в связи появлением цифровых рынков, имеющих своих институциональные особенности.</w:t>
      </w:r>
    </w:p>
    <w:p w:rsidR="0068434D" w:rsidRPr="00A837B6" w:rsidRDefault="0068434D" w:rsidP="004D2C9E">
      <w:pPr>
        <w:pStyle w:val="Textbody"/>
        <w:widowControl/>
        <w:spacing w:after="0"/>
        <w:ind w:firstLine="709"/>
        <w:jc w:val="both"/>
        <w:rPr>
          <w:bCs/>
          <w:sz w:val="28"/>
          <w:szCs w:val="28"/>
        </w:rPr>
      </w:pPr>
      <w:r w:rsidRPr="00A837B6">
        <w:rPr>
          <w:bCs/>
          <w:sz w:val="28"/>
          <w:szCs w:val="28"/>
        </w:rPr>
        <w:t xml:space="preserve">Указанный Порядок </w:t>
      </w:r>
      <w:r>
        <w:rPr>
          <w:bCs/>
          <w:sz w:val="28"/>
          <w:szCs w:val="28"/>
        </w:rPr>
        <w:t xml:space="preserve">в соответствии с </w:t>
      </w:r>
      <w:r w:rsidR="00C60771">
        <w:rPr>
          <w:bCs/>
          <w:sz w:val="28"/>
          <w:szCs w:val="28"/>
        </w:rPr>
        <w:t xml:space="preserve">Федеральным </w:t>
      </w:r>
      <w:r w:rsidR="0081302F">
        <w:rPr>
          <w:bCs/>
          <w:sz w:val="28"/>
          <w:szCs w:val="28"/>
        </w:rPr>
        <w:t>з</w:t>
      </w:r>
      <w:r>
        <w:rPr>
          <w:bCs/>
          <w:sz w:val="28"/>
          <w:szCs w:val="28"/>
        </w:rPr>
        <w:t xml:space="preserve">аконом </w:t>
      </w:r>
      <w:r w:rsidR="0081302F">
        <w:rPr>
          <w:bCs/>
          <w:sz w:val="28"/>
          <w:szCs w:val="28"/>
        </w:rPr>
        <w:t>«О</w:t>
      </w:r>
      <w:r>
        <w:rPr>
          <w:bCs/>
          <w:sz w:val="28"/>
          <w:szCs w:val="28"/>
        </w:rPr>
        <w:t xml:space="preserve"> защите конкуренции</w:t>
      </w:r>
      <w:r w:rsidR="0081302F">
        <w:rPr>
          <w:bCs/>
          <w:sz w:val="28"/>
          <w:szCs w:val="28"/>
        </w:rPr>
        <w:t>»</w:t>
      </w:r>
      <w:r>
        <w:rPr>
          <w:bCs/>
          <w:sz w:val="28"/>
          <w:szCs w:val="28"/>
        </w:rPr>
        <w:t xml:space="preserve"> </w:t>
      </w:r>
      <w:r w:rsidRPr="00A837B6">
        <w:rPr>
          <w:bCs/>
          <w:sz w:val="28"/>
          <w:szCs w:val="28"/>
        </w:rPr>
        <w:t>предусматривает количественные методы для определения доминирующего положения хозяйствующего субъекта на товарном рынке. Антимонопольный орган осуществляет расчет долей хозяйствующих субъектов на соответствующем товарном рынке, определяют уровень цен, уровень концентрации товарного рынка.</w:t>
      </w:r>
    </w:p>
    <w:p w:rsidR="0068434D" w:rsidRDefault="0068434D" w:rsidP="004D2C9E">
      <w:pPr>
        <w:pStyle w:val="Textbody"/>
        <w:widowControl/>
        <w:spacing w:after="0"/>
        <w:ind w:firstLine="709"/>
        <w:jc w:val="both"/>
        <w:rPr>
          <w:bCs/>
          <w:sz w:val="28"/>
          <w:szCs w:val="28"/>
        </w:rPr>
      </w:pPr>
      <w:r w:rsidRPr="00A837B6">
        <w:rPr>
          <w:bCs/>
          <w:sz w:val="28"/>
          <w:szCs w:val="28"/>
        </w:rPr>
        <w:t xml:space="preserve">Если товар на цифровом рынке приобретает потребительскую ценность исключительно в связи с аппаратными устройствами, то </w:t>
      </w:r>
      <w:r w:rsidR="0081302F" w:rsidRPr="0081302F">
        <w:rPr>
          <w:bCs/>
          <w:sz w:val="28"/>
          <w:szCs w:val="28"/>
        </w:rPr>
        <w:t xml:space="preserve">возможно </w:t>
      </w:r>
      <w:r w:rsidRPr="00A837B6">
        <w:rPr>
          <w:bCs/>
          <w:sz w:val="28"/>
          <w:szCs w:val="28"/>
        </w:rPr>
        <w:t xml:space="preserve">применение количественных методов анализа. При этом на первый план выходит оценка </w:t>
      </w:r>
      <w:r w:rsidR="004D2C9E">
        <w:rPr>
          <w:bCs/>
          <w:sz w:val="28"/>
          <w:szCs w:val="28"/>
        </w:rPr>
        <w:t>«</w:t>
      </w:r>
      <w:r w:rsidRPr="00A837B6">
        <w:rPr>
          <w:bCs/>
          <w:sz w:val="28"/>
          <w:szCs w:val="28"/>
        </w:rPr>
        <w:t>многосторонности</w:t>
      </w:r>
      <w:r w:rsidR="004D2C9E">
        <w:rPr>
          <w:bCs/>
          <w:sz w:val="28"/>
          <w:szCs w:val="28"/>
        </w:rPr>
        <w:t>»</w:t>
      </w:r>
      <w:r w:rsidRPr="00A837B6">
        <w:rPr>
          <w:bCs/>
          <w:sz w:val="28"/>
          <w:szCs w:val="28"/>
        </w:rPr>
        <w:t xml:space="preserve"> цифровых рынков – взвешенная и тщательная оценка всех аспе</w:t>
      </w:r>
      <w:r w:rsidR="005C6805">
        <w:rPr>
          <w:bCs/>
          <w:sz w:val="28"/>
          <w:szCs w:val="28"/>
        </w:rPr>
        <w:t>ктов рынка, которые могут обусло</w:t>
      </w:r>
      <w:r w:rsidRPr="00A837B6">
        <w:rPr>
          <w:bCs/>
          <w:sz w:val="28"/>
          <w:szCs w:val="28"/>
        </w:rPr>
        <w:t>вливать и определение продуктовых границ товарного рынка, и определение долей на товарном рынке, и поведение продавцов и покупателей.</w:t>
      </w:r>
    </w:p>
    <w:p w:rsidR="0068434D" w:rsidRPr="00A837B6" w:rsidRDefault="0068434D" w:rsidP="004D2C9E">
      <w:pPr>
        <w:pStyle w:val="Textbody"/>
        <w:widowControl/>
        <w:spacing w:after="0"/>
        <w:ind w:firstLine="709"/>
        <w:jc w:val="both"/>
        <w:rPr>
          <w:bCs/>
          <w:sz w:val="28"/>
          <w:szCs w:val="28"/>
        </w:rPr>
      </w:pPr>
      <w:r w:rsidRPr="00A837B6">
        <w:rPr>
          <w:bCs/>
          <w:sz w:val="28"/>
          <w:szCs w:val="28"/>
        </w:rPr>
        <w:t>Несмотря на определенный круг участников рынка, многосторонность цифрового рынка диктует необходимость анализировать отношение конечных пользователей к товару, так как на этих рынках поведение и продавцов, и покупателей в существенной степени определяется предпочтениями и потребительским поведением конечных пользователей.</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в ходе анализа рынка предустановленных магазинов приложений для мобильных устройств, локализованных для Российской Федерации (проведен в ходе рассмотрения дела в отношении </w:t>
      </w:r>
      <w:r>
        <w:rPr>
          <w:rFonts w:ascii="Times New Roman" w:hAnsi="Times New Roman"/>
          <w:sz w:val="28"/>
          <w:szCs w:val="28"/>
          <w:lang w:val="en-US"/>
        </w:rPr>
        <w:t>Google</w:t>
      </w:r>
      <w:r>
        <w:rPr>
          <w:rFonts w:ascii="Times New Roman" w:hAnsi="Times New Roman"/>
          <w:sz w:val="28"/>
          <w:szCs w:val="28"/>
        </w:rPr>
        <w:t xml:space="preserve">), доли поставщиков программного обеспечения определены через объемы реализованных смартфонов и ноутбуков, на которых предустановлено это </w:t>
      </w:r>
      <w:r w:rsidR="005C6805">
        <w:rPr>
          <w:rFonts w:ascii="Times New Roman" w:hAnsi="Times New Roman"/>
          <w:sz w:val="28"/>
          <w:szCs w:val="28"/>
        </w:rPr>
        <w:t>программное обеспечение</w:t>
      </w:r>
      <w:r>
        <w:rPr>
          <w:rFonts w:ascii="Times New Roman" w:hAnsi="Times New Roman"/>
          <w:sz w:val="28"/>
          <w:szCs w:val="28"/>
        </w:rPr>
        <w:t>.</w:t>
      </w:r>
    </w:p>
    <w:p w:rsidR="0068434D" w:rsidRPr="00BF526E" w:rsidRDefault="0068434D" w:rsidP="004D2C9E">
      <w:pPr>
        <w:pStyle w:val="Textbody"/>
        <w:widowControl/>
        <w:spacing w:after="0"/>
        <w:ind w:firstLine="709"/>
        <w:jc w:val="both"/>
        <w:rPr>
          <w:bCs/>
          <w:sz w:val="28"/>
          <w:szCs w:val="28"/>
        </w:rPr>
      </w:pPr>
      <w:r>
        <w:rPr>
          <w:rFonts w:cs="Times New Roman"/>
          <w:sz w:val="28"/>
          <w:szCs w:val="28"/>
        </w:rPr>
        <w:t>Во-первых, была выявлена самостоятельная потребительская ценность магазинов приложений (</w:t>
      </w:r>
      <w:r w:rsidRPr="004F7860">
        <w:rPr>
          <w:rFonts w:cs="Times New Roman"/>
          <w:sz w:val="28"/>
          <w:szCs w:val="28"/>
        </w:rPr>
        <w:t xml:space="preserve">подавляющее большинство пользователей </w:t>
      </w:r>
      <w:r>
        <w:rPr>
          <w:rFonts w:cs="Times New Roman"/>
          <w:sz w:val="28"/>
          <w:szCs w:val="28"/>
        </w:rPr>
        <w:t>м</w:t>
      </w:r>
      <w:r w:rsidRPr="004F7860">
        <w:rPr>
          <w:rFonts w:cs="Times New Roman"/>
          <w:sz w:val="28"/>
          <w:szCs w:val="28"/>
        </w:rPr>
        <w:t>обильных устройств рассматривают наличие на устройстве магазина приложений обязательным условием для приобретения такого устройства</w:t>
      </w:r>
      <w:r>
        <w:rPr>
          <w:rFonts w:cs="Times New Roman"/>
          <w:sz w:val="28"/>
          <w:szCs w:val="28"/>
        </w:rPr>
        <w:t xml:space="preserve">). </w:t>
      </w:r>
      <w:r w:rsidRPr="004F7860">
        <w:rPr>
          <w:rFonts w:cs="Times New Roman"/>
          <w:bCs/>
          <w:sz w:val="28"/>
          <w:szCs w:val="28"/>
        </w:rPr>
        <w:t>В отличие о</w:t>
      </w:r>
      <w:r w:rsidR="005C6805">
        <w:rPr>
          <w:rFonts w:cs="Times New Roman"/>
          <w:bCs/>
          <w:sz w:val="28"/>
          <w:szCs w:val="28"/>
        </w:rPr>
        <w:t>т рынка услуг агрегаторов такси</w:t>
      </w:r>
      <w:r w:rsidRPr="004F7860">
        <w:rPr>
          <w:rFonts w:cs="Times New Roman"/>
          <w:bCs/>
          <w:sz w:val="28"/>
          <w:szCs w:val="28"/>
        </w:rPr>
        <w:t xml:space="preserve"> переключение загрузки приложений из магазина приложений на иные способы загрузки приложений для потребителей нехарактерно</w:t>
      </w:r>
      <w:r>
        <w:rPr>
          <w:rFonts w:cs="Times New Roman"/>
          <w:bCs/>
          <w:sz w:val="28"/>
          <w:szCs w:val="28"/>
        </w:rPr>
        <w:t xml:space="preserve"> – как правило, конечные потребители не желают прилагать дополнительные усилия для поиска и установки приложений на свое мобильное устройство, и на момент исследования уже сложилось привычное поведение – в первую очередь использовать магазин приложений. </w:t>
      </w:r>
      <w:r>
        <w:rPr>
          <w:bCs/>
          <w:sz w:val="28"/>
          <w:szCs w:val="28"/>
        </w:rPr>
        <w:t>Т</w:t>
      </w:r>
      <w:r w:rsidRPr="0037367F">
        <w:rPr>
          <w:bCs/>
          <w:sz w:val="28"/>
          <w:szCs w:val="28"/>
        </w:rPr>
        <w:t>ак</w:t>
      </w:r>
      <w:r w:rsidR="005C6805">
        <w:rPr>
          <w:bCs/>
          <w:sz w:val="28"/>
          <w:szCs w:val="28"/>
        </w:rPr>
        <w:t>ое поведение потребителей обусло</w:t>
      </w:r>
      <w:r w:rsidRPr="0037367F">
        <w:rPr>
          <w:bCs/>
          <w:sz w:val="28"/>
          <w:szCs w:val="28"/>
        </w:rPr>
        <w:t xml:space="preserve">вливает существование </w:t>
      </w:r>
      <w:r w:rsidR="004D2C9E">
        <w:rPr>
          <w:bCs/>
          <w:sz w:val="28"/>
          <w:szCs w:val="28"/>
        </w:rPr>
        <w:t>«</w:t>
      </w:r>
      <w:r w:rsidRPr="0037367F">
        <w:rPr>
          <w:bCs/>
          <w:sz w:val="28"/>
          <w:szCs w:val="28"/>
        </w:rPr>
        <w:t>эффекта кулака</w:t>
      </w:r>
      <w:r w:rsidR="004D2C9E">
        <w:rPr>
          <w:bCs/>
          <w:sz w:val="28"/>
          <w:szCs w:val="28"/>
        </w:rPr>
        <w:t>»</w:t>
      </w:r>
      <w:r w:rsidRPr="0037367F">
        <w:rPr>
          <w:bCs/>
          <w:sz w:val="28"/>
          <w:szCs w:val="28"/>
        </w:rPr>
        <w:t xml:space="preserve"> или </w:t>
      </w:r>
      <w:r w:rsidR="004D2C9E">
        <w:rPr>
          <w:bCs/>
          <w:sz w:val="28"/>
          <w:szCs w:val="28"/>
        </w:rPr>
        <w:t>«</w:t>
      </w:r>
      <w:r w:rsidRPr="0037367F">
        <w:rPr>
          <w:bCs/>
          <w:sz w:val="28"/>
          <w:szCs w:val="28"/>
        </w:rPr>
        <w:t>эффекта запирания</w:t>
      </w:r>
      <w:r w:rsidR="004D2C9E">
        <w:rPr>
          <w:bCs/>
          <w:sz w:val="28"/>
          <w:szCs w:val="28"/>
        </w:rPr>
        <w:t>»</w:t>
      </w:r>
      <w:r w:rsidRPr="0037367F">
        <w:rPr>
          <w:bCs/>
          <w:sz w:val="28"/>
          <w:szCs w:val="28"/>
        </w:rPr>
        <w:t xml:space="preserve"> на рынке, что характерно для рынков программных продуктов и сервисов, и существование такого эффекта делает меры по немедленному пресечению ограничения конкуренции необходимыми для последующего развития инноваций.</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Во-вторых, было установлено, что на каждом без исключения мобильном устройстве, реализуемом в Российской Федерации, предустановлены магазины приложений.</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 позволило </w:t>
      </w:r>
      <w:r w:rsidR="004D2C9E">
        <w:rPr>
          <w:rFonts w:ascii="Times New Roman" w:hAnsi="Times New Roman"/>
          <w:sz w:val="28"/>
          <w:szCs w:val="28"/>
        </w:rPr>
        <w:t>«</w:t>
      </w:r>
      <w:r>
        <w:rPr>
          <w:rFonts w:ascii="Times New Roman" w:hAnsi="Times New Roman"/>
          <w:sz w:val="28"/>
          <w:szCs w:val="28"/>
        </w:rPr>
        <w:t>посчитать</w:t>
      </w:r>
      <w:r w:rsidR="004D2C9E">
        <w:rPr>
          <w:rFonts w:ascii="Times New Roman" w:hAnsi="Times New Roman"/>
          <w:sz w:val="28"/>
          <w:szCs w:val="28"/>
        </w:rPr>
        <w:t>»</w:t>
      </w:r>
      <w:r>
        <w:rPr>
          <w:rFonts w:ascii="Times New Roman" w:hAnsi="Times New Roman"/>
          <w:sz w:val="28"/>
          <w:szCs w:val="28"/>
        </w:rPr>
        <w:t xml:space="preserve"> объем предустановленных магазинов приложений отдельных разработчиков через количество мобильных устройств.</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То, что ФАС России в ходе проведения анализа рынка постоянно обращал</w:t>
      </w:r>
      <w:r w:rsidR="004F7FF3">
        <w:rPr>
          <w:rFonts w:ascii="Times New Roman" w:hAnsi="Times New Roman"/>
          <w:sz w:val="28"/>
          <w:szCs w:val="28"/>
        </w:rPr>
        <w:t>ась</w:t>
      </w:r>
      <w:r>
        <w:rPr>
          <w:rFonts w:ascii="Times New Roman" w:hAnsi="Times New Roman"/>
          <w:sz w:val="28"/>
          <w:szCs w:val="28"/>
        </w:rPr>
        <w:t xml:space="preserve"> к изучению поведения конечных пользователей, которые не являются участниками рассматриваемого рынка, обусловлено </w:t>
      </w:r>
      <w:r w:rsidR="004F7FF3" w:rsidRPr="004F7FF3">
        <w:rPr>
          <w:rFonts w:ascii="Times New Roman" w:hAnsi="Times New Roman"/>
          <w:sz w:val="28"/>
          <w:szCs w:val="28"/>
        </w:rPr>
        <w:t>многосторонностью</w:t>
      </w:r>
      <w:r>
        <w:rPr>
          <w:rFonts w:ascii="Times New Roman" w:hAnsi="Times New Roman"/>
          <w:sz w:val="28"/>
          <w:szCs w:val="28"/>
        </w:rPr>
        <w:t xml:space="preserve"> цифрового рынка программного обеспечения.</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В анализе рассматривалось обращение магазинов приложений с кругом поставщиков – разработчик</w:t>
      </w:r>
      <w:r w:rsidR="004558A0">
        <w:rPr>
          <w:rFonts w:ascii="Times New Roman" w:hAnsi="Times New Roman"/>
          <w:sz w:val="28"/>
          <w:szCs w:val="28"/>
        </w:rPr>
        <w:t>ов, а также</w:t>
      </w:r>
      <w:r>
        <w:rPr>
          <w:rFonts w:ascii="Times New Roman" w:hAnsi="Times New Roman"/>
          <w:sz w:val="28"/>
          <w:szCs w:val="28"/>
        </w:rPr>
        <w:t xml:space="preserve"> с кругом потребителей – производител</w:t>
      </w:r>
      <w:r w:rsidR="004558A0">
        <w:rPr>
          <w:rFonts w:ascii="Times New Roman" w:hAnsi="Times New Roman"/>
          <w:sz w:val="28"/>
          <w:szCs w:val="28"/>
        </w:rPr>
        <w:t>ей</w:t>
      </w:r>
      <w:r>
        <w:rPr>
          <w:rFonts w:ascii="Times New Roman" w:hAnsi="Times New Roman"/>
          <w:sz w:val="28"/>
          <w:szCs w:val="28"/>
        </w:rPr>
        <w:t xml:space="preserve"> мобильных устройств, на которые эти магазины приложений предустанавливаются в процессе производства.</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Сама ценность магазинов приложений для </w:t>
      </w:r>
      <w:r w:rsidR="00C60771">
        <w:rPr>
          <w:rFonts w:ascii="Times New Roman" w:hAnsi="Times New Roman"/>
          <w:sz w:val="28"/>
          <w:szCs w:val="28"/>
        </w:rPr>
        <w:t>компаний-поставщиков</w:t>
      </w:r>
      <w:r>
        <w:rPr>
          <w:rFonts w:ascii="Times New Roman" w:hAnsi="Times New Roman"/>
          <w:sz w:val="28"/>
          <w:szCs w:val="28"/>
        </w:rPr>
        <w:t>, необходимость в их предустановке, определя</w:t>
      </w:r>
      <w:r w:rsidR="004F7FF3">
        <w:rPr>
          <w:rFonts w:ascii="Times New Roman" w:hAnsi="Times New Roman"/>
          <w:sz w:val="28"/>
          <w:szCs w:val="28"/>
        </w:rPr>
        <w:t>ю</w:t>
      </w:r>
      <w:r>
        <w:rPr>
          <w:rFonts w:ascii="Times New Roman" w:hAnsi="Times New Roman"/>
          <w:sz w:val="28"/>
          <w:szCs w:val="28"/>
        </w:rPr>
        <w:t>тся требованиями потребителей, которые такие мобильные устройства покупают: именно предпочтения конечных потребителей, их желание покупать мобильные устройства с уже предустановленными магазинами приложений определяют ценность товара для производителей.</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Заслуживает внимания, что, хотя географические границы рынка определе</w:t>
      </w:r>
      <w:r w:rsidR="004F7FF3">
        <w:rPr>
          <w:rFonts w:ascii="Times New Roman" w:hAnsi="Times New Roman"/>
          <w:sz w:val="28"/>
          <w:szCs w:val="28"/>
        </w:rPr>
        <w:t>ны как глобальные, тем не менее</w:t>
      </w:r>
      <w:r>
        <w:rPr>
          <w:rFonts w:ascii="Times New Roman" w:hAnsi="Times New Roman"/>
          <w:sz w:val="28"/>
          <w:szCs w:val="28"/>
        </w:rPr>
        <w:t xml:space="preserve"> не все существующие магазины приложений были включены в анализ – опять же это обусловлено поведением конечных потребителей. В</w:t>
      </w:r>
      <w:r w:rsidRPr="00033B7F">
        <w:rPr>
          <w:rFonts w:ascii="Times New Roman" w:hAnsi="Times New Roman"/>
          <w:sz w:val="28"/>
          <w:szCs w:val="28"/>
        </w:rPr>
        <w:t xml:space="preserve"> России только 5</w:t>
      </w:r>
      <w:r w:rsidR="004D2C9E">
        <w:rPr>
          <w:rFonts w:ascii="Times New Roman" w:hAnsi="Times New Roman"/>
          <w:sz w:val="28"/>
          <w:szCs w:val="28"/>
        </w:rPr>
        <w:t> %</w:t>
      </w:r>
      <w:r w:rsidRPr="00033B7F">
        <w:rPr>
          <w:rFonts w:ascii="Times New Roman" w:hAnsi="Times New Roman"/>
          <w:sz w:val="28"/>
          <w:szCs w:val="28"/>
        </w:rPr>
        <w:t xml:space="preserve"> населения может достаточно свободно читать на одном из европейских языков (не обязательно английском), это делает принципиальной русификацию всех используемых на мобильном устройстве программ (операционной системы, магазина приложений, мобильных приложений). Исходя из этого</w:t>
      </w:r>
      <w:r w:rsidR="004F7FF3">
        <w:rPr>
          <w:rFonts w:ascii="Times New Roman" w:hAnsi="Times New Roman"/>
          <w:sz w:val="28"/>
          <w:szCs w:val="28"/>
        </w:rPr>
        <w:t>,</w:t>
      </w:r>
      <w:r w:rsidRPr="00033B7F">
        <w:rPr>
          <w:rFonts w:ascii="Times New Roman" w:hAnsi="Times New Roman"/>
          <w:sz w:val="28"/>
          <w:szCs w:val="28"/>
        </w:rPr>
        <w:t xml:space="preserve"> при </w:t>
      </w:r>
      <w:r>
        <w:rPr>
          <w:rFonts w:ascii="Times New Roman" w:hAnsi="Times New Roman"/>
          <w:sz w:val="28"/>
          <w:szCs w:val="28"/>
        </w:rPr>
        <w:t xml:space="preserve">определении продавцов учитывались только разработчики магазинов приложений </w:t>
      </w:r>
      <w:r w:rsidRPr="00033B7F">
        <w:rPr>
          <w:rFonts w:ascii="Times New Roman" w:hAnsi="Times New Roman"/>
          <w:sz w:val="28"/>
          <w:szCs w:val="28"/>
        </w:rPr>
        <w:t>с русскоязычным интерфейсом</w:t>
      </w:r>
      <w:r>
        <w:rPr>
          <w:rFonts w:ascii="Times New Roman" w:hAnsi="Times New Roman"/>
          <w:sz w:val="28"/>
          <w:szCs w:val="28"/>
        </w:rPr>
        <w:t>.</w:t>
      </w:r>
    </w:p>
    <w:p w:rsidR="0068434D" w:rsidRPr="004835E8" w:rsidRDefault="0068434D" w:rsidP="004D2C9E">
      <w:pPr>
        <w:pStyle w:val="Textbody"/>
        <w:widowControl/>
        <w:spacing w:after="0"/>
        <w:ind w:firstLine="709"/>
        <w:jc w:val="both"/>
        <w:rPr>
          <w:bCs/>
          <w:sz w:val="28"/>
          <w:szCs w:val="28"/>
        </w:rPr>
      </w:pPr>
      <w:r w:rsidRPr="0089621F">
        <w:rPr>
          <w:bCs/>
          <w:sz w:val="28"/>
          <w:szCs w:val="28"/>
        </w:rPr>
        <w:t xml:space="preserve">В результате в продуктовые границы исследуемого рынка </w:t>
      </w:r>
      <w:r>
        <w:rPr>
          <w:bCs/>
          <w:sz w:val="28"/>
          <w:szCs w:val="28"/>
        </w:rPr>
        <w:t>включены</w:t>
      </w:r>
      <w:r w:rsidRPr="0089621F">
        <w:rPr>
          <w:bCs/>
          <w:sz w:val="28"/>
          <w:szCs w:val="28"/>
        </w:rPr>
        <w:t xml:space="preserve"> три магазина приложений с русскоязычным интерфейсом, предустанавливаемы</w:t>
      </w:r>
      <w:r w:rsidR="004F7FF3">
        <w:rPr>
          <w:bCs/>
          <w:sz w:val="28"/>
          <w:szCs w:val="28"/>
        </w:rPr>
        <w:t>е</w:t>
      </w:r>
      <w:r w:rsidRPr="0089621F">
        <w:rPr>
          <w:bCs/>
          <w:sz w:val="28"/>
          <w:szCs w:val="28"/>
        </w:rPr>
        <w:t xml:space="preserve"> на мобильные устройства, предназначенные для реализации на территории Российской Федерации</w:t>
      </w:r>
      <w:r w:rsidR="004F7FF3">
        <w:rPr>
          <w:bCs/>
          <w:sz w:val="28"/>
          <w:szCs w:val="28"/>
        </w:rPr>
        <w:t xml:space="preserve">, – </w:t>
      </w:r>
      <w:r w:rsidRPr="0089621F">
        <w:rPr>
          <w:bCs/>
          <w:sz w:val="28"/>
          <w:szCs w:val="28"/>
        </w:rPr>
        <w:t>Google Play, Samsung Apps и Yandex.Store.</w:t>
      </w:r>
      <w:r>
        <w:rPr>
          <w:bCs/>
          <w:sz w:val="28"/>
          <w:szCs w:val="28"/>
        </w:rPr>
        <w:t xml:space="preserve"> Доля </w:t>
      </w:r>
      <w:r>
        <w:rPr>
          <w:bCs/>
          <w:sz w:val="28"/>
          <w:szCs w:val="28"/>
          <w:lang w:val="en-US"/>
        </w:rPr>
        <w:t>Google</w:t>
      </w:r>
      <w:r>
        <w:rPr>
          <w:bCs/>
          <w:sz w:val="28"/>
          <w:szCs w:val="28"/>
        </w:rPr>
        <w:t xml:space="preserve"> составила более 70</w:t>
      </w:r>
      <w:r w:rsidR="004D2C9E">
        <w:rPr>
          <w:bCs/>
          <w:sz w:val="28"/>
          <w:szCs w:val="28"/>
        </w:rPr>
        <w:t> %</w:t>
      </w:r>
      <w:r>
        <w:rPr>
          <w:bCs/>
          <w:sz w:val="28"/>
          <w:szCs w:val="28"/>
        </w:rPr>
        <w:t>, и на основании этого в совокупности с высокими барьерами</w:t>
      </w:r>
      <w:r w:rsidR="004F7FF3">
        <w:rPr>
          <w:bCs/>
          <w:sz w:val="28"/>
          <w:szCs w:val="28"/>
        </w:rPr>
        <w:t xml:space="preserve"> входа на рынок ФАС России приш</w:t>
      </w:r>
      <w:r>
        <w:rPr>
          <w:bCs/>
          <w:sz w:val="28"/>
          <w:szCs w:val="28"/>
        </w:rPr>
        <w:t>л</w:t>
      </w:r>
      <w:r w:rsidR="004F7FF3">
        <w:rPr>
          <w:bCs/>
          <w:sz w:val="28"/>
          <w:szCs w:val="28"/>
        </w:rPr>
        <w:t>а</w:t>
      </w:r>
      <w:r>
        <w:rPr>
          <w:bCs/>
          <w:sz w:val="28"/>
          <w:szCs w:val="28"/>
        </w:rPr>
        <w:t xml:space="preserve"> к заключению о доминировании </w:t>
      </w:r>
      <w:r>
        <w:rPr>
          <w:bCs/>
          <w:sz w:val="28"/>
          <w:szCs w:val="28"/>
          <w:lang w:val="en-US"/>
        </w:rPr>
        <w:t>Google</w:t>
      </w:r>
      <w:r>
        <w:rPr>
          <w:bCs/>
          <w:sz w:val="28"/>
          <w:szCs w:val="28"/>
        </w:rPr>
        <w:t xml:space="preserve"> на этом рынке.</w:t>
      </w:r>
    </w:p>
    <w:p w:rsidR="0068434D" w:rsidRPr="0089621F" w:rsidRDefault="0068434D" w:rsidP="004D2C9E">
      <w:pPr>
        <w:pStyle w:val="Textbody"/>
        <w:widowControl/>
        <w:spacing w:after="0"/>
        <w:ind w:firstLine="709"/>
        <w:jc w:val="both"/>
        <w:rPr>
          <w:bCs/>
          <w:sz w:val="28"/>
          <w:szCs w:val="28"/>
        </w:rPr>
      </w:pPr>
      <w:r>
        <w:rPr>
          <w:bCs/>
          <w:sz w:val="28"/>
          <w:szCs w:val="28"/>
        </w:rPr>
        <w:t xml:space="preserve">Факт правообладания </w:t>
      </w:r>
      <w:r>
        <w:rPr>
          <w:bCs/>
          <w:sz w:val="28"/>
          <w:szCs w:val="28"/>
          <w:lang w:val="en-US"/>
        </w:rPr>
        <w:t>Google</w:t>
      </w:r>
      <w:r>
        <w:rPr>
          <w:bCs/>
          <w:sz w:val="28"/>
          <w:szCs w:val="28"/>
        </w:rPr>
        <w:t xml:space="preserve"> исключительных прав на ОС </w:t>
      </w:r>
      <w:r w:rsidRPr="0089621F">
        <w:rPr>
          <w:bCs/>
          <w:sz w:val="28"/>
          <w:szCs w:val="28"/>
        </w:rPr>
        <w:t>Android</w:t>
      </w:r>
      <w:r>
        <w:rPr>
          <w:bCs/>
          <w:sz w:val="28"/>
          <w:szCs w:val="28"/>
        </w:rPr>
        <w:t xml:space="preserve"> расценен как дополнительный фактор, способствующий сохранению доминирующего положения </w:t>
      </w:r>
      <w:r>
        <w:rPr>
          <w:bCs/>
          <w:sz w:val="28"/>
          <w:szCs w:val="28"/>
          <w:lang w:val="en-US"/>
        </w:rPr>
        <w:t>Google</w:t>
      </w:r>
      <w:r w:rsidRPr="0089621F">
        <w:rPr>
          <w:bCs/>
          <w:sz w:val="28"/>
          <w:szCs w:val="28"/>
        </w:rPr>
        <w:t xml:space="preserve"> </w:t>
      </w:r>
      <w:r>
        <w:rPr>
          <w:bCs/>
          <w:sz w:val="28"/>
          <w:szCs w:val="28"/>
        </w:rPr>
        <w:t>на исследуемом товарном рынке благодаря значительным сетевым эффектам, характерным для обращения системного и прикладного программного обеспечения.</w:t>
      </w:r>
    </w:p>
    <w:p w:rsidR="0068434D" w:rsidRDefault="0068434D" w:rsidP="004D2C9E">
      <w:pPr>
        <w:pStyle w:val="Textbody"/>
        <w:widowControl/>
        <w:spacing w:after="0"/>
        <w:ind w:firstLine="709"/>
        <w:jc w:val="both"/>
        <w:rPr>
          <w:bCs/>
          <w:sz w:val="28"/>
          <w:szCs w:val="28"/>
        </w:rPr>
      </w:pPr>
      <w:r>
        <w:rPr>
          <w:bCs/>
          <w:sz w:val="28"/>
          <w:szCs w:val="28"/>
        </w:rPr>
        <w:t xml:space="preserve">Многосторонность товарного рынка стала определяющим фактором и при проведении анализа рынка </w:t>
      </w:r>
      <w:r w:rsidRPr="00783250">
        <w:rPr>
          <w:bCs/>
          <w:sz w:val="28"/>
          <w:szCs w:val="28"/>
        </w:rPr>
        <w:t xml:space="preserve">предоставления </w:t>
      </w:r>
      <w:r w:rsidR="00E167B7">
        <w:rPr>
          <w:bCs/>
          <w:sz w:val="28"/>
          <w:szCs w:val="28"/>
        </w:rPr>
        <w:t xml:space="preserve">финальных </w:t>
      </w:r>
      <w:r w:rsidRPr="00783250">
        <w:rPr>
          <w:bCs/>
          <w:sz w:val="28"/>
          <w:szCs w:val="28"/>
        </w:rPr>
        <w:t xml:space="preserve">версий операционных систем для адаптации прикладного программного обеспечения (проведен в рамках рассмотрения дела ФАС России в отношении </w:t>
      </w:r>
      <w:r w:rsidRPr="00783250">
        <w:rPr>
          <w:bCs/>
          <w:sz w:val="28"/>
          <w:szCs w:val="28"/>
          <w:lang w:val="en-US"/>
        </w:rPr>
        <w:t>Microsoft</w:t>
      </w:r>
      <w:r>
        <w:rPr>
          <w:bCs/>
          <w:sz w:val="28"/>
          <w:szCs w:val="28"/>
        </w:rPr>
        <w:t>)</w:t>
      </w:r>
      <w:r w:rsidRPr="00783250">
        <w:rPr>
          <w:bCs/>
          <w:sz w:val="28"/>
          <w:szCs w:val="28"/>
        </w:rPr>
        <w:t>.</w:t>
      </w:r>
      <w:r>
        <w:rPr>
          <w:bCs/>
          <w:sz w:val="28"/>
          <w:szCs w:val="28"/>
        </w:rPr>
        <w:t xml:space="preserve"> </w:t>
      </w:r>
      <w:r w:rsidRPr="00A837B6">
        <w:rPr>
          <w:bCs/>
          <w:sz w:val="28"/>
          <w:szCs w:val="28"/>
        </w:rPr>
        <w:t>Анализ рынка операционных систем для персональных устройств с учетом целей расследования проведен с определением в качестве продавцов – разработчиков и распространителей операционных систем и в качестве покупателей – разработчиков прикладного программного обеспечения (антивирусного).</w:t>
      </w:r>
    </w:p>
    <w:p w:rsidR="0068434D" w:rsidRPr="00A837B6" w:rsidRDefault="0068434D" w:rsidP="004D2C9E">
      <w:pPr>
        <w:pStyle w:val="Textbody"/>
        <w:widowControl/>
        <w:spacing w:after="0"/>
        <w:ind w:firstLine="709"/>
        <w:jc w:val="both"/>
        <w:rPr>
          <w:bCs/>
          <w:sz w:val="28"/>
          <w:szCs w:val="28"/>
        </w:rPr>
      </w:pPr>
      <w:r>
        <w:rPr>
          <w:bCs/>
          <w:sz w:val="28"/>
          <w:szCs w:val="28"/>
        </w:rPr>
        <w:t xml:space="preserve">Здесь цепочка связанных рынков, влияющих друг на друга, выглядит следующим образом: разработчики прикладного программного обеспечения (в рассмотренном деле – антивирусного </w:t>
      </w:r>
      <w:r w:rsidR="005A06DB">
        <w:rPr>
          <w:bCs/>
          <w:sz w:val="28"/>
          <w:szCs w:val="28"/>
        </w:rPr>
        <w:t>программного обеспечения как потребители</w:t>
      </w:r>
      <w:r>
        <w:rPr>
          <w:bCs/>
          <w:sz w:val="28"/>
          <w:szCs w:val="28"/>
        </w:rPr>
        <w:t xml:space="preserve"> заинтересованы в получении доступа к предварительным версиям</w:t>
      </w:r>
      <w:r w:rsidR="00F9318B">
        <w:rPr>
          <w:bCs/>
          <w:sz w:val="28"/>
          <w:szCs w:val="28"/>
        </w:rPr>
        <w:t xml:space="preserve"> –</w:t>
      </w:r>
      <w:r w:rsidR="00636F0D">
        <w:rPr>
          <w:bCs/>
          <w:sz w:val="28"/>
          <w:szCs w:val="28"/>
        </w:rPr>
        <w:t xml:space="preserve"> </w:t>
      </w:r>
      <w:r w:rsidR="005A06DB">
        <w:rPr>
          <w:bCs/>
          <w:sz w:val="28"/>
          <w:szCs w:val="28"/>
        </w:rPr>
        <w:t xml:space="preserve">финальным </w:t>
      </w:r>
      <w:r w:rsidRPr="00AE15CD">
        <w:rPr>
          <w:bCs/>
          <w:sz w:val="28"/>
          <w:szCs w:val="28"/>
        </w:rPr>
        <w:t>верси</w:t>
      </w:r>
      <w:r>
        <w:rPr>
          <w:bCs/>
          <w:sz w:val="28"/>
          <w:szCs w:val="28"/>
        </w:rPr>
        <w:t>ям</w:t>
      </w:r>
      <w:r w:rsidRPr="00AE15CD">
        <w:rPr>
          <w:bCs/>
          <w:sz w:val="28"/>
          <w:szCs w:val="28"/>
        </w:rPr>
        <w:t xml:space="preserve"> операционных систем для адаптации</w:t>
      </w:r>
      <w:r>
        <w:rPr>
          <w:bCs/>
          <w:sz w:val="28"/>
          <w:szCs w:val="28"/>
        </w:rPr>
        <w:t xml:space="preserve"> своего </w:t>
      </w:r>
      <w:r w:rsidR="005A06DB" w:rsidRPr="005A06DB">
        <w:rPr>
          <w:bCs/>
          <w:sz w:val="28"/>
          <w:szCs w:val="28"/>
        </w:rPr>
        <w:t>программного обеспечения</w:t>
      </w:r>
      <w:r w:rsidR="005A06DB">
        <w:rPr>
          <w:bCs/>
          <w:sz w:val="28"/>
          <w:szCs w:val="28"/>
        </w:rPr>
        <w:t>,</w:t>
      </w:r>
      <w:r w:rsidR="005A06DB" w:rsidRPr="005A06DB">
        <w:rPr>
          <w:bCs/>
          <w:sz w:val="28"/>
          <w:szCs w:val="28"/>
        </w:rPr>
        <w:t xml:space="preserve"> </w:t>
      </w:r>
      <w:r w:rsidR="005A06DB">
        <w:rPr>
          <w:bCs/>
          <w:sz w:val="28"/>
          <w:szCs w:val="28"/>
        </w:rPr>
        <w:t>для того</w:t>
      </w:r>
      <w:r>
        <w:rPr>
          <w:bCs/>
          <w:sz w:val="28"/>
          <w:szCs w:val="28"/>
        </w:rPr>
        <w:t xml:space="preserve"> чтобы после обновления операционной системы антивирусное </w:t>
      </w:r>
      <w:r w:rsidR="005A06DB">
        <w:rPr>
          <w:bCs/>
          <w:sz w:val="28"/>
          <w:szCs w:val="28"/>
        </w:rPr>
        <w:t>программное</w:t>
      </w:r>
      <w:r w:rsidR="005A06DB" w:rsidRPr="005A06DB">
        <w:rPr>
          <w:bCs/>
          <w:sz w:val="28"/>
          <w:szCs w:val="28"/>
        </w:rPr>
        <w:t xml:space="preserve"> обеспечени</w:t>
      </w:r>
      <w:r w:rsidR="005A06DB">
        <w:rPr>
          <w:bCs/>
          <w:sz w:val="28"/>
          <w:szCs w:val="28"/>
        </w:rPr>
        <w:t>е</w:t>
      </w:r>
      <w:r>
        <w:rPr>
          <w:bCs/>
          <w:sz w:val="28"/>
          <w:szCs w:val="28"/>
        </w:rPr>
        <w:t xml:space="preserve"> продолжало работать корректно, оправдывая ожидания пользователей, установивших его на свои компьютеры. </w:t>
      </w:r>
      <w:r w:rsidRPr="00A837B6">
        <w:rPr>
          <w:bCs/>
          <w:sz w:val="28"/>
          <w:szCs w:val="28"/>
        </w:rPr>
        <w:t>Следовательно, способность функционирования прикладного программного обеспечения напрямую зависит от совместимости с операционной системой</w:t>
      </w:r>
      <w:r>
        <w:rPr>
          <w:bCs/>
          <w:sz w:val="28"/>
          <w:szCs w:val="28"/>
        </w:rPr>
        <w:t xml:space="preserve"> – операционная система является </w:t>
      </w:r>
      <w:r w:rsidR="004D2C9E">
        <w:rPr>
          <w:bCs/>
          <w:sz w:val="28"/>
          <w:szCs w:val="28"/>
        </w:rPr>
        <w:t>«</w:t>
      </w:r>
      <w:r>
        <w:rPr>
          <w:bCs/>
          <w:sz w:val="28"/>
          <w:szCs w:val="28"/>
        </w:rPr>
        <w:t>ключевой инфраструктурой</w:t>
      </w:r>
      <w:r w:rsidR="004D2C9E">
        <w:rPr>
          <w:bCs/>
          <w:sz w:val="28"/>
          <w:szCs w:val="28"/>
        </w:rPr>
        <w:t>»</w:t>
      </w:r>
      <w:r>
        <w:rPr>
          <w:bCs/>
          <w:sz w:val="28"/>
          <w:szCs w:val="28"/>
        </w:rPr>
        <w:t xml:space="preserve"> для прикладного </w:t>
      </w:r>
      <w:r w:rsidR="005A06DB" w:rsidRPr="005A06DB">
        <w:rPr>
          <w:bCs/>
          <w:sz w:val="28"/>
          <w:szCs w:val="28"/>
        </w:rPr>
        <w:t>программного обеспечения</w:t>
      </w:r>
      <w:r>
        <w:rPr>
          <w:bCs/>
          <w:sz w:val="28"/>
          <w:szCs w:val="28"/>
        </w:rPr>
        <w:t>.</w:t>
      </w:r>
    </w:p>
    <w:p w:rsidR="0068434D" w:rsidRPr="00783250" w:rsidRDefault="0068434D" w:rsidP="004D2C9E">
      <w:pPr>
        <w:pStyle w:val="Textbody"/>
        <w:widowControl/>
        <w:spacing w:after="0"/>
        <w:ind w:firstLine="709"/>
        <w:jc w:val="both"/>
        <w:rPr>
          <w:bCs/>
          <w:sz w:val="28"/>
          <w:szCs w:val="28"/>
        </w:rPr>
      </w:pPr>
      <w:r>
        <w:rPr>
          <w:bCs/>
          <w:sz w:val="28"/>
          <w:szCs w:val="28"/>
        </w:rPr>
        <w:t xml:space="preserve">Далее, операционная система как системное </w:t>
      </w:r>
      <w:r w:rsidR="005A06DB" w:rsidRPr="005A06DB">
        <w:rPr>
          <w:bCs/>
          <w:sz w:val="28"/>
          <w:szCs w:val="28"/>
        </w:rPr>
        <w:t>программное обеспечение</w:t>
      </w:r>
      <w:r>
        <w:rPr>
          <w:bCs/>
          <w:sz w:val="28"/>
          <w:szCs w:val="28"/>
        </w:rPr>
        <w:t xml:space="preserve"> самостоятельной потребительской ценности не имеет – она проявляется только на аппаратном обеспечении</w:t>
      </w:r>
      <w:r w:rsidR="005A06DB">
        <w:rPr>
          <w:bCs/>
          <w:sz w:val="28"/>
          <w:szCs w:val="28"/>
        </w:rPr>
        <w:t>,</w:t>
      </w:r>
      <w:r>
        <w:rPr>
          <w:bCs/>
          <w:sz w:val="28"/>
          <w:szCs w:val="28"/>
        </w:rPr>
        <w:t xml:space="preserve"> поэтому обращение операционных систем неразрывно связано с обращением аппаратных устройств. </w:t>
      </w:r>
    </w:p>
    <w:p w:rsidR="0068434D" w:rsidRDefault="0068434D" w:rsidP="004D2C9E">
      <w:pPr>
        <w:pStyle w:val="Textbody"/>
        <w:widowControl/>
        <w:spacing w:after="0"/>
        <w:ind w:firstLine="709"/>
        <w:jc w:val="both"/>
        <w:rPr>
          <w:bCs/>
          <w:sz w:val="28"/>
          <w:szCs w:val="28"/>
        </w:rPr>
      </w:pPr>
      <w:r w:rsidRPr="00A837B6">
        <w:rPr>
          <w:bCs/>
          <w:sz w:val="28"/>
          <w:szCs w:val="28"/>
        </w:rPr>
        <w:t>Таким образом, в ходе анализа была выявлена неразрывная взаимосвязь рынка операционных систем и пользовательского оборудования. Соответственно, выявление взаимозаменяемых товаров и уточнение продуктовых границ товарного рынка ФАС России проводил</w:t>
      </w:r>
      <w:r w:rsidR="00F34390">
        <w:rPr>
          <w:bCs/>
          <w:sz w:val="28"/>
          <w:szCs w:val="28"/>
        </w:rPr>
        <w:t>а</w:t>
      </w:r>
      <w:r w:rsidRPr="00A837B6">
        <w:rPr>
          <w:bCs/>
          <w:sz w:val="28"/>
          <w:szCs w:val="28"/>
        </w:rPr>
        <w:t xml:space="preserve"> применительно к рынку пользовательского оборудования, а результаты проецировал</w:t>
      </w:r>
      <w:r w:rsidR="00F34390">
        <w:rPr>
          <w:bCs/>
          <w:sz w:val="28"/>
          <w:szCs w:val="28"/>
        </w:rPr>
        <w:t>а</w:t>
      </w:r>
      <w:r w:rsidRPr="00A837B6">
        <w:rPr>
          <w:bCs/>
          <w:sz w:val="28"/>
          <w:szCs w:val="28"/>
        </w:rPr>
        <w:t xml:space="preserve"> на рынок операционных систем.</w:t>
      </w:r>
    </w:p>
    <w:p w:rsidR="0068434D" w:rsidRPr="00A837B6" w:rsidRDefault="0068434D" w:rsidP="004D2C9E">
      <w:pPr>
        <w:pStyle w:val="Textbody"/>
        <w:widowControl/>
        <w:spacing w:after="0"/>
        <w:ind w:firstLine="709"/>
        <w:jc w:val="both"/>
        <w:rPr>
          <w:bCs/>
          <w:sz w:val="28"/>
          <w:szCs w:val="28"/>
        </w:rPr>
      </w:pPr>
      <w:r>
        <w:rPr>
          <w:bCs/>
          <w:sz w:val="28"/>
          <w:szCs w:val="28"/>
        </w:rPr>
        <w:t>Так сложилось, что одни операционные системы функционируют на стационарных устройствах – компьютерах и ноутбуках, другие – на мобильны</w:t>
      </w:r>
      <w:r w:rsidR="005B1CCC">
        <w:rPr>
          <w:bCs/>
          <w:sz w:val="28"/>
          <w:szCs w:val="28"/>
        </w:rPr>
        <w:t>х</w:t>
      </w:r>
      <w:r>
        <w:rPr>
          <w:bCs/>
          <w:sz w:val="28"/>
          <w:szCs w:val="28"/>
        </w:rPr>
        <w:t xml:space="preserve"> аппаратных устройствах – смартфонах и планшетах.</w:t>
      </w:r>
    </w:p>
    <w:p w:rsidR="0068434D" w:rsidRPr="00961BCD" w:rsidRDefault="0068434D" w:rsidP="004D2C9E">
      <w:pPr>
        <w:pStyle w:val="Textbody"/>
        <w:widowControl/>
        <w:spacing w:after="0"/>
        <w:ind w:firstLine="709"/>
        <w:jc w:val="both"/>
        <w:rPr>
          <w:bCs/>
          <w:spacing w:val="-2"/>
          <w:sz w:val="28"/>
          <w:szCs w:val="28"/>
        </w:rPr>
      </w:pPr>
      <w:r w:rsidRPr="00961BCD">
        <w:rPr>
          <w:bCs/>
          <w:spacing w:val="-2"/>
          <w:sz w:val="28"/>
          <w:szCs w:val="28"/>
        </w:rPr>
        <w:t>На первый взгляд, и стационарные, и мобильные устройства обеспечивают пользователю сопоставимую функциональность. При этом очевидно, что стационарные и мобильные устройства отличаются по размеру, пользовательской навигации и совокупности дополнительных устройств, которые использует потребитель (такие, как клавиатура, мышь, наушники и т.д.).</w:t>
      </w:r>
    </w:p>
    <w:p w:rsidR="0068434D" w:rsidRPr="00A837B6" w:rsidRDefault="0068434D" w:rsidP="004D2C9E">
      <w:pPr>
        <w:pStyle w:val="Textbody"/>
        <w:widowControl/>
        <w:spacing w:after="0"/>
        <w:ind w:firstLine="709"/>
        <w:jc w:val="both"/>
        <w:rPr>
          <w:bCs/>
          <w:sz w:val="28"/>
          <w:szCs w:val="28"/>
        </w:rPr>
      </w:pPr>
      <w:r w:rsidRPr="00A837B6">
        <w:rPr>
          <w:bCs/>
          <w:sz w:val="28"/>
          <w:szCs w:val="28"/>
        </w:rPr>
        <w:t xml:space="preserve">Для уточнения продуктовых границ товарного рынка необходимо было определить, образуют ли стационарные </w:t>
      </w:r>
      <w:r w:rsidR="00F34390">
        <w:rPr>
          <w:bCs/>
          <w:sz w:val="28"/>
          <w:szCs w:val="28"/>
        </w:rPr>
        <w:t xml:space="preserve">и </w:t>
      </w:r>
      <w:r w:rsidRPr="00A837B6">
        <w:rPr>
          <w:bCs/>
          <w:sz w:val="28"/>
          <w:szCs w:val="28"/>
        </w:rPr>
        <w:t>мобильные устройства единый товарный рынок или они обращаются на разных товарных рынках.</w:t>
      </w:r>
    </w:p>
    <w:p w:rsidR="0068434D" w:rsidRPr="00A837B6" w:rsidRDefault="0068434D" w:rsidP="004D2C9E">
      <w:pPr>
        <w:pStyle w:val="Textbody"/>
        <w:widowControl/>
        <w:spacing w:after="0"/>
        <w:ind w:firstLine="709"/>
        <w:jc w:val="both"/>
        <w:rPr>
          <w:bCs/>
          <w:sz w:val="28"/>
          <w:szCs w:val="28"/>
        </w:rPr>
      </w:pPr>
      <w:r w:rsidRPr="00A837B6">
        <w:rPr>
          <w:bCs/>
          <w:sz w:val="28"/>
          <w:szCs w:val="28"/>
        </w:rPr>
        <w:t>Подавляющее большинство респондентов (83</w:t>
      </w:r>
      <w:r w:rsidR="00C60771">
        <w:rPr>
          <w:bCs/>
          <w:sz w:val="28"/>
          <w:szCs w:val="28"/>
        </w:rPr>
        <w:t> </w:t>
      </w:r>
      <w:r w:rsidR="004D2C9E">
        <w:rPr>
          <w:bCs/>
          <w:sz w:val="28"/>
          <w:szCs w:val="28"/>
        </w:rPr>
        <w:t>%</w:t>
      </w:r>
      <w:r w:rsidRPr="00A837B6">
        <w:rPr>
          <w:bCs/>
          <w:sz w:val="28"/>
          <w:szCs w:val="28"/>
        </w:rPr>
        <w:t>) заявили о невозможности замены стационарных и мобильных устройств. Основными причинами являются: использование стационарных и мобильных устройств при решении различных задач (78</w:t>
      </w:r>
      <w:r w:rsidR="00C60771">
        <w:rPr>
          <w:bCs/>
          <w:sz w:val="28"/>
          <w:szCs w:val="28"/>
        </w:rPr>
        <w:t> </w:t>
      </w:r>
      <w:r w:rsidR="004D2C9E">
        <w:rPr>
          <w:bCs/>
          <w:sz w:val="28"/>
          <w:szCs w:val="28"/>
        </w:rPr>
        <w:t>%</w:t>
      </w:r>
      <w:r w:rsidRPr="00A837B6">
        <w:rPr>
          <w:bCs/>
          <w:sz w:val="28"/>
          <w:szCs w:val="28"/>
        </w:rPr>
        <w:t>), различные технические характеристики (88</w:t>
      </w:r>
      <w:r w:rsidR="00C60771">
        <w:rPr>
          <w:bCs/>
          <w:sz w:val="28"/>
          <w:szCs w:val="28"/>
        </w:rPr>
        <w:t> </w:t>
      </w:r>
      <w:r w:rsidR="004D2C9E">
        <w:rPr>
          <w:bCs/>
          <w:sz w:val="28"/>
          <w:szCs w:val="28"/>
        </w:rPr>
        <w:t>%</w:t>
      </w:r>
      <w:r w:rsidRPr="00A837B6">
        <w:rPr>
          <w:bCs/>
          <w:sz w:val="28"/>
          <w:szCs w:val="28"/>
        </w:rPr>
        <w:t>), различия в управлении и применении (84</w:t>
      </w:r>
      <w:r w:rsidR="00C60771">
        <w:rPr>
          <w:bCs/>
          <w:sz w:val="28"/>
          <w:szCs w:val="28"/>
        </w:rPr>
        <w:t> </w:t>
      </w:r>
      <w:r w:rsidR="004D2C9E">
        <w:rPr>
          <w:bCs/>
          <w:sz w:val="28"/>
          <w:szCs w:val="28"/>
        </w:rPr>
        <w:t>%</w:t>
      </w:r>
      <w:r w:rsidRPr="00A837B6">
        <w:rPr>
          <w:bCs/>
          <w:sz w:val="28"/>
          <w:szCs w:val="28"/>
        </w:rPr>
        <w:t>).</w:t>
      </w:r>
    </w:p>
    <w:p w:rsidR="0068434D" w:rsidRPr="00A837B6" w:rsidRDefault="0068434D" w:rsidP="004D2C9E">
      <w:pPr>
        <w:pStyle w:val="Textbody"/>
        <w:widowControl/>
        <w:spacing w:after="0"/>
        <w:ind w:firstLine="709"/>
        <w:jc w:val="both"/>
        <w:rPr>
          <w:bCs/>
          <w:sz w:val="28"/>
          <w:szCs w:val="28"/>
        </w:rPr>
      </w:pPr>
      <w:r w:rsidRPr="00A837B6">
        <w:rPr>
          <w:bCs/>
          <w:sz w:val="28"/>
          <w:szCs w:val="28"/>
        </w:rPr>
        <w:t xml:space="preserve">Важно отметить, что </w:t>
      </w:r>
      <w:r w:rsidR="004D2C9E">
        <w:rPr>
          <w:bCs/>
          <w:sz w:val="28"/>
          <w:szCs w:val="28"/>
        </w:rPr>
        <w:t>«</w:t>
      </w:r>
      <w:r w:rsidRPr="00A837B6">
        <w:rPr>
          <w:bCs/>
          <w:sz w:val="28"/>
          <w:szCs w:val="28"/>
        </w:rPr>
        <w:t>отказ от ответа</w:t>
      </w:r>
      <w:r w:rsidR="004D2C9E">
        <w:rPr>
          <w:bCs/>
          <w:sz w:val="28"/>
          <w:szCs w:val="28"/>
        </w:rPr>
        <w:t>»</w:t>
      </w:r>
      <w:r w:rsidRPr="00A837B6">
        <w:rPr>
          <w:bCs/>
          <w:sz w:val="28"/>
          <w:szCs w:val="28"/>
        </w:rPr>
        <w:t xml:space="preserve"> выбирали 3–4</w:t>
      </w:r>
      <w:r w:rsidR="00C60771">
        <w:rPr>
          <w:bCs/>
          <w:sz w:val="28"/>
          <w:szCs w:val="28"/>
        </w:rPr>
        <w:t> </w:t>
      </w:r>
      <w:r w:rsidR="004D2C9E">
        <w:rPr>
          <w:bCs/>
          <w:sz w:val="28"/>
          <w:szCs w:val="28"/>
        </w:rPr>
        <w:t>%</w:t>
      </w:r>
      <w:r w:rsidRPr="00A837B6">
        <w:rPr>
          <w:bCs/>
          <w:sz w:val="28"/>
          <w:szCs w:val="28"/>
        </w:rPr>
        <w:t xml:space="preserve"> опрошенных, что свидетельствует о том, что потребители имеют четкое представление о потреблении товара.</w:t>
      </w:r>
    </w:p>
    <w:p w:rsidR="0068434D" w:rsidRPr="00A837B6" w:rsidRDefault="0068434D" w:rsidP="004D2C9E">
      <w:pPr>
        <w:pStyle w:val="Textbody"/>
        <w:widowControl/>
        <w:spacing w:after="0"/>
        <w:ind w:firstLine="709"/>
        <w:jc w:val="both"/>
        <w:rPr>
          <w:bCs/>
          <w:sz w:val="28"/>
          <w:szCs w:val="28"/>
        </w:rPr>
      </w:pPr>
      <w:r w:rsidRPr="00A837B6">
        <w:rPr>
          <w:bCs/>
          <w:sz w:val="28"/>
          <w:szCs w:val="28"/>
        </w:rPr>
        <w:t>Таким образом, потребители относят стационарные и мобильные пользовательские устройства к разным категориям.</w:t>
      </w:r>
    </w:p>
    <w:p w:rsidR="0068434D" w:rsidRPr="00A837B6" w:rsidRDefault="0068434D" w:rsidP="004D2C9E">
      <w:pPr>
        <w:pStyle w:val="Textbody"/>
        <w:widowControl/>
        <w:spacing w:after="0"/>
        <w:ind w:firstLine="709"/>
        <w:jc w:val="both"/>
        <w:rPr>
          <w:bCs/>
          <w:sz w:val="28"/>
          <w:szCs w:val="28"/>
        </w:rPr>
      </w:pPr>
      <w:r w:rsidRPr="00A837B6">
        <w:rPr>
          <w:bCs/>
          <w:sz w:val="28"/>
          <w:szCs w:val="28"/>
        </w:rPr>
        <w:t xml:space="preserve">Исходя из изложенного следует, что обращение стационарных устройств (компьютеров и </w:t>
      </w:r>
      <w:r>
        <w:rPr>
          <w:bCs/>
          <w:sz w:val="28"/>
          <w:szCs w:val="28"/>
        </w:rPr>
        <w:t>ноутбуков</w:t>
      </w:r>
      <w:r w:rsidRPr="00A837B6">
        <w:rPr>
          <w:bCs/>
          <w:sz w:val="28"/>
          <w:szCs w:val="28"/>
        </w:rPr>
        <w:t>) и обращение мобильных аппаратных устройств (</w:t>
      </w:r>
      <w:r w:rsidRPr="005B1CCC">
        <w:rPr>
          <w:bCs/>
          <w:spacing w:val="-2"/>
          <w:sz w:val="28"/>
          <w:szCs w:val="28"/>
        </w:rPr>
        <w:t>планшетных компьютеров и смартфонов) образуют отдельные товарные рын</w:t>
      </w:r>
      <w:r w:rsidRPr="00A837B6">
        <w:rPr>
          <w:bCs/>
          <w:sz w:val="28"/>
          <w:szCs w:val="28"/>
        </w:rPr>
        <w:t>ки.</w:t>
      </w:r>
    </w:p>
    <w:p w:rsidR="0068434D" w:rsidRPr="00A837B6" w:rsidRDefault="0068434D" w:rsidP="004D2C9E">
      <w:pPr>
        <w:pStyle w:val="Textbody"/>
        <w:widowControl/>
        <w:spacing w:after="0"/>
        <w:ind w:firstLine="709"/>
        <w:jc w:val="both"/>
        <w:rPr>
          <w:bCs/>
          <w:sz w:val="28"/>
          <w:szCs w:val="28"/>
        </w:rPr>
      </w:pPr>
      <w:r w:rsidRPr="00A837B6">
        <w:rPr>
          <w:bCs/>
          <w:sz w:val="28"/>
          <w:szCs w:val="28"/>
        </w:rPr>
        <w:t>Соответственно, обращение операционных систем, устанавливаемых на стационарных устройствах</w:t>
      </w:r>
      <w:r w:rsidR="003F5CF5">
        <w:rPr>
          <w:bCs/>
          <w:sz w:val="28"/>
          <w:szCs w:val="28"/>
        </w:rPr>
        <w:t>,</w:t>
      </w:r>
      <w:r w:rsidRPr="00A837B6">
        <w:rPr>
          <w:bCs/>
          <w:sz w:val="28"/>
          <w:szCs w:val="28"/>
        </w:rPr>
        <w:t xml:space="preserve"> и обращение операционных систем, устанавливаемых на мобильных устройствах, </w:t>
      </w:r>
      <w:r w:rsidR="00C60771">
        <w:rPr>
          <w:bCs/>
          <w:sz w:val="28"/>
          <w:szCs w:val="28"/>
        </w:rPr>
        <w:t xml:space="preserve">также </w:t>
      </w:r>
      <w:r w:rsidRPr="00A837B6">
        <w:rPr>
          <w:bCs/>
          <w:sz w:val="28"/>
          <w:szCs w:val="28"/>
        </w:rPr>
        <w:t>образуют отдельные товарные рынки.</w:t>
      </w:r>
    </w:p>
    <w:p w:rsidR="0068434D" w:rsidRPr="004835E8" w:rsidRDefault="0068434D" w:rsidP="004D2C9E">
      <w:pPr>
        <w:pStyle w:val="Textbody"/>
        <w:widowControl/>
        <w:spacing w:after="0"/>
        <w:ind w:firstLine="709"/>
        <w:jc w:val="both"/>
        <w:rPr>
          <w:bCs/>
          <w:sz w:val="28"/>
          <w:szCs w:val="28"/>
        </w:rPr>
      </w:pPr>
      <w:r w:rsidRPr="00A837B6">
        <w:rPr>
          <w:bCs/>
          <w:sz w:val="28"/>
          <w:szCs w:val="28"/>
        </w:rPr>
        <w:t>На основ</w:t>
      </w:r>
      <w:r w:rsidR="003F5CF5">
        <w:rPr>
          <w:bCs/>
          <w:sz w:val="28"/>
          <w:szCs w:val="28"/>
        </w:rPr>
        <w:t>е</w:t>
      </w:r>
      <w:r w:rsidRPr="00A837B6">
        <w:rPr>
          <w:bCs/>
          <w:sz w:val="28"/>
          <w:szCs w:val="28"/>
        </w:rPr>
        <w:t xml:space="preserve"> выявленных фактов и с учетом целей анализа рынок определен как рынок операционных систем (финальных сборок) для стационарных пользовательских устройств</w:t>
      </w:r>
      <w:r>
        <w:rPr>
          <w:bCs/>
          <w:sz w:val="28"/>
          <w:szCs w:val="28"/>
        </w:rPr>
        <w:t xml:space="preserve"> – соответственно, в состав продавцов включены только производители операционных систем, </w:t>
      </w:r>
      <w:r w:rsidR="005B1CCC">
        <w:rPr>
          <w:bCs/>
          <w:sz w:val="28"/>
          <w:szCs w:val="28"/>
        </w:rPr>
        <w:t>используемых</w:t>
      </w:r>
      <w:r>
        <w:rPr>
          <w:bCs/>
          <w:sz w:val="28"/>
          <w:szCs w:val="28"/>
        </w:rPr>
        <w:t xml:space="preserve"> на стационарных устройствах</w:t>
      </w:r>
      <w:r w:rsidR="003F5CF5">
        <w:rPr>
          <w:bCs/>
          <w:sz w:val="28"/>
          <w:szCs w:val="28"/>
        </w:rPr>
        <w:t>,</w:t>
      </w:r>
      <w:r>
        <w:rPr>
          <w:bCs/>
          <w:sz w:val="28"/>
          <w:szCs w:val="28"/>
        </w:rPr>
        <w:t xml:space="preserve"> – </w:t>
      </w:r>
      <w:r>
        <w:rPr>
          <w:bCs/>
          <w:sz w:val="28"/>
          <w:szCs w:val="28"/>
          <w:lang w:val="en-US"/>
        </w:rPr>
        <w:t>Microsoft</w:t>
      </w:r>
      <w:r w:rsidRPr="004835E8">
        <w:rPr>
          <w:bCs/>
          <w:sz w:val="28"/>
          <w:szCs w:val="28"/>
        </w:rPr>
        <w:t xml:space="preserve">, </w:t>
      </w:r>
      <w:r>
        <w:rPr>
          <w:bCs/>
          <w:sz w:val="28"/>
          <w:szCs w:val="28"/>
          <w:lang w:val="en-US"/>
        </w:rPr>
        <w:t>Apple</w:t>
      </w:r>
      <w:r w:rsidRPr="004835E8">
        <w:rPr>
          <w:bCs/>
          <w:sz w:val="28"/>
          <w:szCs w:val="28"/>
        </w:rPr>
        <w:t xml:space="preserve"> </w:t>
      </w:r>
      <w:r>
        <w:rPr>
          <w:bCs/>
          <w:sz w:val="28"/>
          <w:szCs w:val="28"/>
        </w:rPr>
        <w:t>и к</w:t>
      </w:r>
      <w:r w:rsidRPr="00A837B6">
        <w:rPr>
          <w:bCs/>
          <w:sz w:val="28"/>
          <w:szCs w:val="28"/>
        </w:rPr>
        <w:t>омпании, реализующие операционные системы на базе ядра Linux</w:t>
      </w:r>
      <w:r w:rsidR="003F5CF5">
        <w:rPr>
          <w:bCs/>
          <w:sz w:val="28"/>
          <w:szCs w:val="28"/>
        </w:rPr>
        <w:t>,</w:t>
      </w:r>
      <w:r w:rsidRPr="00A837B6">
        <w:rPr>
          <w:bCs/>
          <w:sz w:val="28"/>
          <w:szCs w:val="28"/>
        </w:rPr>
        <w:t xml:space="preserve"> и иные операционные системы</w:t>
      </w:r>
      <w:r>
        <w:rPr>
          <w:bCs/>
          <w:sz w:val="28"/>
          <w:szCs w:val="28"/>
        </w:rPr>
        <w:t>.</w:t>
      </w:r>
    </w:p>
    <w:p w:rsidR="0068434D" w:rsidRPr="00A837B6" w:rsidRDefault="0068434D" w:rsidP="004D2C9E">
      <w:pPr>
        <w:pStyle w:val="Textbody"/>
        <w:widowControl/>
        <w:spacing w:after="0"/>
        <w:ind w:firstLine="709"/>
        <w:jc w:val="both"/>
        <w:rPr>
          <w:bCs/>
          <w:sz w:val="28"/>
          <w:szCs w:val="28"/>
        </w:rPr>
      </w:pPr>
      <w:r w:rsidRPr="00A837B6">
        <w:rPr>
          <w:bCs/>
          <w:sz w:val="28"/>
          <w:szCs w:val="28"/>
        </w:rPr>
        <w:t xml:space="preserve">Барьеры входа на рынок определены как высокие, и с учетом этого установлено, что на рынке операционных систем для стационарных персональных устройств в Российской Федерации </w:t>
      </w:r>
      <w:r w:rsidR="003F5CF5">
        <w:rPr>
          <w:bCs/>
          <w:sz w:val="28"/>
          <w:szCs w:val="28"/>
        </w:rPr>
        <w:t>лидирующее</w:t>
      </w:r>
      <w:r w:rsidRPr="00A837B6">
        <w:rPr>
          <w:bCs/>
          <w:sz w:val="28"/>
          <w:szCs w:val="28"/>
        </w:rPr>
        <w:t xml:space="preserve"> положение занимает </w:t>
      </w:r>
      <w:r w:rsidR="003F5CF5">
        <w:rPr>
          <w:bCs/>
          <w:sz w:val="28"/>
          <w:szCs w:val="28"/>
        </w:rPr>
        <w:t>к</w:t>
      </w:r>
      <w:r w:rsidRPr="00A837B6">
        <w:rPr>
          <w:bCs/>
          <w:sz w:val="28"/>
          <w:szCs w:val="28"/>
        </w:rPr>
        <w:t>орпорация Microsoft.</w:t>
      </w:r>
    </w:p>
    <w:p w:rsidR="0068434D" w:rsidRPr="00A837B6" w:rsidRDefault="0068434D" w:rsidP="004D2C9E">
      <w:pPr>
        <w:pStyle w:val="Textbody"/>
        <w:widowControl/>
        <w:spacing w:after="0"/>
        <w:ind w:firstLine="709"/>
        <w:jc w:val="both"/>
        <w:rPr>
          <w:bCs/>
          <w:sz w:val="28"/>
          <w:szCs w:val="28"/>
        </w:rPr>
      </w:pPr>
      <w:r>
        <w:rPr>
          <w:bCs/>
          <w:sz w:val="28"/>
          <w:szCs w:val="28"/>
        </w:rPr>
        <w:t>П</w:t>
      </w:r>
      <w:r w:rsidRPr="00A837B6">
        <w:rPr>
          <w:bCs/>
          <w:sz w:val="28"/>
          <w:szCs w:val="28"/>
        </w:rPr>
        <w:t>редоставление финальной сборки осуществляется исключительно разработчиком операционной системы, так что было уста</w:t>
      </w:r>
      <w:r w:rsidR="003F5CF5">
        <w:rPr>
          <w:bCs/>
          <w:sz w:val="28"/>
          <w:szCs w:val="28"/>
        </w:rPr>
        <w:t>новлено доминирующее положение к</w:t>
      </w:r>
      <w:r w:rsidRPr="00A837B6">
        <w:rPr>
          <w:bCs/>
          <w:sz w:val="28"/>
          <w:szCs w:val="28"/>
        </w:rPr>
        <w:t>орпорации Microsoft на рассматриваемом товарном рынке операционных систем, на котором покупателями являются разработчики прикладного программного обеспечения.</w:t>
      </w:r>
    </w:p>
    <w:p w:rsidR="0068434D" w:rsidRPr="00A837B6" w:rsidRDefault="0068434D" w:rsidP="004D2C9E">
      <w:pPr>
        <w:pStyle w:val="Textbody"/>
        <w:widowControl/>
        <w:spacing w:after="0"/>
        <w:ind w:firstLine="709"/>
        <w:jc w:val="both"/>
        <w:rPr>
          <w:bCs/>
          <w:sz w:val="28"/>
          <w:szCs w:val="28"/>
        </w:rPr>
      </w:pPr>
      <w:r w:rsidRPr="00A837B6">
        <w:rPr>
          <w:bCs/>
          <w:sz w:val="28"/>
          <w:szCs w:val="28"/>
        </w:rPr>
        <w:t>Таким образом, в ходе проведения анализа рынка было рассмотрено поведение и условия деятельности покупателей – разработчиков программного обеспечения, поведение покупателей – конечных пользователей персональных компьютеров, влияние поведения конечных пользователей на обращение товара на рассматриваемом товарном рынке, а также на взаимосвязанных рынках – системного программного обеспечения и пользовательских устройств.</w:t>
      </w:r>
    </w:p>
    <w:p w:rsidR="0068434D" w:rsidRPr="00A837B6" w:rsidRDefault="0068434D" w:rsidP="004D2C9E">
      <w:pPr>
        <w:pStyle w:val="Textbody"/>
        <w:widowControl/>
        <w:spacing w:after="0"/>
        <w:ind w:firstLine="709"/>
        <w:jc w:val="both"/>
        <w:rPr>
          <w:bCs/>
          <w:sz w:val="28"/>
          <w:szCs w:val="28"/>
        </w:rPr>
      </w:pPr>
      <w:r w:rsidRPr="00A837B6">
        <w:rPr>
          <w:bCs/>
          <w:sz w:val="28"/>
          <w:szCs w:val="28"/>
        </w:rPr>
        <w:t>Этот пример иллюстрирует важность изучения и системного анализа всех аспектов функционирования таких многосторонних рынков, как рынки системного предустановленного программного обеспечения.</w:t>
      </w:r>
    </w:p>
    <w:p w:rsidR="0068434D" w:rsidRPr="00A837B6" w:rsidRDefault="0068434D" w:rsidP="004D2C9E">
      <w:pPr>
        <w:pStyle w:val="Textbody"/>
        <w:widowControl/>
        <w:spacing w:after="0"/>
        <w:ind w:firstLine="709"/>
        <w:jc w:val="both"/>
        <w:rPr>
          <w:bCs/>
          <w:sz w:val="28"/>
          <w:szCs w:val="28"/>
        </w:rPr>
      </w:pPr>
      <w:r w:rsidRPr="00A837B6">
        <w:rPr>
          <w:bCs/>
          <w:sz w:val="28"/>
          <w:szCs w:val="28"/>
        </w:rPr>
        <w:t>В условиях инновационного развития цифровых рынков выработка методологических подходов к анализу рынков, на которых обращение товара не связано с обращением материальных носителей, остается актуальной задачей.</w:t>
      </w:r>
    </w:p>
    <w:p w:rsidR="0068434D" w:rsidRPr="00961BCD" w:rsidRDefault="0068434D" w:rsidP="004D2C9E">
      <w:pPr>
        <w:pStyle w:val="Textbody"/>
        <w:widowControl/>
        <w:spacing w:after="0"/>
        <w:ind w:firstLine="709"/>
        <w:jc w:val="both"/>
        <w:rPr>
          <w:bCs/>
          <w:spacing w:val="-2"/>
          <w:sz w:val="28"/>
          <w:szCs w:val="28"/>
        </w:rPr>
      </w:pPr>
      <w:r w:rsidRPr="00961BCD">
        <w:rPr>
          <w:bCs/>
          <w:spacing w:val="-2"/>
          <w:sz w:val="28"/>
          <w:szCs w:val="28"/>
        </w:rPr>
        <w:t>На традиционных рынках, которые качественно изменились после внедрения на ни</w:t>
      </w:r>
      <w:r w:rsidR="003F5CF5" w:rsidRPr="00961BCD">
        <w:rPr>
          <w:bCs/>
          <w:spacing w:val="-2"/>
          <w:sz w:val="28"/>
          <w:szCs w:val="28"/>
        </w:rPr>
        <w:t>х</w:t>
      </w:r>
      <w:r w:rsidRPr="00961BCD">
        <w:rPr>
          <w:bCs/>
          <w:spacing w:val="-2"/>
          <w:sz w:val="28"/>
          <w:szCs w:val="28"/>
        </w:rPr>
        <w:t xml:space="preserve"> новых технологий, антимонопольному органу следует тщательно исследовать вопрос о взаимозаменяемости </w:t>
      </w:r>
      <w:r w:rsidR="004D2C9E" w:rsidRPr="00961BCD">
        <w:rPr>
          <w:bCs/>
          <w:spacing w:val="-2"/>
          <w:sz w:val="28"/>
          <w:szCs w:val="28"/>
        </w:rPr>
        <w:t>«</w:t>
      </w:r>
      <w:r w:rsidRPr="00961BCD">
        <w:rPr>
          <w:bCs/>
          <w:spacing w:val="-2"/>
          <w:sz w:val="28"/>
          <w:szCs w:val="28"/>
        </w:rPr>
        <w:t>старого</w:t>
      </w:r>
      <w:r w:rsidR="004D2C9E" w:rsidRPr="00961BCD">
        <w:rPr>
          <w:bCs/>
          <w:spacing w:val="-2"/>
          <w:sz w:val="28"/>
          <w:szCs w:val="28"/>
        </w:rPr>
        <w:t>»</w:t>
      </w:r>
      <w:r w:rsidRPr="00961BCD">
        <w:rPr>
          <w:bCs/>
          <w:spacing w:val="-2"/>
          <w:sz w:val="28"/>
          <w:szCs w:val="28"/>
        </w:rPr>
        <w:t>, традиционного способа получения товара или услуги и нового цифрового способа.</w:t>
      </w:r>
    </w:p>
    <w:p w:rsidR="0068434D" w:rsidRDefault="0068434D" w:rsidP="004D2C9E">
      <w:pPr>
        <w:pStyle w:val="Textbody"/>
        <w:widowControl/>
        <w:spacing w:after="0"/>
        <w:ind w:firstLine="709"/>
        <w:jc w:val="both"/>
        <w:rPr>
          <w:bCs/>
          <w:sz w:val="28"/>
          <w:szCs w:val="28"/>
        </w:rPr>
      </w:pPr>
      <w:r w:rsidRPr="005B1CCC">
        <w:rPr>
          <w:bCs/>
          <w:spacing w:val="-4"/>
          <w:sz w:val="28"/>
          <w:szCs w:val="28"/>
        </w:rPr>
        <w:t>Разумеется, универсального рецепта для такого определения нет, кроме того, цифровизация часто привносит дополнительную потребительскую ценность</w:t>
      </w:r>
      <w:r>
        <w:rPr>
          <w:bCs/>
          <w:sz w:val="28"/>
          <w:szCs w:val="28"/>
        </w:rPr>
        <w:t>.</w:t>
      </w:r>
    </w:p>
    <w:p w:rsidR="0068434D" w:rsidRPr="00691825" w:rsidRDefault="0068434D" w:rsidP="004D2C9E">
      <w:pPr>
        <w:pStyle w:val="Textbody"/>
        <w:widowControl/>
        <w:spacing w:after="0"/>
        <w:ind w:firstLine="709"/>
        <w:jc w:val="both"/>
        <w:rPr>
          <w:bCs/>
          <w:sz w:val="28"/>
          <w:szCs w:val="28"/>
        </w:rPr>
      </w:pPr>
      <w:r>
        <w:rPr>
          <w:bCs/>
          <w:sz w:val="28"/>
          <w:szCs w:val="28"/>
        </w:rPr>
        <w:t>Принимая во внимание быстрый рост проникновения смартфонов в Российской Федерации</w:t>
      </w:r>
      <w:r w:rsidR="003F5CF5">
        <w:rPr>
          <w:bCs/>
          <w:sz w:val="28"/>
          <w:szCs w:val="28"/>
        </w:rPr>
        <w:t>,</w:t>
      </w:r>
      <w:r>
        <w:rPr>
          <w:bCs/>
          <w:sz w:val="28"/>
          <w:szCs w:val="28"/>
        </w:rPr>
        <w:t xml:space="preserve"> ФАС России сделал</w:t>
      </w:r>
      <w:r w:rsidR="00C34626">
        <w:rPr>
          <w:bCs/>
          <w:sz w:val="28"/>
          <w:szCs w:val="28"/>
        </w:rPr>
        <w:t>а</w:t>
      </w:r>
      <w:r>
        <w:rPr>
          <w:bCs/>
          <w:sz w:val="28"/>
          <w:szCs w:val="28"/>
        </w:rPr>
        <w:t xml:space="preserve"> вывод о взаимозаменяемости обоих способов.</w:t>
      </w:r>
    </w:p>
    <w:p w:rsidR="0068434D" w:rsidRPr="00FD5FC4" w:rsidRDefault="003611BB" w:rsidP="003611BB">
      <w:pPr>
        <w:pStyle w:val="3"/>
        <w:jc w:val="center"/>
      </w:pPr>
      <w:bookmarkStart w:id="15" w:name="_Toc526253885"/>
      <w:r>
        <w:t>2.</w:t>
      </w:r>
      <w:r w:rsidR="00BD638F">
        <w:t>3.4. </w:t>
      </w:r>
      <w:r w:rsidR="0068434D" w:rsidRPr="00FD5FC4">
        <w:t>Особенности рассмотрения дел о нарушении антимонопольного законодательства</w:t>
      </w:r>
      <w:bookmarkEnd w:id="15"/>
    </w:p>
    <w:p w:rsidR="0068434D" w:rsidRDefault="0068434D" w:rsidP="004D2C9E">
      <w:pPr>
        <w:pStyle w:val="Textbody"/>
        <w:widowControl/>
        <w:spacing w:after="0"/>
        <w:ind w:firstLine="709"/>
        <w:jc w:val="both"/>
        <w:rPr>
          <w:bCs/>
          <w:sz w:val="28"/>
          <w:szCs w:val="28"/>
        </w:rPr>
      </w:pPr>
      <w:r w:rsidRPr="00DC1E09">
        <w:rPr>
          <w:bCs/>
          <w:sz w:val="28"/>
          <w:szCs w:val="28"/>
        </w:rPr>
        <w:t>Кроме роста производительности труда и распространени</w:t>
      </w:r>
      <w:r w:rsidR="003F5CF5">
        <w:rPr>
          <w:bCs/>
          <w:sz w:val="28"/>
          <w:szCs w:val="28"/>
        </w:rPr>
        <w:t>я</w:t>
      </w:r>
      <w:r w:rsidRPr="00DC1E09">
        <w:rPr>
          <w:bCs/>
          <w:sz w:val="28"/>
          <w:szCs w:val="28"/>
        </w:rPr>
        <w:t xml:space="preserve"> новых технологий, цифровая экономика несет с собой и существенные риски, связанные с появлением непреодолимых барьеров входа на рынки, создаваемых доминирующими игроками, в том числе через контроль ключ</w:t>
      </w:r>
      <w:r w:rsidR="006E1297">
        <w:rPr>
          <w:bCs/>
          <w:sz w:val="28"/>
          <w:szCs w:val="28"/>
        </w:rPr>
        <w:t>евых технологий. В связи с этим</w:t>
      </w:r>
      <w:r w:rsidRPr="00DC1E09">
        <w:rPr>
          <w:bCs/>
          <w:sz w:val="28"/>
          <w:szCs w:val="28"/>
        </w:rPr>
        <w:t xml:space="preserve"> в поле зрения антимонопольных органов традиционно остается контроль за злоупотреблением доминирующим положением в новых условиях.</w:t>
      </w:r>
    </w:p>
    <w:p w:rsidR="0068434D" w:rsidRDefault="0068434D" w:rsidP="004D2C9E">
      <w:pPr>
        <w:pStyle w:val="Textbody"/>
        <w:widowControl/>
        <w:spacing w:after="0"/>
        <w:ind w:firstLine="709"/>
        <w:jc w:val="both"/>
        <w:rPr>
          <w:bCs/>
          <w:sz w:val="28"/>
          <w:szCs w:val="28"/>
        </w:rPr>
      </w:pPr>
      <w:r>
        <w:rPr>
          <w:bCs/>
          <w:sz w:val="28"/>
          <w:szCs w:val="28"/>
        </w:rPr>
        <w:t>При рассмотрении дел антимонопольным органам необходимо выявить самые существенные факторы для развития рынка, чтобы в предписании дальновидно и эффективно сформировать те самые условия, которые обеспечат развитие конкуренции и инноваций.</w:t>
      </w:r>
    </w:p>
    <w:p w:rsidR="00851394" w:rsidRPr="00851394" w:rsidRDefault="00851394" w:rsidP="004D2C9E">
      <w:pPr>
        <w:pStyle w:val="4"/>
      </w:pPr>
      <w:r>
        <w:t>Республика Армения</w:t>
      </w:r>
    </w:p>
    <w:p w:rsidR="00851394" w:rsidRPr="00961BCD" w:rsidRDefault="00851394" w:rsidP="004D2C9E">
      <w:pPr>
        <w:pStyle w:val="Textbody"/>
        <w:widowControl/>
        <w:spacing w:after="0"/>
        <w:ind w:firstLine="709"/>
        <w:jc w:val="both"/>
        <w:rPr>
          <w:bCs/>
          <w:spacing w:val="-2"/>
          <w:sz w:val="28"/>
          <w:szCs w:val="28"/>
        </w:rPr>
      </w:pPr>
      <w:r w:rsidRPr="00961BCD">
        <w:rPr>
          <w:bCs/>
          <w:spacing w:val="-2"/>
          <w:sz w:val="28"/>
          <w:szCs w:val="28"/>
        </w:rPr>
        <w:t xml:space="preserve">В условиях стремительного развития цифровой экономики, где основной платформой оказания большинства услуг населению является Интернет, появляются нового рода проблемы, которые могут ограничить экономическую конкуренцию. В частности, встречаются такие случаи, когда хозяйствующие субъекты, действующие за пределами страны, в сфере оказания услуг населению данной страны посредством </w:t>
      </w:r>
      <w:r w:rsidR="006E1297" w:rsidRPr="00961BCD">
        <w:rPr>
          <w:bCs/>
          <w:spacing w:val="-2"/>
          <w:sz w:val="28"/>
          <w:szCs w:val="28"/>
        </w:rPr>
        <w:t>И</w:t>
      </w:r>
      <w:r w:rsidRPr="00961BCD">
        <w:rPr>
          <w:bCs/>
          <w:spacing w:val="-2"/>
          <w:sz w:val="28"/>
          <w:szCs w:val="28"/>
        </w:rPr>
        <w:t>нтернета могут приобрести конкуре</w:t>
      </w:r>
      <w:r w:rsidR="00520FAB" w:rsidRPr="00961BCD">
        <w:rPr>
          <w:bCs/>
          <w:spacing w:val="-2"/>
          <w:sz w:val="28"/>
          <w:szCs w:val="28"/>
        </w:rPr>
        <w:t>н</w:t>
      </w:r>
      <w:r w:rsidRPr="00961BCD">
        <w:rPr>
          <w:bCs/>
          <w:spacing w:val="-2"/>
          <w:sz w:val="28"/>
          <w:szCs w:val="28"/>
        </w:rPr>
        <w:t>тные преимущества по отношению к зарегистрированным в данной стране хозяйствующим субъектам и осуществляющи</w:t>
      </w:r>
      <w:r w:rsidR="006E1297" w:rsidRPr="00961BCD">
        <w:rPr>
          <w:bCs/>
          <w:spacing w:val="-2"/>
          <w:sz w:val="28"/>
          <w:szCs w:val="28"/>
        </w:rPr>
        <w:t>м</w:t>
      </w:r>
      <w:r w:rsidRPr="00961BCD">
        <w:rPr>
          <w:bCs/>
          <w:spacing w:val="-2"/>
          <w:sz w:val="28"/>
          <w:szCs w:val="28"/>
        </w:rPr>
        <w:t xml:space="preserve"> лицензированную деятельность. </w:t>
      </w:r>
    </w:p>
    <w:p w:rsidR="00851394" w:rsidRPr="00851394" w:rsidRDefault="006E1297" w:rsidP="006E1297">
      <w:pPr>
        <w:pStyle w:val="Textbody"/>
        <w:spacing w:after="0"/>
        <w:ind w:firstLine="709"/>
        <w:jc w:val="both"/>
        <w:rPr>
          <w:bCs/>
          <w:sz w:val="28"/>
          <w:szCs w:val="28"/>
        </w:rPr>
      </w:pPr>
      <w:r w:rsidRPr="006E1297">
        <w:rPr>
          <w:bCs/>
          <w:sz w:val="28"/>
          <w:szCs w:val="28"/>
        </w:rPr>
        <w:t>Комиссия</w:t>
      </w:r>
      <w:r>
        <w:rPr>
          <w:bCs/>
          <w:sz w:val="28"/>
          <w:szCs w:val="28"/>
        </w:rPr>
        <w:t xml:space="preserve"> в </w:t>
      </w:r>
      <w:r w:rsidR="00851394" w:rsidRPr="00851394">
        <w:rPr>
          <w:bCs/>
          <w:sz w:val="28"/>
          <w:szCs w:val="28"/>
        </w:rPr>
        <w:t>2017 году получила заявление от хозяйствующего субъекта, осуществляющего деятельнос</w:t>
      </w:r>
      <w:r>
        <w:rPr>
          <w:bCs/>
          <w:sz w:val="28"/>
          <w:szCs w:val="28"/>
        </w:rPr>
        <w:t>ть в сфере дистрибуции ведущих р</w:t>
      </w:r>
      <w:r w:rsidR="00851394" w:rsidRPr="00851394">
        <w:rPr>
          <w:bCs/>
          <w:sz w:val="28"/>
          <w:szCs w:val="28"/>
        </w:rPr>
        <w:t>оссийских телеканалов на территории Республики Армения. В заявлении указывается, что хозяйствующие субъекты, осуществляющие предпринимательскую деятельность за пределами территории Республики Армения и не имеющие соответствующе</w:t>
      </w:r>
      <w:r>
        <w:rPr>
          <w:bCs/>
          <w:sz w:val="28"/>
          <w:szCs w:val="28"/>
        </w:rPr>
        <w:t>го</w:t>
      </w:r>
      <w:r w:rsidR="00851394" w:rsidRPr="00851394">
        <w:rPr>
          <w:bCs/>
          <w:sz w:val="28"/>
          <w:szCs w:val="28"/>
        </w:rPr>
        <w:t xml:space="preserve"> разрешени</w:t>
      </w:r>
      <w:r>
        <w:rPr>
          <w:bCs/>
          <w:sz w:val="28"/>
          <w:szCs w:val="28"/>
        </w:rPr>
        <w:t>я</w:t>
      </w:r>
      <w:r w:rsidR="00851394" w:rsidRPr="00851394">
        <w:rPr>
          <w:bCs/>
          <w:sz w:val="28"/>
          <w:szCs w:val="28"/>
        </w:rPr>
        <w:t xml:space="preserve"> уполномоченных государственных органов Республики Армения, имеют возможность предоставить услуги ретрансляции программ телепередач с использованием новых технол</w:t>
      </w:r>
      <w:r>
        <w:rPr>
          <w:bCs/>
          <w:sz w:val="28"/>
          <w:szCs w:val="28"/>
        </w:rPr>
        <w:t>огий телекоммуникационных сетей,</w:t>
      </w:r>
      <w:r w:rsidR="00851394" w:rsidRPr="00851394">
        <w:rPr>
          <w:bCs/>
          <w:sz w:val="28"/>
          <w:szCs w:val="28"/>
        </w:rPr>
        <w:t xml:space="preserve"> </w:t>
      </w:r>
      <w:r>
        <w:rPr>
          <w:bCs/>
          <w:sz w:val="28"/>
          <w:szCs w:val="28"/>
        </w:rPr>
        <w:t>в частности</w:t>
      </w:r>
      <w:r w:rsidR="00851394" w:rsidRPr="00851394">
        <w:rPr>
          <w:bCs/>
          <w:sz w:val="28"/>
          <w:szCs w:val="28"/>
        </w:rPr>
        <w:t xml:space="preserve"> с применением метода предоставления видеоуслуг по технологии ОТТ (over the top)</w:t>
      </w:r>
      <w:r w:rsidR="004D2C9E">
        <w:rPr>
          <w:bCs/>
          <w:sz w:val="28"/>
          <w:szCs w:val="28"/>
        </w:rPr>
        <w:t xml:space="preserve"> </w:t>
      </w:r>
      <w:r>
        <w:rPr>
          <w:bCs/>
          <w:sz w:val="28"/>
          <w:szCs w:val="28"/>
        </w:rPr>
        <w:t>через И</w:t>
      </w:r>
      <w:r w:rsidR="00851394" w:rsidRPr="00851394">
        <w:rPr>
          <w:bCs/>
          <w:sz w:val="28"/>
          <w:szCs w:val="28"/>
        </w:rPr>
        <w:t>нтернет, что означает доставку видеосигнала от провайдера контента на устройство пользователя (приставк</w:t>
      </w:r>
      <w:r>
        <w:rPr>
          <w:bCs/>
          <w:sz w:val="28"/>
          <w:szCs w:val="28"/>
        </w:rPr>
        <w:t>а</w:t>
      </w:r>
      <w:r w:rsidR="00851394" w:rsidRPr="00851394">
        <w:rPr>
          <w:bCs/>
          <w:sz w:val="28"/>
          <w:szCs w:val="28"/>
        </w:rPr>
        <w:t>, компьютер, мобильный телефон) по сетям передачи данных, а также по технологии Кардшеринг (Cardsharing), т</w:t>
      </w:r>
      <w:r>
        <w:rPr>
          <w:bCs/>
          <w:sz w:val="28"/>
          <w:szCs w:val="28"/>
        </w:rPr>
        <w:t>.е</w:t>
      </w:r>
      <w:r w:rsidR="00F16CE6">
        <w:rPr>
          <w:bCs/>
          <w:sz w:val="28"/>
          <w:szCs w:val="28"/>
        </w:rPr>
        <w:t>.</w:t>
      </w:r>
      <w:r w:rsidR="00851394" w:rsidRPr="00851394">
        <w:rPr>
          <w:bCs/>
          <w:sz w:val="28"/>
          <w:szCs w:val="28"/>
        </w:rPr>
        <w:t xml:space="preserve"> через общий доступ или доступ по паролю в локальной сети </w:t>
      </w:r>
      <w:r w:rsidR="00851394" w:rsidRPr="005B1CCC">
        <w:rPr>
          <w:bCs/>
          <w:spacing w:val="-2"/>
          <w:sz w:val="28"/>
          <w:szCs w:val="28"/>
        </w:rPr>
        <w:t xml:space="preserve">или </w:t>
      </w:r>
      <w:r w:rsidRPr="005B1CCC">
        <w:rPr>
          <w:bCs/>
          <w:spacing w:val="-2"/>
          <w:sz w:val="28"/>
          <w:szCs w:val="28"/>
        </w:rPr>
        <w:t>И</w:t>
      </w:r>
      <w:r w:rsidR="00851394" w:rsidRPr="005B1CCC">
        <w:rPr>
          <w:bCs/>
          <w:spacing w:val="-2"/>
          <w:sz w:val="28"/>
          <w:szCs w:val="28"/>
        </w:rPr>
        <w:t>нтернет</w:t>
      </w:r>
      <w:r w:rsidRPr="005B1CCC">
        <w:rPr>
          <w:bCs/>
          <w:spacing w:val="-2"/>
          <w:sz w:val="28"/>
          <w:szCs w:val="28"/>
        </w:rPr>
        <w:t>е</w:t>
      </w:r>
      <w:r w:rsidR="00851394" w:rsidRPr="005B1CCC">
        <w:rPr>
          <w:bCs/>
          <w:spacing w:val="-2"/>
          <w:sz w:val="28"/>
          <w:szCs w:val="28"/>
        </w:rPr>
        <w:t xml:space="preserve"> при совместном использовании карты спутникового телевидения</w:t>
      </w:r>
      <w:r w:rsidR="00851394" w:rsidRPr="00851394">
        <w:rPr>
          <w:bCs/>
          <w:sz w:val="28"/>
          <w:szCs w:val="28"/>
        </w:rPr>
        <w:t>.</w:t>
      </w:r>
    </w:p>
    <w:p w:rsidR="00851394" w:rsidRPr="00851394" w:rsidRDefault="00851394" w:rsidP="000863D3">
      <w:pPr>
        <w:pStyle w:val="Textbody"/>
        <w:widowControl/>
        <w:spacing w:after="0" w:line="315" w:lineRule="exact"/>
        <w:ind w:firstLine="709"/>
        <w:jc w:val="both"/>
        <w:rPr>
          <w:bCs/>
          <w:sz w:val="28"/>
          <w:szCs w:val="28"/>
        </w:rPr>
      </w:pPr>
      <w:r w:rsidRPr="00851394">
        <w:rPr>
          <w:bCs/>
          <w:sz w:val="28"/>
          <w:szCs w:val="28"/>
        </w:rPr>
        <w:t xml:space="preserve">В ходе исследования Комиссия начала сотрудничать с Национальной </w:t>
      </w:r>
      <w:r w:rsidR="006E1297">
        <w:rPr>
          <w:bCs/>
          <w:sz w:val="28"/>
          <w:szCs w:val="28"/>
        </w:rPr>
        <w:t>к</w:t>
      </w:r>
      <w:r w:rsidRPr="00851394">
        <w:rPr>
          <w:bCs/>
          <w:sz w:val="28"/>
          <w:szCs w:val="28"/>
        </w:rPr>
        <w:t>омиссией по телевидению и радио Республики Армения для получения информации относительно лицензирования по трансляции телепередач с использованием специальных методов информационных технологий и технических возможност</w:t>
      </w:r>
      <w:r w:rsidR="006E1297">
        <w:rPr>
          <w:bCs/>
          <w:sz w:val="28"/>
          <w:szCs w:val="28"/>
        </w:rPr>
        <w:t>ей</w:t>
      </w:r>
      <w:r w:rsidRPr="00851394">
        <w:rPr>
          <w:bCs/>
          <w:sz w:val="28"/>
          <w:szCs w:val="28"/>
        </w:rPr>
        <w:t xml:space="preserve"> по выявлению и блокированию таких услуг, при котором субъекты</w:t>
      </w:r>
      <w:r w:rsidR="004D2C9E">
        <w:rPr>
          <w:bCs/>
          <w:sz w:val="28"/>
          <w:szCs w:val="28"/>
        </w:rPr>
        <w:t xml:space="preserve"> </w:t>
      </w:r>
      <w:r w:rsidRPr="00851394">
        <w:rPr>
          <w:bCs/>
          <w:sz w:val="28"/>
          <w:szCs w:val="28"/>
        </w:rPr>
        <w:t>попытаются войти или предоставить данные услуги на всей территории страны. В Республике Армения для трансляции и ретрансляции программы телепередач требуются специальные разрешения (лицензии) на телерадиовещание от предпринимателей,</w:t>
      </w:r>
      <w:r w:rsidR="006E1297">
        <w:rPr>
          <w:bCs/>
          <w:sz w:val="28"/>
          <w:szCs w:val="28"/>
        </w:rPr>
        <w:t xml:space="preserve"> как</w:t>
      </w:r>
      <w:r w:rsidRPr="00851394">
        <w:rPr>
          <w:bCs/>
          <w:sz w:val="28"/>
          <w:szCs w:val="28"/>
        </w:rPr>
        <w:t xml:space="preserve"> применяющих технические средства, так и использующих кабельную систему. Очевидно, что присутствие лицензированных и нелицензированных компаний на данном рынке создают неравные конкурентные условия для его участников. Данное исследование продолжается </w:t>
      </w:r>
      <w:r w:rsidR="00C60771">
        <w:rPr>
          <w:bCs/>
          <w:sz w:val="28"/>
          <w:szCs w:val="28"/>
        </w:rPr>
        <w:t>д</w:t>
      </w:r>
      <w:r w:rsidRPr="00851394">
        <w:rPr>
          <w:bCs/>
          <w:sz w:val="28"/>
          <w:szCs w:val="28"/>
        </w:rPr>
        <w:t xml:space="preserve">о </w:t>
      </w:r>
      <w:r w:rsidR="006E1297">
        <w:rPr>
          <w:bCs/>
          <w:sz w:val="28"/>
          <w:szCs w:val="28"/>
        </w:rPr>
        <w:t>настояще</w:t>
      </w:r>
      <w:r w:rsidR="00C60771">
        <w:rPr>
          <w:bCs/>
          <w:sz w:val="28"/>
          <w:szCs w:val="28"/>
        </w:rPr>
        <w:t>го</w:t>
      </w:r>
      <w:r w:rsidR="006E1297">
        <w:rPr>
          <w:bCs/>
          <w:sz w:val="28"/>
          <w:szCs w:val="28"/>
        </w:rPr>
        <w:t xml:space="preserve"> врем</w:t>
      </w:r>
      <w:r w:rsidR="00C60771">
        <w:rPr>
          <w:bCs/>
          <w:sz w:val="28"/>
          <w:szCs w:val="28"/>
        </w:rPr>
        <w:t>ени</w:t>
      </w:r>
      <w:r w:rsidRPr="00851394">
        <w:rPr>
          <w:bCs/>
          <w:sz w:val="28"/>
          <w:szCs w:val="28"/>
        </w:rPr>
        <w:t xml:space="preserve"> и имеет цель определить истинное состояние положения дел для создания равных условий и обеспечения добросовестной конкуренции между участниками. </w:t>
      </w:r>
    </w:p>
    <w:p w:rsidR="00851394" w:rsidRPr="00851394" w:rsidRDefault="00851394" w:rsidP="000863D3">
      <w:pPr>
        <w:pStyle w:val="Textbody"/>
        <w:widowControl/>
        <w:spacing w:after="0" w:line="315" w:lineRule="exact"/>
        <w:ind w:firstLine="709"/>
        <w:jc w:val="both"/>
        <w:rPr>
          <w:bCs/>
          <w:sz w:val="28"/>
          <w:szCs w:val="28"/>
        </w:rPr>
      </w:pPr>
      <w:r w:rsidRPr="00851394">
        <w:rPr>
          <w:bCs/>
          <w:sz w:val="28"/>
          <w:szCs w:val="28"/>
        </w:rPr>
        <w:t>Ввиду того, что существует тенденция развития и расширения ретрансляции телепередач подобным способом, возникает необходимость в изучении международного опыта, в том числе опыта государств</w:t>
      </w:r>
      <w:r w:rsidR="00520FAB">
        <w:rPr>
          <w:bCs/>
          <w:sz w:val="28"/>
          <w:szCs w:val="28"/>
        </w:rPr>
        <w:t xml:space="preserve"> – </w:t>
      </w:r>
      <w:r w:rsidRPr="00851394">
        <w:rPr>
          <w:bCs/>
          <w:sz w:val="28"/>
          <w:szCs w:val="28"/>
        </w:rPr>
        <w:t xml:space="preserve">участников СНГ относительно указанных вопросов. </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Электронная коммерция развивается ускоренными темпами и становится частью повседневной жизни. Все больше компаний пр</w:t>
      </w:r>
      <w:r w:rsidR="00A94749">
        <w:rPr>
          <w:bCs/>
          <w:sz w:val="28"/>
          <w:szCs w:val="28"/>
        </w:rPr>
        <w:t>едлагают товары и услуги через И</w:t>
      </w:r>
      <w:r w:rsidRPr="00851394">
        <w:rPr>
          <w:bCs/>
          <w:sz w:val="28"/>
          <w:szCs w:val="28"/>
        </w:rPr>
        <w:t>нтернет. И количество активных интернет-пользователей увеличивается с невероятной скоростью. Кроме того, быстро развивается электронная торговля между странами. Все чаще бизнес организуется с применением новых технологических</w:t>
      </w:r>
      <w:r w:rsidR="004D2C9E">
        <w:rPr>
          <w:bCs/>
          <w:sz w:val="28"/>
          <w:szCs w:val="28"/>
        </w:rPr>
        <w:t xml:space="preserve"> </w:t>
      </w:r>
      <w:r w:rsidRPr="00851394">
        <w:rPr>
          <w:bCs/>
          <w:sz w:val="28"/>
          <w:szCs w:val="28"/>
        </w:rPr>
        <w:t xml:space="preserve">инструментов. Однако растет и число проблем, связанных с </w:t>
      </w:r>
      <w:r w:rsidR="004D2C9E">
        <w:rPr>
          <w:bCs/>
          <w:sz w:val="28"/>
          <w:szCs w:val="28"/>
        </w:rPr>
        <w:t>«</w:t>
      </w:r>
      <w:r w:rsidRPr="00851394">
        <w:rPr>
          <w:bCs/>
          <w:sz w:val="28"/>
          <w:szCs w:val="28"/>
        </w:rPr>
        <w:t>электронной</w:t>
      </w:r>
      <w:r w:rsidR="004D2C9E">
        <w:rPr>
          <w:bCs/>
          <w:sz w:val="28"/>
          <w:szCs w:val="28"/>
        </w:rPr>
        <w:t>»</w:t>
      </w:r>
      <w:r w:rsidRPr="00851394">
        <w:rPr>
          <w:bCs/>
          <w:sz w:val="28"/>
          <w:szCs w:val="28"/>
        </w:rPr>
        <w:t xml:space="preserve"> предпринимательской деятельностью. </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Применение в конкурентной борьбе электронной коммерции для многих хозяйствующих субъектов становится одним из основных конкурентных ресурсов. Вопрос</w:t>
      </w:r>
      <w:r w:rsidR="00A94749">
        <w:rPr>
          <w:bCs/>
          <w:sz w:val="28"/>
          <w:szCs w:val="28"/>
        </w:rPr>
        <w:t>,</w:t>
      </w:r>
      <w:r w:rsidRPr="00851394">
        <w:rPr>
          <w:bCs/>
          <w:sz w:val="28"/>
          <w:szCs w:val="28"/>
        </w:rPr>
        <w:t xml:space="preserve"> каким образом участники электронной коммерции конкурируют друг с другом</w:t>
      </w:r>
      <w:r w:rsidR="00A94749">
        <w:rPr>
          <w:bCs/>
          <w:sz w:val="28"/>
          <w:szCs w:val="28"/>
        </w:rPr>
        <w:t>,</w:t>
      </w:r>
      <w:r w:rsidRPr="00851394">
        <w:rPr>
          <w:bCs/>
          <w:sz w:val="28"/>
          <w:szCs w:val="28"/>
        </w:rPr>
        <w:t xml:space="preserve"> сегодня очень актуален. Но при этом для конкуре</w:t>
      </w:r>
      <w:r w:rsidR="001E4879">
        <w:rPr>
          <w:bCs/>
          <w:sz w:val="28"/>
          <w:szCs w:val="28"/>
        </w:rPr>
        <w:t>н</w:t>
      </w:r>
      <w:r w:rsidRPr="00851394">
        <w:rPr>
          <w:bCs/>
          <w:sz w:val="28"/>
          <w:szCs w:val="28"/>
        </w:rPr>
        <w:t>тных органов важно учитывать</w:t>
      </w:r>
      <w:r w:rsidR="00A94749">
        <w:rPr>
          <w:bCs/>
          <w:sz w:val="28"/>
          <w:szCs w:val="28"/>
        </w:rPr>
        <w:t>,</w:t>
      </w:r>
      <w:r w:rsidRPr="00851394">
        <w:rPr>
          <w:bCs/>
          <w:sz w:val="28"/>
          <w:szCs w:val="28"/>
        </w:rPr>
        <w:t xml:space="preserve"> каким образом изменяются основные характеристики ведения бизнеса.</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Комиссия в 2016 году на основании заявлений ряда букмекерских контор проводила исследования относительно процесса принятия ставки от населения с помощью платежных терминалов. Согласно заявлению некоторые компании-нерезиденты, не имея лицензии, фактически могут без запрета осуществлять деятельность в Республике Армения, а также прин</w:t>
      </w:r>
      <w:r w:rsidR="00A94749">
        <w:rPr>
          <w:bCs/>
          <w:sz w:val="28"/>
          <w:szCs w:val="28"/>
        </w:rPr>
        <w:t>имать</w:t>
      </w:r>
      <w:r w:rsidRPr="00851394">
        <w:rPr>
          <w:bCs/>
          <w:sz w:val="28"/>
          <w:szCs w:val="28"/>
        </w:rPr>
        <w:t xml:space="preserve"> онлайн</w:t>
      </w:r>
      <w:r w:rsidR="00A94749">
        <w:rPr>
          <w:bCs/>
          <w:sz w:val="28"/>
          <w:szCs w:val="28"/>
        </w:rPr>
        <w:t>-</w:t>
      </w:r>
      <w:r w:rsidRPr="00851394">
        <w:rPr>
          <w:bCs/>
          <w:sz w:val="28"/>
          <w:szCs w:val="28"/>
        </w:rPr>
        <w:t xml:space="preserve">ставки с помощью платежных терминалов, действующих на территории Республики Армения. </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В соответствии с действующим законодательством Республики Армения организация и проведение интернет</w:t>
      </w:r>
      <w:r w:rsidR="00314FC0">
        <w:rPr>
          <w:bCs/>
          <w:sz w:val="28"/>
          <w:szCs w:val="28"/>
        </w:rPr>
        <w:t>-</w:t>
      </w:r>
      <w:r w:rsidRPr="00851394">
        <w:rPr>
          <w:bCs/>
          <w:sz w:val="28"/>
          <w:szCs w:val="28"/>
        </w:rPr>
        <w:t>игр с выигрышами – лицензируемая деятельность. Однако принятие онлайн</w:t>
      </w:r>
      <w:r w:rsidR="00314FC0">
        <w:rPr>
          <w:bCs/>
          <w:sz w:val="28"/>
          <w:szCs w:val="28"/>
        </w:rPr>
        <w:t>-</w:t>
      </w:r>
      <w:r w:rsidRPr="00851394">
        <w:rPr>
          <w:bCs/>
          <w:sz w:val="28"/>
          <w:szCs w:val="28"/>
        </w:rPr>
        <w:t>ставок из Республики Армения букмекерски</w:t>
      </w:r>
      <w:r w:rsidR="00314FC0">
        <w:rPr>
          <w:bCs/>
          <w:sz w:val="28"/>
          <w:szCs w:val="28"/>
        </w:rPr>
        <w:t>ми</w:t>
      </w:r>
      <w:r w:rsidRPr="00851394">
        <w:rPr>
          <w:bCs/>
          <w:sz w:val="28"/>
          <w:szCs w:val="28"/>
        </w:rPr>
        <w:t xml:space="preserve"> контор</w:t>
      </w:r>
      <w:r w:rsidR="00314FC0">
        <w:rPr>
          <w:bCs/>
          <w:sz w:val="28"/>
          <w:szCs w:val="28"/>
        </w:rPr>
        <w:t>ами</w:t>
      </w:r>
      <w:r w:rsidRPr="00851394">
        <w:rPr>
          <w:bCs/>
          <w:sz w:val="28"/>
          <w:szCs w:val="28"/>
        </w:rPr>
        <w:t>, которые постоянно зарегистрированы и осуществляют деятельность в другом государстве</w:t>
      </w:r>
      <w:r w:rsidR="00314FC0">
        <w:rPr>
          <w:bCs/>
          <w:sz w:val="28"/>
          <w:szCs w:val="28"/>
        </w:rPr>
        <w:t>,</w:t>
      </w:r>
      <w:r w:rsidRPr="00851394">
        <w:rPr>
          <w:bCs/>
          <w:sz w:val="28"/>
          <w:szCs w:val="28"/>
        </w:rPr>
        <w:t xml:space="preserve"> не блокировано. Следовательно, их деятельность становится доступн</w:t>
      </w:r>
      <w:r w:rsidR="00314FC0">
        <w:rPr>
          <w:bCs/>
          <w:sz w:val="28"/>
          <w:szCs w:val="28"/>
        </w:rPr>
        <w:t>ой</w:t>
      </w:r>
      <w:r w:rsidRPr="00851394">
        <w:rPr>
          <w:bCs/>
          <w:sz w:val="28"/>
          <w:szCs w:val="28"/>
        </w:rPr>
        <w:t xml:space="preserve"> в Республике Армения. </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Важно отметит</w:t>
      </w:r>
      <w:r w:rsidR="00314FC0">
        <w:rPr>
          <w:bCs/>
          <w:sz w:val="28"/>
          <w:szCs w:val="28"/>
        </w:rPr>
        <w:t>ь, что организатор азартных игр</w:t>
      </w:r>
      <w:r w:rsidRPr="00851394">
        <w:rPr>
          <w:bCs/>
          <w:sz w:val="28"/>
          <w:szCs w:val="28"/>
        </w:rPr>
        <w:t xml:space="preserve"> согласно Закону Республики Армения </w:t>
      </w:r>
      <w:r w:rsidR="004D2C9E">
        <w:rPr>
          <w:bCs/>
          <w:sz w:val="28"/>
          <w:szCs w:val="28"/>
        </w:rPr>
        <w:t>«</w:t>
      </w:r>
      <w:r w:rsidRPr="00851394">
        <w:rPr>
          <w:bCs/>
          <w:sz w:val="28"/>
          <w:szCs w:val="28"/>
        </w:rPr>
        <w:t>О государственной пошлине</w:t>
      </w:r>
      <w:r w:rsidR="004D2C9E">
        <w:rPr>
          <w:bCs/>
          <w:sz w:val="28"/>
          <w:szCs w:val="28"/>
        </w:rPr>
        <w:t>»</w:t>
      </w:r>
      <w:r w:rsidRPr="00851394">
        <w:rPr>
          <w:bCs/>
          <w:sz w:val="28"/>
          <w:szCs w:val="28"/>
        </w:rPr>
        <w:t xml:space="preserve"> после получения лицензии на игорную деятельность ежегодно выплачивает государственную пошлину. В зависимости от сферы деятельности компании размер пошлины различается. Таким образом, хозяйствующие субъекты, которые не зарегистрированы в Республике Армения, имеют конкурентное преимущество, и их условия ведения бизнеса выгодно отличаются от других аналогичных субъектов, зарегистрированных на территории Республики Армения.</w:t>
      </w:r>
      <w:r w:rsidR="004D2C9E">
        <w:rPr>
          <w:bCs/>
          <w:sz w:val="28"/>
          <w:szCs w:val="28"/>
        </w:rPr>
        <w:t xml:space="preserve"> </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 xml:space="preserve">Таким образом, практика показывает, что, игнорируя специфику процессов электронной коммерции, действующее законодательство Республики Армения не только не обеспечивает должный уровень правовой защиты предпринимательской деятельности в </w:t>
      </w:r>
      <w:r w:rsidR="00314FC0">
        <w:rPr>
          <w:bCs/>
          <w:sz w:val="28"/>
          <w:szCs w:val="28"/>
        </w:rPr>
        <w:t>И</w:t>
      </w:r>
      <w:r w:rsidRPr="00851394">
        <w:rPr>
          <w:bCs/>
          <w:sz w:val="28"/>
          <w:szCs w:val="28"/>
        </w:rPr>
        <w:t>нтернет</w:t>
      </w:r>
      <w:r w:rsidR="00314FC0">
        <w:rPr>
          <w:bCs/>
          <w:sz w:val="28"/>
          <w:szCs w:val="28"/>
        </w:rPr>
        <w:t>е</w:t>
      </w:r>
      <w:r w:rsidRPr="00851394">
        <w:rPr>
          <w:bCs/>
          <w:sz w:val="28"/>
          <w:szCs w:val="28"/>
        </w:rPr>
        <w:t>, но и само по себе может нередко становиться инструментом недобросовестной конкурентной борьбы.</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 xml:space="preserve">Комиссия в ходе проведения исследования также изучила опыт зарубежных коллег в данной сфере. Например, в соответствии с законодательством Российской Федерации </w:t>
      </w:r>
      <w:r w:rsidR="00314FC0">
        <w:rPr>
          <w:bCs/>
          <w:sz w:val="28"/>
          <w:szCs w:val="28"/>
        </w:rPr>
        <w:t xml:space="preserve">на </w:t>
      </w:r>
      <w:r w:rsidRPr="00851394">
        <w:rPr>
          <w:bCs/>
          <w:sz w:val="28"/>
          <w:szCs w:val="28"/>
        </w:rPr>
        <w:t xml:space="preserve">ведение легального букмекерского бизнеса в </w:t>
      </w:r>
      <w:r w:rsidR="00314FC0">
        <w:rPr>
          <w:bCs/>
          <w:sz w:val="28"/>
          <w:szCs w:val="28"/>
        </w:rPr>
        <w:t>И</w:t>
      </w:r>
      <w:r w:rsidRPr="00851394">
        <w:rPr>
          <w:bCs/>
          <w:sz w:val="28"/>
          <w:szCs w:val="28"/>
        </w:rPr>
        <w:t xml:space="preserve">нтернете требуется не только специальное разрешение (лицензия), выданная Федеральной налоговой службой, но и обязательное членство в </w:t>
      </w:r>
      <w:r w:rsidR="002971ED">
        <w:rPr>
          <w:bCs/>
          <w:sz w:val="28"/>
          <w:szCs w:val="28"/>
        </w:rPr>
        <w:t>С</w:t>
      </w:r>
      <w:r w:rsidRPr="00851394">
        <w:rPr>
          <w:bCs/>
          <w:sz w:val="28"/>
          <w:szCs w:val="28"/>
        </w:rPr>
        <w:t>аморегулируемой организации букмекеров. Зарубежные онлайн-букмекеры также могут получить лицензию, но для этого они должны создать в России юридическое лицо, перенести процессинговые центры, работающие на российский рынок, и также вступить в Саморегулируемую организацию букмекеров.</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Правовое регулирование организации и проведения интернет</w:t>
      </w:r>
      <w:r w:rsidR="00064124">
        <w:rPr>
          <w:bCs/>
          <w:sz w:val="28"/>
          <w:szCs w:val="28"/>
        </w:rPr>
        <w:t>-</w:t>
      </w:r>
      <w:r w:rsidRPr="00851394">
        <w:rPr>
          <w:bCs/>
          <w:sz w:val="28"/>
          <w:szCs w:val="28"/>
        </w:rPr>
        <w:t>игр с выигрышами в государствах</w:t>
      </w:r>
      <w:r w:rsidR="00064124">
        <w:rPr>
          <w:bCs/>
          <w:sz w:val="28"/>
          <w:szCs w:val="28"/>
        </w:rPr>
        <w:t xml:space="preserve"> – членах</w:t>
      </w:r>
      <w:r w:rsidRPr="00851394">
        <w:rPr>
          <w:bCs/>
          <w:sz w:val="28"/>
          <w:szCs w:val="28"/>
        </w:rPr>
        <w:t xml:space="preserve"> Европейского союз</w:t>
      </w:r>
      <w:r w:rsidR="00064124">
        <w:rPr>
          <w:bCs/>
          <w:sz w:val="28"/>
          <w:szCs w:val="28"/>
        </w:rPr>
        <w:t>а</w:t>
      </w:r>
      <w:r w:rsidRPr="00851394">
        <w:rPr>
          <w:bCs/>
          <w:sz w:val="28"/>
          <w:szCs w:val="28"/>
        </w:rPr>
        <w:t xml:space="preserve"> тоже име</w:t>
      </w:r>
      <w:r w:rsidR="00064124">
        <w:rPr>
          <w:bCs/>
          <w:sz w:val="28"/>
          <w:szCs w:val="28"/>
        </w:rPr>
        <w:t>е</w:t>
      </w:r>
      <w:r w:rsidRPr="00851394">
        <w:rPr>
          <w:bCs/>
          <w:sz w:val="28"/>
          <w:szCs w:val="28"/>
        </w:rPr>
        <w:t>т строгие ограничения. В Евросоюзе данн</w:t>
      </w:r>
      <w:r w:rsidR="00064124">
        <w:rPr>
          <w:bCs/>
          <w:sz w:val="28"/>
          <w:szCs w:val="28"/>
        </w:rPr>
        <w:t>ая</w:t>
      </w:r>
      <w:r w:rsidRPr="00851394">
        <w:rPr>
          <w:bCs/>
          <w:sz w:val="28"/>
          <w:szCs w:val="28"/>
        </w:rPr>
        <w:t xml:space="preserve"> деятельность подлежит обязательному лицензированию. </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Осуществление предпринимательской деятельности без государственной регистрации или без специального разрешения (лицензии)</w:t>
      </w:r>
      <w:r w:rsidR="00064124">
        <w:rPr>
          <w:bCs/>
          <w:sz w:val="28"/>
          <w:szCs w:val="28"/>
        </w:rPr>
        <w:t>,</w:t>
      </w:r>
      <w:r w:rsidRPr="00851394">
        <w:rPr>
          <w:bCs/>
          <w:sz w:val="28"/>
          <w:szCs w:val="28"/>
        </w:rPr>
        <w:t xml:space="preserve"> или с нарушением предусмотренных в нем требований и условий влечет за собой применение различных мер ответственности в зависимости от национальных</w:t>
      </w:r>
      <w:r w:rsidR="004D2C9E">
        <w:rPr>
          <w:bCs/>
          <w:sz w:val="28"/>
          <w:szCs w:val="28"/>
        </w:rPr>
        <w:t xml:space="preserve"> </w:t>
      </w:r>
      <w:r w:rsidRPr="00851394">
        <w:rPr>
          <w:bCs/>
          <w:sz w:val="28"/>
          <w:szCs w:val="28"/>
        </w:rPr>
        <w:t>норм законодательства, начиная с наложения административного штрафа и блокировки электронных адресов до применения уголовного наказания. Например, Комиссия по игорному бизнесу Бельгии сможет требовать от интернет</w:t>
      </w:r>
      <w:r w:rsidR="00CF6C98">
        <w:rPr>
          <w:bCs/>
          <w:sz w:val="28"/>
          <w:szCs w:val="28"/>
        </w:rPr>
        <w:t>-</w:t>
      </w:r>
      <w:r w:rsidRPr="00851394">
        <w:rPr>
          <w:bCs/>
          <w:sz w:val="28"/>
          <w:szCs w:val="28"/>
        </w:rPr>
        <w:t>провайдеров заблокировать интернет</w:t>
      </w:r>
      <w:r w:rsidR="00CF6C98">
        <w:rPr>
          <w:bCs/>
          <w:sz w:val="28"/>
          <w:szCs w:val="28"/>
        </w:rPr>
        <w:t>-</w:t>
      </w:r>
      <w:r w:rsidRPr="00851394">
        <w:rPr>
          <w:bCs/>
          <w:sz w:val="28"/>
          <w:szCs w:val="28"/>
        </w:rPr>
        <w:t>адреса предпринимателей, которые организовали азартные игры без соответствующей лицензии. Более того, Комиссия по игорному бизнесу сотрудничает с Федеральной государственной службой финан</w:t>
      </w:r>
      <w:r w:rsidR="00064124">
        <w:rPr>
          <w:bCs/>
          <w:sz w:val="28"/>
          <w:szCs w:val="28"/>
        </w:rPr>
        <w:t>сов Королевства Бельгия</w:t>
      </w:r>
      <w:r w:rsidRPr="00851394">
        <w:rPr>
          <w:bCs/>
          <w:sz w:val="28"/>
          <w:szCs w:val="28"/>
        </w:rPr>
        <w:t xml:space="preserve"> для аннулирования или отмены сделок организаторов незаконных азартных игр. </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 xml:space="preserve">Более строгие правила применяются </w:t>
      </w:r>
      <w:r w:rsidR="00064124">
        <w:rPr>
          <w:bCs/>
          <w:sz w:val="28"/>
          <w:szCs w:val="28"/>
        </w:rPr>
        <w:t>в Королевстве Дания</w:t>
      </w:r>
      <w:r w:rsidRPr="00851394">
        <w:rPr>
          <w:bCs/>
          <w:sz w:val="28"/>
          <w:szCs w:val="28"/>
        </w:rPr>
        <w:t xml:space="preserve">. Организация азартных игр без соответствующего разрешения наказывается штрафом или лишением свободы </w:t>
      </w:r>
      <w:r w:rsidR="00064124">
        <w:rPr>
          <w:bCs/>
          <w:sz w:val="28"/>
          <w:szCs w:val="28"/>
        </w:rPr>
        <w:t xml:space="preserve">сроком на один год, </w:t>
      </w:r>
      <w:r w:rsidRPr="00851394">
        <w:rPr>
          <w:bCs/>
          <w:sz w:val="28"/>
          <w:szCs w:val="28"/>
        </w:rPr>
        <w:t>предоставление помещения в общественных местах для таких игр предусматривает штраф или заключение под стражу на шесть месяцев, а уже участие в играх карается штрафом.</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Следующие типичные проблемы, с которыми приходилось сталкиваться</w:t>
      </w:r>
      <w:r w:rsidR="00064124">
        <w:rPr>
          <w:bCs/>
          <w:sz w:val="28"/>
          <w:szCs w:val="28"/>
        </w:rPr>
        <w:t>,</w:t>
      </w:r>
      <w:r w:rsidRPr="00851394">
        <w:rPr>
          <w:bCs/>
          <w:sz w:val="28"/>
          <w:szCs w:val="28"/>
        </w:rPr>
        <w:t xml:space="preserve"> относятся к действиям и поведению хозяйствующих субъектов, которые вводят или могут ввест</w:t>
      </w:r>
      <w:r w:rsidR="00CF6C98">
        <w:rPr>
          <w:bCs/>
          <w:sz w:val="28"/>
          <w:szCs w:val="28"/>
        </w:rPr>
        <w:t xml:space="preserve">и потребителей в заблуждение. </w:t>
      </w:r>
    </w:p>
    <w:p w:rsidR="00851394" w:rsidRPr="00851394" w:rsidRDefault="00851394" w:rsidP="00961BCD">
      <w:pPr>
        <w:pStyle w:val="Textbody"/>
        <w:widowControl/>
        <w:spacing w:after="0" w:line="315" w:lineRule="exact"/>
        <w:ind w:firstLine="709"/>
        <w:jc w:val="both"/>
        <w:rPr>
          <w:bCs/>
          <w:sz w:val="28"/>
          <w:szCs w:val="28"/>
        </w:rPr>
      </w:pPr>
      <w:r w:rsidRPr="00851394">
        <w:rPr>
          <w:bCs/>
          <w:sz w:val="28"/>
          <w:szCs w:val="28"/>
        </w:rPr>
        <w:t>Во многих странах мобильные телефоны или смартфоны стали неотъемлемой частью повседневной жизни большей части населения. Они не только используются как средство общения, но и как карманный персональный компьютер, например</w:t>
      </w:r>
      <w:r w:rsidR="00520FAB">
        <w:rPr>
          <w:bCs/>
          <w:sz w:val="28"/>
          <w:szCs w:val="28"/>
        </w:rPr>
        <w:t>,</w:t>
      </w:r>
      <w:r w:rsidRPr="00851394">
        <w:rPr>
          <w:bCs/>
          <w:sz w:val="28"/>
          <w:szCs w:val="28"/>
        </w:rPr>
        <w:t xml:space="preserve"> для осуществления банковских переводов и мобильных платежей, чтения или просмотра новостей, определения географических координат в пространстве и отображения их на карте и </w:t>
      </w:r>
      <w:r w:rsidR="00064124">
        <w:rPr>
          <w:bCs/>
          <w:sz w:val="28"/>
          <w:szCs w:val="28"/>
        </w:rPr>
        <w:t>т</w:t>
      </w:r>
      <w:r w:rsidR="00C60771">
        <w:rPr>
          <w:bCs/>
          <w:sz w:val="28"/>
          <w:szCs w:val="28"/>
        </w:rPr>
        <w:t>.</w:t>
      </w:r>
      <w:r w:rsidR="00064124">
        <w:rPr>
          <w:bCs/>
          <w:sz w:val="28"/>
          <w:szCs w:val="28"/>
        </w:rPr>
        <w:t>д</w:t>
      </w:r>
      <w:r w:rsidRPr="00851394">
        <w:rPr>
          <w:bCs/>
          <w:sz w:val="28"/>
          <w:szCs w:val="28"/>
        </w:rPr>
        <w:t xml:space="preserve">. Вместе с тем реклама, размещенная в </w:t>
      </w:r>
      <w:r w:rsidR="00064124">
        <w:rPr>
          <w:bCs/>
          <w:sz w:val="28"/>
          <w:szCs w:val="28"/>
        </w:rPr>
        <w:t>И</w:t>
      </w:r>
      <w:r w:rsidRPr="00851394">
        <w:rPr>
          <w:bCs/>
          <w:sz w:val="28"/>
          <w:szCs w:val="28"/>
        </w:rPr>
        <w:t>нтернет</w:t>
      </w:r>
      <w:r w:rsidR="00064124">
        <w:rPr>
          <w:bCs/>
          <w:sz w:val="28"/>
          <w:szCs w:val="28"/>
        </w:rPr>
        <w:t>е</w:t>
      </w:r>
      <w:r w:rsidR="00C60771">
        <w:rPr>
          <w:bCs/>
          <w:sz w:val="28"/>
          <w:szCs w:val="28"/>
        </w:rPr>
        <w:t>,</w:t>
      </w:r>
      <w:r w:rsidRPr="00851394">
        <w:rPr>
          <w:bCs/>
          <w:sz w:val="28"/>
          <w:szCs w:val="28"/>
        </w:rPr>
        <w:t xml:space="preserve"> и СМС-реклама абонентам на мобильный телефон стали самыми современными и модными формами рекламы с использованием новых технологий.</w:t>
      </w:r>
    </w:p>
    <w:p w:rsidR="00851394" w:rsidRDefault="00851394" w:rsidP="00961BCD">
      <w:pPr>
        <w:pStyle w:val="Textbody"/>
        <w:widowControl/>
        <w:spacing w:after="0" w:line="315" w:lineRule="exact"/>
        <w:ind w:firstLine="709"/>
        <w:jc w:val="both"/>
        <w:rPr>
          <w:bCs/>
          <w:sz w:val="28"/>
          <w:szCs w:val="28"/>
        </w:rPr>
      </w:pPr>
      <w:r w:rsidRPr="00851394">
        <w:rPr>
          <w:bCs/>
          <w:sz w:val="28"/>
          <w:szCs w:val="28"/>
        </w:rPr>
        <w:t>В марте 2017 года Комиссия завершила исследование в области рекламы и</w:t>
      </w:r>
      <w:r w:rsidR="00064124">
        <w:rPr>
          <w:bCs/>
          <w:sz w:val="28"/>
          <w:szCs w:val="28"/>
        </w:rPr>
        <w:t xml:space="preserve"> о</w:t>
      </w:r>
      <w:r w:rsidRPr="00851394">
        <w:rPr>
          <w:bCs/>
          <w:sz w:val="28"/>
          <w:szCs w:val="28"/>
        </w:rPr>
        <w:t xml:space="preserve"> размещении информации о скидках в </w:t>
      </w:r>
      <w:r w:rsidR="00064124">
        <w:rPr>
          <w:bCs/>
          <w:sz w:val="28"/>
          <w:szCs w:val="28"/>
        </w:rPr>
        <w:t>И</w:t>
      </w:r>
      <w:r w:rsidRPr="00851394">
        <w:rPr>
          <w:bCs/>
          <w:sz w:val="28"/>
          <w:szCs w:val="28"/>
        </w:rPr>
        <w:t>нтернете, приняв ряд решений по прекращению недобросовестной конкуренции и устранению ее последствий.</w:t>
      </w:r>
    </w:p>
    <w:p w:rsidR="0068434D" w:rsidRPr="005C274D" w:rsidRDefault="0068434D" w:rsidP="00961BCD">
      <w:pPr>
        <w:pStyle w:val="4"/>
        <w:spacing w:line="315" w:lineRule="exact"/>
      </w:pPr>
      <w:r w:rsidRPr="005C274D">
        <w:t>Кыргызская Республика</w:t>
      </w:r>
    </w:p>
    <w:p w:rsidR="0068434D" w:rsidRDefault="0068434D" w:rsidP="00961BCD">
      <w:pPr>
        <w:pStyle w:val="Textbody"/>
        <w:widowControl/>
        <w:spacing w:after="0" w:line="315" w:lineRule="exact"/>
        <w:ind w:firstLine="709"/>
        <w:jc w:val="both"/>
        <w:rPr>
          <w:bCs/>
          <w:sz w:val="28"/>
          <w:szCs w:val="28"/>
        </w:rPr>
      </w:pPr>
      <w:r>
        <w:rPr>
          <w:bCs/>
          <w:sz w:val="28"/>
          <w:szCs w:val="28"/>
        </w:rPr>
        <w:t>Одним</w:t>
      </w:r>
      <w:r w:rsidR="009474CC">
        <w:rPr>
          <w:bCs/>
          <w:sz w:val="28"/>
          <w:szCs w:val="28"/>
        </w:rPr>
        <w:t xml:space="preserve"> из условий развития инноваций </w:t>
      </w:r>
      <w:r>
        <w:rPr>
          <w:bCs/>
          <w:sz w:val="28"/>
          <w:szCs w:val="28"/>
        </w:rPr>
        <w:t>является формирование базисной информационной инфраструктуры, функционирующей на справедливых и недискриминационных условиях.</w:t>
      </w:r>
    </w:p>
    <w:p w:rsidR="0068434D" w:rsidRPr="005C274D" w:rsidRDefault="0068434D" w:rsidP="00961BCD">
      <w:pPr>
        <w:pStyle w:val="Textbody"/>
        <w:widowControl/>
        <w:spacing w:after="0" w:line="315" w:lineRule="exact"/>
        <w:ind w:firstLine="709"/>
        <w:jc w:val="both"/>
        <w:rPr>
          <w:bCs/>
          <w:sz w:val="28"/>
          <w:szCs w:val="28"/>
        </w:rPr>
      </w:pPr>
      <w:r w:rsidRPr="005C274D">
        <w:rPr>
          <w:bCs/>
          <w:sz w:val="28"/>
          <w:szCs w:val="28"/>
        </w:rPr>
        <w:t>Кыргызстан</w:t>
      </w:r>
      <w:r w:rsidR="009474CC">
        <w:rPr>
          <w:bCs/>
          <w:sz w:val="28"/>
          <w:szCs w:val="28"/>
        </w:rPr>
        <w:t>,</w:t>
      </w:r>
      <w:r w:rsidRPr="005C274D">
        <w:rPr>
          <w:bCs/>
          <w:sz w:val="28"/>
          <w:szCs w:val="28"/>
        </w:rPr>
        <w:t xml:space="preserve"> как и другие государства</w:t>
      </w:r>
      <w:r w:rsidR="00C60771">
        <w:rPr>
          <w:bCs/>
          <w:sz w:val="28"/>
          <w:szCs w:val="28"/>
        </w:rPr>
        <w:t>,</w:t>
      </w:r>
      <w:r w:rsidRPr="005C274D">
        <w:rPr>
          <w:bCs/>
          <w:sz w:val="28"/>
          <w:szCs w:val="28"/>
        </w:rPr>
        <w:t xml:space="preserve"> столкнулся также и с негативной стороной коммуникаций. Так</w:t>
      </w:r>
      <w:r w:rsidR="009474CC">
        <w:rPr>
          <w:bCs/>
          <w:sz w:val="28"/>
          <w:szCs w:val="28"/>
        </w:rPr>
        <w:t>,</w:t>
      </w:r>
      <w:r w:rsidRPr="005C274D">
        <w:rPr>
          <w:bCs/>
          <w:sz w:val="28"/>
          <w:szCs w:val="28"/>
        </w:rPr>
        <w:t xml:space="preserve"> первым опытом антиконкурентной деятельности</w:t>
      </w:r>
      <w:r w:rsidR="004D2C9E">
        <w:rPr>
          <w:bCs/>
          <w:sz w:val="28"/>
          <w:szCs w:val="28"/>
        </w:rPr>
        <w:t xml:space="preserve"> </w:t>
      </w:r>
      <w:r w:rsidRPr="005C274D">
        <w:rPr>
          <w:bCs/>
          <w:sz w:val="28"/>
          <w:szCs w:val="28"/>
        </w:rPr>
        <w:t>стало выявление в 2016 году сговора на рынке интернет</w:t>
      </w:r>
      <w:r w:rsidR="009474CC">
        <w:rPr>
          <w:bCs/>
          <w:sz w:val="28"/>
          <w:szCs w:val="28"/>
        </w:rPr>
        <w:t>-</w:t>
      </w:r>
      <w:r w:rsidRPr="005C274D">
        <w:rPr>
          <w:bCs/>
          <w:sz w:val="28"/>
          <w:szCs w:val="28"/>
        </w:rPr>
        <w:t>услуг со стороны казахстанских интернет-провайдеров.</w:t>
      </w:r>
    </w:p>
    <w:p w:rsidR="0068434D" w:rsidRPr="005C274D" w:rsidRDefault="0068434D" w:rsidP="004D2C9E">
      <w:pPr>
        <w:pStyle w:val="Textbody"/>
        <w:widowControl/>
        <w:spacing w:after="0"/>
        <w:ind w:firstLine="709"/>
        <w:jc w:val="both"/>
        <w:rPr>
          <w:bCs/>
          <w:sz w:val="28"/>
          <w:szCs w:val="28"/>
        </w:rPr>
      </w:pPr>
      <w:r w:rsidRPr="005C274D">
        <w:rPr>
          <w:bCs/>
          <w:sz w:val="28"/>
          <w:szCs w:val="28"/>
        </w:rPr>
        <w:t>В июле 2016 года на трансграничных переходах трафика передачи данных (интернет) возникла угроза создания экономических барьеров в Кыргызстане и Казахстане. Практически все казахстанские интернет</w:t>
      </w:r>
      <w:r w:rsidR="009474CC">
        <w:rPr>
          <w:bCs/>
          <w:sz w:val="28"/>
          <w:szCs w:val="28"/>
        </w:rPr>
        <w:t>-</w:t>
      </w:r>
      <w:r w:rsidRPr="005C274D">
        <w:rPr>
          <w:bCs/>
          <w:sz w:val="28"/>
          <w:szCs w:val="28"/>
        </w:rPr>
        <w:t>провайдеры один за другим начали оповещать операторов электросвязи Кыргызской Республики об увеличении стоимости услуг аренды внешнего интернет-канала с 1 августа 2016</w:t>
      </w:r>
      <w:r w:rsidR="00CF6C98">
        <w:rPr>
          <w:bCs/>
          <w:sz w:val="28"/>
          <w:szCs w:val="28"/>
        </w:rPr>
        <w:t> </w:t>
      </w:r>
      <w:r w:rsidRPr="005C274D">
        <w:rPr>
          <w:bCs/>
          <w:sz w:val="28"/>
          <w:szCs w:val="28"/>
        </w:rPr>
        <w:t>года без каких</w:t>
      </w:r>
      <w:r w:rsidR="001123EA">
        <w:rPr>
          <w:bCs/>
          <w:sz w:val="28"/>
          <w:szCs w:val="28"/>
        </w:rPr>
        <w:t>-</w:t>
      </w:r>
      <w:r w:rsidRPr="005C274D">
        <w:rPr>
          <w:bCs/>
          <w:sz w:val="28"/>
          <w:szCs w:val="28"/>
        </w:rPr>
        <w:t>либо объяснений.</w:t>
      </w:r>
    </w:p>
    <w:p w:rsidR="0068434D" w:rsidRPr="005C274D" w:rsidRDefault="0068434D" w:rsidP="004D2C9E">
      <w:pPr>
        <w:pStyle w:val="Textbody"/>
        <w:widowControl/>
        <w:spacing w:after="0"/>
        <w:ind w:firstLine="709"/>
        <w:jc w:val="both"/>
        <w:rPr>
          <w:bCs/>
          <w:sz w:val="28"/>
          <w:szCs w:val="28"/>
        </w:rPr>
      </w:pPr>
      <w:r w:rsidRPr="005C274D">
        <w:rPr>
          <w:bCs/>
          <w:sz w:val="28"/>
          <w:szCs w:val="28"/>
        </w:rPr>
        <w:t>В действиях казахстанских интернет</w:t>
      </w:r>
      <w:r w:rsidR="009474CC">
        <w:rPr>
          <w:bCs/>
          <w:sz w:val="28"/>
          <w:szCs w:val="28"/>
        </w:rPr>
        <w:t>-</w:t>
      </w:r>
      <w:r w:rsidRPr="005C274D">
        <w:rPr>
          <w:bCs/>
          <w:sz w:val="28"/>
          <w:szCs w:val="28"/>
        </w:rPr>
        <w:t>провайдеров усматривались признаки сговора, целью которого было увеличение стоимости аренды интернет</w:t>
      </w:r>
      <w:r w:rsidR="009474CC">
        <w:rPr>
          <w:bCs/>
          <w:sz w:val="28"/>
          <w:szCs w:val="28"/>
        </w:rPr>
        <w:t>-канала</w:t>
      </w:r>
      <w:r w:rsidRPr="005C274D">
        <w:rPr>
          <w:bCs/>
          <w:sz w:val="28"/>
          <w:szCs w:val="28"/>
        </w:rPr>
        <w:t>.</w:t>
      </w:r>
      <w:r w:rsidR="009474CC">
        <w:rPr>
          <w:bCs/>
          <w:sz w:val="28"/>
          <w:szCs w:val="28"/>
        </w:rPr>
        <w:t xml:space="preserve"> </w:t>
      </w:r>
      <w:r w:rsidRPr="005C274D">
        <w:rPr>
          <w:bCs/>
          <w:sz w:val="28"/>
          <w:szCs w:val="28"/>
        </w:rPr>
        <w:t>Данные действия грозили повышением стоимости интернет-услуг на территории Кыргызской Республики более чем в два раза или снижением качества связи.</w:t>
      </w:r>
    </w:p>
    <w:p w:rsidR="0068434D" w:rsidRPr="005C274D" w:rsidRDefault="0068434D" w:rsidP="004D2C9E">
      <w:pPr>
        <w:pStyle w:val="Textbody"/>
        <w:widowControl/>
        <w:spacing w:after="0"/>
        <w:ind w:firstLine="709"/>
        <w:jc w:val="both"/>
        <w:rPr>
          <w:bCs/>
          <w:sz w:val="28"/>
          <w:szCs w:val="28"/>
        </w:rPr>
      </w:pPr>
      <w:r w:rsidRPr="005C274D">
        <w:rPr>
          <w:bCs/>
          <w:sz w:val="28"/>
          <w:szCs w:val="28"/>
        </w:rPr>
        <w:t>Для разъяснения сложившейся ситуации антимонопольным органом Кыргызстана в оперативном порядке в антимонопольный орган Республики Казахстан было направлено обращение с просьбой оказать содействие в рамках антимонопольного регулирования в разрешении складывающейся негативной ситуации.</w:t>
      </w:r>
    </w:p>
    <w:p w:rsidR="0068434D" w:rsidRDefault="0068434D" w:rsidP="004D2C9E">
      <w:pPr>
        <w:pStyle w:val="Textbody"/>
        <w:widowControl/>
        <w:spacing w:after="0"/>
        <w:ind w:firstLine="709"/>
        <w:jc w:val="both"/>
        <w:rPr>
          <w:bCs/>
          <w:sz w:val="28"/>
          <w:szCs w:val="28"/>
        </w:rPr>
      </w:pPr>
      <w:r w:rsidRPr="005C274D">
        <w:rPr>
          <w:bCs/>
          <w:sz w:val="28"/>
          <w:szCs w:val="28"/>
        </w:rPr>
        <w:t>Благодаря своевременной координации действий антимонопольных ведомств Кыргызской Республ</w:t>
      </w:r>
      <w:r w:rsidR="00633DC5">
        <w:rPr>
          <w:bCs/>
          <w:sz w:val="28"/>
          <w:szCs w:val="28"/>
        </w:rPr>
        <w:t>ики и Республики Казахстан</w:t>
      </w:r>
      <w:r w:rsidRPr="005C274D">
        <w:rPr>
          <w:bCs/>
          <w:sz w:val="28"/>
          <w:szCs w:val="28"/>
        </w:rPr>
        <w:t xml:space="preserve"> при акти</w:t>
      </w:r>
      <w:r w:rsidR="00633DC5">
        <w:rPr>
          <w:bCs/>
          <w:sz w:val="28"/>
          <w:szCs w:val="28"/>
        </w:rPr>
        <w:t>вной поддержке ЕЭК и ФАС России</w:t>
      </w:r>
      <w:r w:rsidRPr="005C274D">
        <w:rPr>
          <w:bCs/>
          <w:sz w:val="28"/>
          <w:szCs w:val="28"/>
        </w:rPr>
        <w:t xml:space="preserve"> ситуация на трансграничном рынке электросвязи была урегулирована в добровольном порядке без применения каких</w:t>
      </w:r>
      <w:r w:rsidR="001123EA">
        <w:rPr>
          <w:bCs/>
          <w:sz w:val="28"/>
          <w:szCs w:val="28"/>
        </w:rPr>
        <w:t>-</w:t>
      </w:r>
      <w:r w:rsidRPr="005C274D">
        <w:rPr>
          <w:bCs/>
          <w:sz w:val="28"/>
          <w:szCs w:val="28"/>
        </w:rPr>
        <w:t>либо санкций.</w:t>
      </w:r>
    </w:p>
    <w:p w:rsidR="0068434D" w:rsidRPr="005C274D" w:rsidRDefault="0068434D" w:rsidP="004D2C9E">
      <w:pPr>
        <w:pStyle w:val="4"/>
      </w:pPr>
      <w:r w:rsidRPr="005C274D">
        <w:t>Российская Федерация</w:t>
      </w:r>
    </w:p>
    <w:p w:rsidR="0068434D" w:rsidRPr="00BF526E" w:rsidRDefault="0068434D" w:rsidP="004D2C9E">
      <w:pPr>
        <w:pStyle w:val="Textbody"/>
        <w:widowControl/>
        <w:spacing w:after="0"/>
        <w:ind w:firstLine="709"/>
        <w:jc w:val="both"/>
        <w:rPr>
          <w:bCs/>
          <w:sz w:val="28"/>
          <w:szCs w:val="28"/>
        </w:rPr>
      </w:pPr>
      <w:r>
        <w:rPr>
          <w:bCs/>
          <w:sz w:val="28"/>
          <w:szCs w:val="28"/>
        </w:rPr>
        <w:t xml:space="preserve">При рассмотрении дела ФАС России в отношении </w:t>
      </w:r>
      <w:r>
        <w:rPr>
          <w:bCs/>
          <w:sz w:val="28"/>
          <w:szCs w:val="28"/>
          <w:lang w:val="en-US"/>
        </w:rPr>
        <w:t>Google</w:t>
      </w:r>
      <w:r w:rsidRPr="006A3946">
        <w:rPr>
          <w:bCs/>
          <w:sz w:val="28"/>
          <w:szCs w:val="28"/>
        </w:rPr>
        <w:t xml:space="preserve"> </w:t>
      </w:r>
      <w:r>
        <w:rPr>
          <w:bCs/>
          <w:sz w:val="28"/>
          <w:szCs w:val="28"/>
        </w:rPr>
        <w:t xml:space="preserve">установлено, что антиконкурентные практики </w:t>
      </w:r>
      <w:r>
        <w:rPr>
          <w:bCs/>
          <w:sz w:val="28"/>
          <w:szCs w:val="28"/>
          <w:lang w:val="en-US"/>
        </w:rPr>
        <w:t>Google</w:t>
      </w:r>
      <w:r>
        <w:rPr>
          <w:bCs/>
          <w:sz w:val="28"/>
          <w:szCs w:val="28"/>
        </w:rPr>
        <w:t xml:space="preserve"> </w:t>
      </w:r>
      <w:r w:rsidRPr="0037367F">
        <w:rPr>
          <w:bCs/>
          <w:sz w:val="28"/>
          <w:szCs w:val="28"/>
        </w:rPr>
        <w:t>направлены исключительно на продвижение собственных продуктов по самому выгодному для распространения каналу (предустановка приложений) и одновременно на препятствование продвижению продуктов конкурентов.</w:t>
      </w:r>
    </w:p>
    <w:p w:rsidR="0068434D" w:rsidRDefault="0068434D" w:rsidP="004D2C9E">
      <w:pPr>
        <w:pStyle w:val="Textbody"/>
        <w:widowControl/>
        <w:spacing w:after="0"/>
        <w:ind w:firstLine="709"/>
        <w:jc w:val="both"/>
        <w:rPr>
          <w:bCs/>
          <w:sz w:val="28"/>
          <w:szCs w:val="28"/>
        </w:rPr>
      </w:pPr>
      <w:r w:rsidRPr="0037367F">
        <w:rPr>
          <w:bCs/>
          <w:sz w:val="28"/>
          <w:szCs w:val="28"/>
        </w:rPr>
        <w:t xml:space="preserve">В силу практики связывания </w:t>
      </w:r>
      <w:r>
        <w:rPr>
          <w:bCs/>
          <w:sz w:val="28"/>
          <w:szCs w:val="28"/>
        </w:rPr>
        <w:t xml:space="preserve">одновременно с недопущением предустановки приложений конкурентов </w:t>
      </w:r>
      <w:r w:rsidRPr="0037367F">
        <w:rPr>
          <w:bCs/>
          <w:sz w:val="28"/>
          <w:szCs w:val="28"/>
        </w:rPr>
        <w:t>Google достигает предустановки большого набора своих приложений и сервисов без выплаты какого-либо вознаграждения производителям. В свою очередь, конкурирующие разработчики приложений фактически лишены возможности предустанавливать свои приложения и сервисы совместно с Google Play и на тех же условиях, что и приложения и сервисы Google. В результате создания барьеров доступа происходит вытеснение конкурентов с тех рынков, на которых обращаются приложения и сервисы из пакета GMS.</w:t>
      </w:r>
    </w:p>
    <w:p w:rsidR="0068434D" w:rsidRPr="00BF526E" w:rsidRDefault="0068434D" w:rsidP="004D2C9E">
      <w:pPr>
        <w:pStyle w:val="Textbody"/>
        <w:widowControl/>
        <w:spacing w:after="0"/>
        <w:ind w:firstLine="709"/>
        <w:jc w:val="both"/>
        <w:rPr>
          <w:bCs/>
          <w:sz w:val="28"/>
          <w:szCs w:val="28"/>
        </w:rPr>
      </w:pPr>
      <w:r>
        <w:rPr>
          <w:bCs/>
          <w:sz w:val="28"/>
          <w:szCs w:val="28"/>
        </w:rPr>
        <w:t xml:space="preserve">Предписание, выданное </w:t>
      </w:r>
      <w:r>
        <w:rPr>
          <w:bCs/>
          <w:sz w:val="28"/>
          <w:szCs w:val="28"/>
          <w:lang w:val="en-US"/>
        </w:rPr>
        <w:t>Google</w:t>
      </w:r>
      <w:r>
        <w:rPr>
          <w:bCs/>
          <w:sz w:val="28"/>
          <w:szCs w:val="28"/>
        </w:rPr>
        <w:t>, направлено на восстановление усл</w:t>
      </w:r>
      <w:r w:rsidR="00633DC5">
        <w:rPr>
          <w:bCs/>
          <w:sz w:val="28"/>
          <w:szCs w:val="28"/>
        </w:rPr>
        <w:t xml:space="preserve">овий конкуренции: прежде всего </w:t>
      </w:r>
      <w:r>
        <w:rPr>
          <w:bCs/>
          <w:sz w:val="28"/>
          <w:szCs w:val="28"/>
          <w:lang w:val="en-US"/>
        </w:rPr>
        <w:t>Google</w:t>
      </w:r>
      <w:r>
        <w:rPr>
          <w:bCs/>
          <w:sz w:val="28"/>
          <w:szCs w:val="28"/>
        </w:rPr>
        <w:t xml:space="preserve"> обязывался не запрещать предустановку приложений конкурентов, не требовать для своих приложений наилучше</w:t>
      </w:r>
      <w:r w:rsidR="00633DC5">
        <w:rPr>
          <w:bCs/>
          <w:sz w:val="28"/>
          <w:szCs w:val="28"/>
        </w:rPr>
        <w:t>го размещения, а также не обусло</w:t>
      </w:r>
      <w:r>
        <w:rPr>
          <w:bCs/>
          <w:sz w:val="28"/>
          <w:szCs w:val="28"/>
        </w:rPr>
        <w:t>вливать предустановку доминирующего продукта – магазина приложений – предустановкой собственных приложений.</w:t>
      </w:r>
    </w:p>
    <w:p w:rsidR="0068434D" w:rsidRPr="00BF526E" w:rsidRDefault="0068434D" w:rsidP="004D2C9E">
      <w:pPr>
        <w:pStyle w:val="Textbody"/>
        <w:widowControl/>
        <w:spacing w:after="0"/>
        <w:ind w:firstLine="709"/>
        <w:jc w:val="both"/>
        <w:rPr>
          <w:bCs/>
          <w:sz w:val="28"/>
          <w:szCs w:val="28"/>
        </w:rPr>
      </w:pPr>
      <w:r>
        <w:rPr>
          <w:bCs/>
          <w:sz w:val="28"/>
          <w:szCs w:val="28"/>
        </w:rPr>
        <w:t xml:space="preserve">В апреле 2017 года </w:t>
      </w:r>
      <w:r w:rsidRPr="0037367F">
        <w:rPr>
          <w:bCs/>
          <w:sz w:val="28"/>
          <w:szCs w:val="28"/>
        </w:rPr>
        <w:t xml:space="preserve">Google </w:t>
      </w:r>
      <w:r>
        <w:rPr>
          <w:bCs/>
          <w:sz w:val="28"/>
          <w:szCs w:val="28"/>
        </w:rPr>
        <w:t>и</w:t>
      </w:r>
      <w:r w:rsidRPr="0037367F">
        <w:rPr>
          <w:bCs/>
          <w:sz w:val="28"/>
          <w:szCs w:val="28"/>
        </w:rPr>
        <w:t xml:space="preserve"> ФАС России </w:t>
      </w:r>
      <w:r>
        <w:rPr>
          <w:bCs/>
          <w:sz w:val="28"/>
          <w:szCs w:val="28"/>
        </w:rPr>
        <w:t xml:space="preserve">заключили мировое соглашение, в соответствии с которым </w:t>
      </w:r>
      <w:r>
        <w:rPr>
          <w:bCs/>
          <w:sz w:val="28"/>
          <w:szCs w:val="28"/>
          <w:lang w:val="en-US"/>
        </w:rPr>
        <w:t>Google</w:t>
      </w:r>
      <w:r w:rsidR="00633DC5">
        <w:rPr>
          <w:bCs/>
          <w:sz w:val="28"/>
          <w:szCs w:val="28"/>
        </w:rPr>
        <w:t>,</w:t>
      </w:r>
      <w:r>
        <w:rPr>
          <w:bCs/>
          <w:sz w:val="28"/>
          <w:szCs w:val="28"/>
        </w:rPr>
        <w:t xml:space="preserve"> помимо отказа </w:t>
      </w:r>
      <w:r w:rsidRPr="0037367F">
        <w:rPr>
          <w:bCs/>
          <w:sz w:val="28"/>
          <w:szCs w:val="28"/>
        </w:rPr>
        <w:t xml:space="preserve">от требований об эксклюзивности своих приложений на устройствах на базе ОС Android в России, </w:t>
      </w:r>
      <w:r>
        <w:rPr>
          <w:bCs/>
          <w:sz w:val="28"/>
          <w:szCs w:val="28"/>
        </w:rPr>
        <w:t xml:space="preserve">их приоритетном размещении, отказа от </w:t>
      </w:r>
      <w:r w:rsidRPr="0037367F">
        <w:rPr>
          <w:bCs/>
          <w:sz w:val="28"/>
          <w:szCs w:val="28"/>
        </w:rPr>
        <w:t>стимулирования предустановки поиска Google в качестве единственного общего поискового сервиса,</w:t>
      </w:r>
      <w:r>
        <w:rPr>
          <w:bCs/>
          <w:sz w:val="28"/>
          <w:szCs w:val="28"/>
        </w:rPr>
        <w:t xml:space="preserve"> </w:t>
      </w:r>
      <w:r w:rsidRPr="0037367F">
        <w:rPr>
          <w:bCs/>
          <w:sz w:val="28"/>
          <w:szCs w:val="28"/>
        </w:rPr>
        <w:t xml:space="preserve">разработает активное </w:t>
      </w:r>
      <w:r w:rsidR="004D2C9E">
        <w:rPr>
          <w:bCs/>
          <w:sz w:val="28"/>
          <w:szCs w:val="28"/>
        </w:rPr>
        <w:t>«</w:t>
      </w:r>
      <w:r w:rsidRPr="0037367F">
        <w:rPr>
          <w:bCs/>
          <w:sz w:val="28"/>
          <w:szCs w:val="28"/>
        </w:rPr>
        <w:t>окно выбора</w:t>
      </w:r>
      <w:r w:rsidR="004D2C9E">
        <w:rPr>
          <w:bCs/>
          <w:sz w:val="28"/>
          <w:szCs w:val="28"/>
        </w:rPr>
        <w:t>»</w:t>
      </w:r>
      <w:r w:rsidRPr="0037367F">
        <w:rPr>
          <w:bCs/>
          <w:sz w:val="28"/>
          <w:szCs w:val="28"/>
        </w:rPr>
        <w:t xml:space="preserve">, которое при очередном обновлении предоставит пользователю возможность выбрать поисковую систему </w:t>
      </w:r>
      <w:r w:rsidR="004D2C9E">
        <w:rPr>
          <w:bCs/>
          <w:sz w:val="28"/>
          <w:szCs w:val="28"/>
        </w:rPr>
        <w:t>«</w:t>
      </w:r>
      <w:r w:rsidRPr="0037367F">
        <w:rPr>
          <w:bCs/>
          <w:sz w:val="28"/>
          <w:szCs w:val="28"/>
        </w:rPr>
        <w:t>по умолчанию</w:t>
      </w:r>
      <w:r w:rsidR="004D2C9E">
        <w:rPr>
          <w:bCs/>
          <w:sz w:val="28"/>
          <w:szCs w:val="28"/>
        </w:rPr>
        <w:t>»</w:t>
      </w:r>
      <w:r w:rsidRPr="0037367F">
        <w:rPr>
          <w:bCs/>
          <w:sz w:val="28"/>
          <w:szCs w:val="28"/>
        </w:rPr>
        <w:t>.</w:t>
      </w:r>
      <w:r>
        <w:rPr>
          <w:bCs/>
          <w:sz w:val="28"/>
          <w:szCs w:val="28"/>
        </w:rPr>
        <w:t xml:space="preserve"> </w:t>
      </w:r>
      <w:r w:rsidR="004D2C9E">
        <w:rPr>
          <w:bCs/>
          <w:sz w:val="28"/>
          <w:szCs w:val="28"/>
        </w:rPr>
        <w:t>«</w:t>
      </w:r>
      <w:r>
        <w:rPr>
          <w:bCs/>
          <w:sz w:val="28"/>
          <w:szCs w:val="28"/>
        </w:rPr>
        <w:t>Окно выбора</w:t>
      </w:r>
      <w:r w:rsidR="004D2C9E">
        <w:rPr>
          <w:bCs/>
          <w:sz w:val="28"/>
          <w:szCs w:val="28"/>
        </w:rPr>
        <w:t>»</w:t>
      </w:r>
      <w:r>
        <w:rPr>
          <w:bCs/>
          <w:sz w:val="28"/>
          <w:szCs w:val="28"/>
        </w:rPr>
        <w:t xml:space="preserve"> должно напомнить пользователям, уже приученным пользоваться приложениями </w:t>
      </w:r>
      <w:r>
        <w:rPr>
          <w:bCs/>
          <w:sz w:val="28"/>
          <w:szCs w:val="28"/>
          <w:lang w:val="en-US"/>
        </w:rPr>
        <w:t>Google</w:t>
      </w:r>
      <w:r>
        <w:rPr>
          <w:bCs/>
          <w:sz w:val="28"/>
          <w:szCs w:val="28"/>
        </w:rPr>
        <w:t>, о возможности выбора</w:t>
      </w:r>
      <w:r w:rsidR="00633DC5">
        <w:rPr>
          <w:bCs/>
          <w:sz w:val="28"/>
          <w:szCs w:val="28"/>
        </w:rPr>
        <w:t xml:space="preserve"> иного программного обеспечения</w:t>
      </w:r>
      <w:r>
        <w:rPr>
          <w:bCs/>
          <w:sz w:val="28"/>
          <w:szCs w:val="28"/>
        </w:rPr>
        <w:t xml:space="preserve"> максимально удобным способом.</w:t>
      </w:r>
    </w:p>
    <w:p w:rsidR="0068434D" w:rsidRPr="00966580" w:rsidRDefault="0068434D" w:rsidP="004D2C9E">
      <w:pPr>
        <w:pStyle w:val="Textbody"/>
        <w:widowControl/>
        <w:spacing w:after="0"/>
        <w:ind w:firstLine="709"/>
        <w:jc w:val="both"/>
        <w:rPr>
          <w:bCs/>
          <w:sz w:val="28"/>
          <w:szCs w:val="28"/>
        </w:rPr>
      </w:pPr>
      <w:r>
        <w:rPr>
          <w:bCs/>
          <w:sz w:val="28"/>
          <w:szCs w:val="28"/>
        </w:rPr>
        <w:t xml:space="preserve">Так, в деле в отношении </w:t>
      </w:r>
      <w:r>
        <w:rPr>
          <w:bCs/>
          <w:sz w:val="28"/>
          <w:szCs w:val="28"/>
          <w:lang w:val="en-US"/>
        </w:rPr>
        <w:t>Microsoft</w:t>
      </w:r>
      <w:r>
        <w:rPr>
          <w:bCs/>
          <w:sz w:val="28"/>
          <w:szCs w:val="28"/>
        </w:rPr>
        <w:t xml:space="preserve"> ФАС России выявил</w:t>
      </w:r>
      <w:r w:rsidR="00633DC5">
        <w:rPr>
          <w:bCs/>
          <w:sz w:val="28"/>
          <w:szCs w:val="28"/>
        </w:rPr>
        <w:t>а</w:t>
      </w:r>
      <w:r>
        <w:rPr>
          <w:bCs/>
          <w:sz w:val="28"/>
          <w:szCs w:val="28"/>
        </w:rPr>
        <w:t xml:space="preserve">, что именно совокупность ряда действий и бездействия </w:t>
      </w:r>
      <w:r>
        <w:rPr>
          <w:bCs/>
          <w:sz w:val="28"/>
          <w:szCs w:val="28"/>
          <w:lang w:val="en-US"/>
        </w:rPr>
        <w:t>Microsoft</w:t>
      </w:r>
      <w:r w:rsidRPr="00966580">
        <w:rPr>
          <w:bCs/>
          <w:sz w:val="28"/>
          <w:szCs w:val="28"/>
        </w:rPr>
        <w:t xml:space="preserve"> </w:t>
      </w:r>
      <w:r w:rsidRPr="007A7547">
        <w:rPr>
          <w:bCs/>
          <w:sz w:val="28"/>
          <w:szCs w:val="28"/>
        </w:rPr>
        <w:t xml:space="preserve">привели к созданию дискриминационных условий для работы на ОС Windows 10 антивирусного </w:t>
      </w:r>
      <w:r>
        <w:rPr>
          <w:bCs/>
          <w:sz w:val="28"/>
          <w:szCs w:val="28"/>
        </w:rPr>
        <w:t>программного обеспечения</w:t>
      </w:r>
      <w:r w:rsidRPr="007A7547">
        <w:rPr>
          <w:bCs/>
          <w:sz w:val="28"/>
          <w:szCs w:val="28"/>
        </w:rPr>
        <w:t xml:space="preserve"> АО </w:t>
      </w:r>
      <w:r w:rsidR="004D2C9E">
        <w:rPr>
          <w:bCs/>
          <w:sz w:val="28"/>
          <w:szCs w:val="28"/>
        </w:rPr>
        <w:t>«</w:t>
      </w:r>
      <w:r w:rsidRPr="007A7547">
        <w:rPr>
          <w:bCs/>
          <w:sz w:val="28"/>
          <w:szCs w:val="28"/>
        </w:rPr>
        <w:t>Лаборатория Касперского</w:t>
      </w:r>
      <w:r w:rsidR="004D2C9E">
        <w:rPr>
          <w:bCs/>
          <w:sz w:val="28"/>
          <w:szCs w:val="28"/>
        </w:rPr>
        <w:t>»</w:t>
      </w:r>
      <w:r w:rsidRPr="007A7547">
        <w:rPr>
          <w:bCs/>
          <w:sz w:val="28"/>
          <w:szCs w:val="28"/>
        </w:rPr>
        <w:t xml:space="preserve"> по сравнению с антивирусным </w:t>
      </w:r>
      <w:r w:rsidR="00633DC5">
        <w:rPr>
          <w:bCs/>
          <w:sz w:val="28"/>
          <w:szCs w:val="28"/>
        </w:rPr>
        <w:t>программным обеспечением</w:t>
      </w:r>
      <w:r w:rsidRPr="007A7547">
        <w:rPr>
          <w:bCs/>
          <w:sz w:val="28"/>
          <w:szCs w:val="28"/>
        </w:rPr>
        <w:t xml:space="preserve"> Microsoft Corporation</w:t>
      </w:r>
      <w:r w:rsidR="00F9318B">
        <w:rPr>
          <w:bCs/>
          <w:sz w:val="28"/>
          <w:szCs w:val="28"/>
        </w:rPr>
        <w:t xml:space="preserve"> – </w:t>
      </w:r>
      <w:r w:rsidRPr="007A7547">
        <w:rPr>
          <w:bCs/>
          <w:sz w:val="28"/>
          <w:szCs w:val="28"/>
        </w:rPr>
        <w:t>Windows Defender</w:t>
      </w:r>
      <w:r>
        <w:rPr>
          <w:bCs/>
          <w:sz w:val="28"/>
          <w:szCs w:val="28"/>
        </w:rPr>
        <w:t xml:space="preserve">. Каждое из выявленных действий </w:t>
      </w:r>
      <w:r>
        <w:rPr>
          <w:bCs/>
          <w:sz w:val="28"/>
          <w:szCs w:val="28"/>
          <w:lang w:val="en-US"/>
        </w:rPr>
        <w:t>Microsoft</w:t>
      </w:r>
      <w:r>
        <w:rPr>
          <w:bCs/>
          <w:sz w:val="28"/>
          <w:szCs w:val="28"/>
        </w:rPr>
        <w:t xml:space="preserve"> само по себе, возможно, и не имело бы таких негативных последствий для конкуренции, но их применение в совокупности </w:t>
      </w:r>
      <w:r w:rsidRPr="007A7547">
        <w:rPr>
          <w:bCs/>
          <w:sz w:val="28"/>
          <w:szCs w:val="28"/>
        </w:rPr>
        <w:t xml:space="preserve">привело к ограничению конкуренции на рынке антивирусного прикладного </w:t>
      </w:r>
      <w:r w:rsidR="00633DC5" w:rsidRPr="00633DC5">
        <w:rPr>
          <w:bCs/>
          <w:sz w:val="28"/>
          <w:szCs w:val="28"/>
        </w:rPr>
        <w:t>программно</w:t>
      </w:r>
      <w:r w:rsidR="00633DC5">
        <w:rPr>
          <w:bCs/>
          <w:sz w:val="28"/>
          <w:szCs w:val="28"/>
        </w:rPr>
        <w:t>го обеспечения</w:t>
      </w:r>
      <w:r w:rsidRPr="007A7547">
        <w:rPr>
          <w:bCs/>
          <w:sz w:val="28"/>
          <w:szCs w:val="28"/>
        </w:rPr>
        <w:t xml:space="preserve"> на территории Российской Федерации</w:t>
      </w:r>
      <w:r w:rsidR="00633DC5">
        <w:rPr>
          <w:bCs/>
          <w:sz w:val="28"/>
          <w:szCs w:val="28"/>
        </w:rPr>
        <w:t>.</w:t>
      </w:r>
    </w:p>
    <w:p w:rsidR="0068434D" w:rsidRDefault="0068434D" w:rsidP="004D2C9E">
      <w:pPr>
        <w:pStyle w:val="Textbody"/>
        <w:widowControl/>
        <w:spacing w:after="0"/>
        <w:ind w:firstLine="709"/>
        <w:jc w:val="both"/>
        <w:rPr>
          <w:bCs/>
          <w:sz w:val="28"/>
          <w:szCs w:val="28"/>
        </w:rPr>
      </w:pPr>
      <w:r>
        <w:rPr>
          <w:bCs/>
          <w:sz w:val="28"/>
          <w:szCs w:val="28"/>
        </w:rPr>
        <w:t xml:space="preserve">Сокращение срока для адаптации стороннего антивирусного </w:t>
      </w:r>
      <w:r w:rsidR="00633DC5">
        <w:rPr>
          <w:bCs/>
          <w:sz w:val="28"/>
          <w:szCs w:val="28"/>
        </w:rPr>
        <w:t>программно</w:t>
      </w:r>
      <w:r w:rsidR="002A6EE2">
        <w:rPr>
          <w:bCs/>
          <w:sz w:val="28"/>
          <w:szCs w:val="28"/>
        </w:rPr>
        <w:t>го</w:t>
      </w:r>
      <w:r w:rsidR="00633DC5">
        <w:rPr>
          <w:bCs/>
          <w:sz w:val="28"/>
          <w:szCs w:val="28"/>
        </w:rPr>
        <w:t xml:space="preserve"> обеспечени</w:t>
      </w:r>
      <w:r w:rsidR="002A6EE2">
        <w:rPr>
          <w:bCs/>
          <w:sz w:val="28"/>
          <w:szCs w:val="28"/>
        </w:rPr>
        <w:t>я</w:t>
      </w:r>
      <w:r>
        <w:rPr>
          <w:bCs/>
          <w:sz w:val="28"/>
          <w:szCs w:val="28"/>
        </w:rPr>
        <w:t xml:space="preserve">, </w:t>
      </w:r>
      <w:r w:rsidRPr="00B5396A">
        <w:rPr>
          <w:bCs/>
          <w:sz w:val="28"/>
          <w:szCs w:val="28"/>
        </w:rPr>
        <w:t xml:space="preserve">введение ограничений в части формы и сроков уведомления пользователей антивирусного </w:t>
      </w:r>
      <w:r w:rsidR="00633DC5" w:rsidRPr="00633DC5">
        <w:rPr>
          <w:bCs/>
          <w:sz w:val="28"/>
          <w:szCs w:val="28"/>
        </w:rPr>
        <w:t>программного обеспечения</w:t>
      </w:r>
      <w:r w:rsidRPr="00633DC5">
        <w:rPr>
          <w:bCs/>
          <w:sz w:val="28"/>
          <w:szCs w:val="28"/>
        </w:rPr>
        <w:t xml:space="preserve"> </w:t>
      </w:r>
      <w:r w:rsidRPr="00B5396A">
        <w:rPr>
          <w:bCs/>
          <w:sz w:val="28"/>
          <w:szCs w:val="28"/>
        </w:rPr>
        <w:t xml:space="preserve">АО </w:t>
      </w:r>
      <w:r w:rsidR="004D2C9E">
        <w:rPr>
          <w:bCs/>
          <w:sz w:val="28"/>
          <w:szCs w:val="28"/>
        </w:rPr>
        <w:t>«</w:t>
      </w:r>
      <w:r w:rsidRPr="00B5396A">
        <w:rPr>
          <w:bCs/>
          <w:sz w:val="28"/>
          <w:szCs w:val="28"/>
        </w:rPr>
        <w:t>Лаборатории Касперского</w:t>
      </w:r>
      <w:r w:rsidR="004D2C9E">
        <w:rPr>
          <w:bCs/>
          <w:sz w:val="28"/>
          <w:szCs w:val="28"/>
        </w:rPr>
        <w:t>»</w:t>
      </w:r>
      <w:r w:rsidRPr="00B5396A">
        <w:rPr>
          <w:bCs/>
          <w:sz w:val="28"/>
          <w:szCs w:val="28"/>
        </w:rPr>
        <w:t xml:space="preserve">, направленных на информирование пользователей об истечении лицензии на данное </w:t>
      </w:r>
      <w:r w:rsidR="00633DC5" w:rsidRPr="00633DC5">
        <w:rPr>
          <w:bCs/>
          <w:sz w:val="28"/>
          <w:szCs w:val="28"/>
        </w:rPr>
        <w:t>программно</w:t>
      </w:r>
      <w:r w:rsidR="00633DC5">
        <w:rPr>
          <w:bCs/>
          <w:sz w:val="28"/>
          <w:szCs w:val="28"/>
        </w:rPr>
        <w:t>е</w:t>
      </w:r>
      <w:r w:rsidR="00633DC5" w:rsidRPr="00633DC5">
        <w:rPr>
          <w:bCs/>
          <w:sz w:val="28"/>
          <w:szCs w:val="28"/>
        </w:rPr>
        <w:t xml:space="preserve"> обеспечени</w:t>
      </w:r>
      <w:r w:rsidR="00633DC5">
        <w:rPr>
          <w:bCs/>
          <w:sz w:val="28"/>
          <w:szCs w:val="28"/>
        </w:rPr>
        <w:t>е</w:t>
      </w:r>
      <w:r w:rsidRPr="00633DC5">
        <w:rPr>
          <w:bCs/>
          <w:sz w:val="28"/>
          <w:szCs w:val="28"/>
        </w:rPr>
        <w:t>,</w:t>
      </w:r>
      <w:r w:rsidRPr="00B5396A">
        <w:rPr>
          <w:bCs/>
          <w:sz w:val="28"/>
          <w:szCs w:val="28"/>
        </w:rPr>
        <w:t xml:space="preserve"> </w:t>
      </w:r>
      <w:r>
        <w:rPr>
          <w:bCs/>
          <w:sz w:val="28"/>
          <w:szCs w:val="28"/>
        </w:rPr>
        <w:t>автоматическое</w:t>
      </w:r>
      <w:r w:rsidRPr="00320ACC">
        <w:rPr>
          <w:bCs/>
          <w:sz w:val="28"/>
          <w:szCs w:val="28"/>
        </w:rPr>
        <w:t xml:space="preserve"> удалени</w:t>
      </w:r>
      <w:r>
        <w:rPr>
          <w:bCs/>
          <w:sz w:val="28"/>
          <w:szCs w:val="28"/>
        </w:rPr>
        <w:t>е</w:t>
      </w:r>
      <w:r w:rsidRPr="00320ACC">
        <w:rPr>
          <w:bCs/>
          <w:sz w:val="28"/>
          <w:szCs w:val="28"/>
        </w:rPr>
        <w:t>, отключени</w:t>
      </w:r>
      <w:r>
        <w:rPr>
          <w:bCs/>
          <w:sz w:val="28"/>
          <w:szCs w:val="28"/>
        </w:rPr>
        <w:t>е</w:t>
      </w:r>
      <w:r w:rsidRPr="00320ACC">
        <w:rPr>
          <w:bCs/>
          <w:sz w:val="28"/>
          <w:szCs w:val="28"/>
        </w:rPr>
        <w:t xml:space="preserve"> (блокировк</w:t>
      </w:r>
      <w:r>
        <w:rPr>
          <w:bCs/>
          <w:sz w:val="28"/>
          <w:szCs w:val="28"/>
        </w:rPr>
        <w:t>а</w:t>
      </w:r>
      <w:r w:rsidRPr="00320ACC">
        <w:rPr>
          <w:bCs/>
          <w:sz w:val="28"/>
          <w:szCs w:val="28"/>
        </w:rPr>
        <w:t xml:space="preserve">) стороннего антивирусного </w:t>
      </w:r>
      <w:r w:rsidR="00633DC5" w:rsidRPr="00633DC5">
        <w:rPr>
          <w:bCs/>
          <w:sz w:val="28"/>
          <w:szCs w:val="28"/>
        </w:rPr>
        <w:t>программного обеспечения</w:t>
      </w:r>
      <w:r w:rsidR="002A6EE2">
        <w:rPr>
          <w:bCs/>
          <w:sz w:val="28"/>
          <w:szCs w:val="28"/>
        </w:rPr>
        <w:t>,</w:t>
      </w:r>
      <w:r w:rsidR="004D2C9E" w:rsidRPr="00633DC5">
        <w:rPr>
          <w:bCs/>
          <w:sz w:val="28"/>
          <w:szCs w:val="28"/>
        </w:rPr>
        <w:t xml:space="preserve"> </w:t>
      </w:r>
      <w:r w:rsidRPr="00320ACC">
        <w:rPr>
          <w:bCs/>
          <w:sz w:val="28"/>
          <w:szCs w:val="28"/>
        </w:rPr>
        <w:t xml:space="preserve">даже если данное </w:t>
      </w:r>
      <w:r w:rsidR="00633DC5" w:rsidRPr="00633DC5">
        <w:rPr>
          <w:bCs/>
          <w:sz w:val="28"/>
          <w:szCs w:val="28"/>
        </w:rPr>
        <w:t>программно</w:t>
      </w:r>
      <w:r w:rsidR="00633DC5">
        <w:rPr>
          <w:bCs/>
          <w:sz w:val="28"/>
          <w:szCs w:val="28"/>
        </w:rPr>
        <w:t>е</w:t>
      </w:r>
      <w:r w:rsidR="00633DC5" w:rsidRPr="00633DC5">
        <w:rPr>
          <w:bCs/>
          <w:sz w:val="28"/>
          <w:szCs w:val="28"/>
        </w:rPr>
        <w:t xml:space="preserve"> обеспечени</w:t>
      </w:r>
      <w:r w:rsidR="00633DC5">
        <w:rPr>
          <w:bCs/>
          <w:sz w:val="28"/>
          <w:szCs w:val="28"/>
        </w:rPr>
        <w:t>е</w:t>
      </w:r>
      <w:r w:rsidRPr="00633DC5">
        <w:rPr>
          <w:bCs/>
          <w:sz w:val="28"/>
          <w:szCs w:val="28"/>
        </w:rPr>
        <w:t xml:space="preserve"> </w:t>
      </w:r>
      <w:r w:rsidRPr="00320ACC">
        <w:rPr>
          <w:bCs/>
          <w:sz w:val="28"/>
          <w:szCs w:val="28"/>
        </w:rPr>
        <w:t xml:space="preserve">не является </w:t>
      </w:r>
      <w:r>
        <w:rPr>
          <w:bCs/>
          <w:sz w:val="28"/>
          <w:szCs w:val="28"/>
        </w:rPr>
        <w:t xml:space="preserve">технически </w:t>
      </w:r>
      <w:r w:rsidRPr="00320ACC">
        <w:rPr>
          <w:bCs/>
          <w:sz w:val="28"/>
          <w:szCs w:val="28"/>
        </w:rPr>
        <w:t>несовместимым</w:t>
      </w:r>
      <w:r>
        <w:rPr>
          <w:bCs/>
          <w:sz w:val="28"/>
          <w:szCs w:val="28"/>
        </w:rPr>
        <w:t xml:space="preserve">, </w:t>
      </w:r>
      <w:r w:rsidRPr="00320ACC">
        <w:rPr>
          <w:bCs/>
          <w:sz w:val="28"/>
          <w:szCs w:val="28"/>
        </w:rPr>
        <w:t>использовани</w:t>
      </w:r>
      <w:r>
        <w:rPr>
          <w:bCs/>
          <w:sz w:val="28"/>
          <w:szCs w:val="28"/>
        </w:rPr>
        <w:t>е</w:t>
      </w:r>
      <w:r w:rsidRPr="00320ACC">
        <w:rPr>
          <w:bCs/>
          <w:sz w:val="28"/>
          <w:szCs w:val="28"/>
        </w:rPr>
        <w:t xml:space="preserve"> недокументированных </w:t>
      </w:r>
      <w:r w:rsidR="002A6EE2">
        <w:rPr>
          <w:bCs/>
          <w:sz w:val="28"/>
          <w:szCs w:val="28"/>
        </w:rPr>
        <w:br/>
      </w:r>
      <w:r w:rsidR="00633DC5" w:rsidRPr="00633DC5">
        <w:rPr>
          <w:bCs/>
          <w:sz w:val="28"/>
          <w:szCs w:val="28"/>
        </w:rPr>
        <w:t>интерфейс</w:t>
      </w:r>
      <w:r w:rsidR="002A6EE2">
        <w:rPr>
          <w:bCs/>
          <w:sz w:val="28"/>
          <w:szCs w:val="28"/>
        </w:rPr>
        <w:t>-</w:t>
      </w:r>
      <w:r w:rsidR="00633DC5" w:rsidRPr="00633DC5">
        <w:rPr>
          <w:bCs/>
          <w:sz w:val="28"/>
          <w:szCs w:val="28"/>
        </w:rPr>
        <w:t>программировани</w:t>
      </w:r>
      <w:r w:rsidR="00633DC5">
        <w:rPr>
          <w:bCs/>
          <w:sz w:val="28"/>
          <w:szCs w:val="28"/>
        </w:rPr>
        <w:t>й</w:t>
      </w:r>
      <w:r w:rsidRPr="00320ACC">
        <w:rPr>
          <w:bCs/>
          <w:sz w:val="28"/>
          <w:szCs w:val="28"/>
        </w:rPr>
        <w:t xml:space="preserve"> </w:t>
      </w:r>
      <w:r>
        <w:rPr>
          <w:bCs/>
          <w:sz w:val="28"/>
          <w:szCs w:val="28"/>
        </w:rPr>
        <w:t xml:space="preserve">без надлежащего тестирования с конкурентом – все это гарантировало собственному антивирусу </w:t>
      </w:r>
      <w:r>
        <w:rPr>
          <w:bCs/>
          <w:sz w:val="28"/>
          <w:szCs w:val="28"/>
          <w:lang w:val="en-US"/>
        </w:rPr>
        <w:t>Microsoft</w:t>
      </w:r>
      <w:r>
        <w:rPr>
          <w:bCs/>
          <w:sz w:val="28"/>
          <w:szCs w:val="28"/>
        </w:rPr>
        <w:t xml:space="preserve"> преимущество на рынке и</w:t>
      </w:r>
      <w:r w:rsidR="00633DC5">
        <w:rPr>
          <w:bCs/>
          <w:sz w:val="28"/>
          <w:szCs w:val="28"/>
        </w:rPr>
        <w:t>,</w:t>
      </w:r>
      <w:r>
        <w:rPr>
          <w:bCs/>
          <w:sz w:val="28"/>
          <w:szCs w:val="28"/>
        </w:rPr>
        <w:t xml:space="preserve"> соответственно, устраняло конкурентов.</w:t>
      </w:r>
    </w:p>
    <w:p w:rsidR="0068434D" w:rsidRDefault="0068434D" w:rsidP="004D2C9E">
      <w:pPr>
        <w:pStyle w:val="Textbody"/>
        <w:widowControl/>
        <w:spacing w:after="0"/>
        <w:ind w:firstLine="709"/>
        <w:jc w:val="both"/>
        <w:rPr>
          <w:bCs/>
          <w:sz w:val="28"/>
          <w:szCs w:val="28"/>
        </w:rPr>
      </w:pPr>
      <w:r>
        <w:rPr>
          <w:bCs/>
          <w:sz w:val="28"/>
          <w:szCs w:val="28"/>
        </w:rPr>
        <w:t>Одновременно с описанным</w:t>
      </w:r>
      <w:r w:rsidR="00633DC5">
        <w:rPr>
          <w:bCs/>
          <w:sz w:val="28"/>
          <w:szCs w:val="28"/>
        </w:rPr>
        <w:t>и</w:t>
      </w:r>
      <w:r>
        <w:rPr>
          <w:bCs/>
          <w:sz w:val="28"/>
          <w:szCs w:val="28"/>
        </w:rPr>
        <w:t xml:space="preserve"> антиконкурентными практиками </w:t>
      </w:r>
      <w:r>
        <w:rPr>
          <w:bCs/>
          <w:sz w:val="28"/>
          <w:szCs w:val="28"/>
          <w:lang w:val="en-US"/>
        </w:rPr>
        <w:t>Microsoft</w:t>
      </w:r>
      <w:r>
        <w:rPr>
          <w:bCs/>
          <w:sz w:val="28"/>
          <w:szCs w:val="28"/>
        </w:rPr>
        <w:t xml:space="preserve"> недобросовестными способами побуждал пользователей отключить антивирусы конкурентов и перейти на использование </w:t>
      </w:r>
      <w:r>
        <w:rPr>
          <w:bCs/>
          <w:sz w:val="28"/>
          <w:szCs w:val="28"/>
          <w:lang w:val="en-US"/>
        </w:rPr>
        <w:t>Windows</w:t>
      </w:r>
      <w:r w:rsidRPr="003C3B4C">
        <w:rPr>
          <w:bCs/>
          <w:sz w:val="28"/>
          <w:szCs w:val="28"/>
        </w:rPr>
        <w:t xml:space="preserve"> </w:t>
      </w:r>
      <w:r>
        <w:rPr>
          <w:bCs/>
          <w:sz w:val="28"/>
          <w:szCs w:val="28"/>
          <w:lang w:val="en-US"/>
        </w:rPr>
        <w:t>defender</w:t>
      </w:r>
      <w:r>
        <w:rPr>
          <w:bCs/>
          <w:sz w:val="28"/>
          <w:szCs w:val="28"/>
        </w:rPr>
        <w:t xml:space="preserve"> – в Интернет</w:t>
      </w:r>
      <w:r w:rsidR="00633DC5">
        <w:rPr>
          <w:bCs/>
          <w:sz w:val="28"/>
          <w:szCs w:val="28"/>
        </w:rPr>
        <w:t>е</w:t>
      </w:r>
      <w:r>
        <w:rPr>
          <w:bCs/>
          <w:sz w:val="28"/>
          <w:szCs w:val="28"/>
        </w:rPr>
        <w:t xml:space="preserve"> были размещены выступления официальных лиц </w:t>
      </w:r>
      <w:r>
        <w:rPr>
          <w:bCs/>
          <w:sz w:val="28"/>
          <w:szCs w:val="28"/>
          <w:lang w:val="en-US"/>
        </w:rPr>
        <w:t>Microsoft</w:t>
      </w:r>
      <w:r>
        <w:rPr>
          <w:bCs/>
          <w:sz w:val="28"/>
          <w:szCs w:val="28"/>
        </w:rPr>
        <w:t xml:space="preserve"> </w:t>
      </w:r>
      <w:r w:rsidRPr="007A7547">
        <w:rPr>
          <w:bCs/>
          <w:sz w:val="28"/>
          <w:szCs w:val="28"/>
        </w:rPr>
        <w:t>с призывом к удалению антивирусного программного обеспечения сторонних разработчиков</w:t>
      </w:r>
      <w:r>
        <w:rPr>
          <w:bCs/>
          <w:sz w:val="28"/>
          <w:szCs w:val="28"/>
        </w:rPr>
        <w:t xml:space="preserve">, пользователям демонстрировались диалоговые окна с использованием тревожных значков и цветового </w:t>
      </w:r>
      <w:r w:rsidRPr="007A7547">
        <w:rPr>
          <w:bCs/>
          <w:sz w:val="28"/>
          <w:szCs w:val="28"/>
        </w:rPr>
        <w:t xml:space="preserve">оформления, </w:t>
      </w:r>
      <w:r>
        <w:rPr>
          <w:bCs/>
          <w:sz w:val="28"/>
          <w:szCs w:val="28"/>
        </w:rPr>
        <w:t xml:space="preserve">создающих </w:t>
      </w:r>
      <w:r w:rsidRPr="007A7547">
        <w:rPr>
          <w:bCs/>
          <w:sz w:val="28"/>
          <w:szCs w:val="28"/>
        </w:rPr>
        <w:t>впечатление, что защита в реальном времени не выполняется либо не обеспечивается надлежащим образом</w:t>
      </w:r>
      <w:r>
        <w:rPr>
          <w:bCs/>
          <w:sz w:val="28"/>
          <w:szCs w:val="28"/>
        </w:rPr>
        <w:t xml:space="preserve">, пока пользователь пользуется конкурирующим антивирусным </w:t>
      </w:r>
      <w:r w:rsidR="00633DC5">
        <w:rPr>
          <w:bCs/>
          <w:sz w:val="28"/>
          <w:szCs w:val="28"/>
        </w:rPr>
        <w:t>программным обеспечением</w:t>
      </w:r>
      <w:r>
        <w:rPr>
          <w:bCs/>
          <w:sz w:val="28"/>
          <w:szCs w:val="28"/>
        </w:rPr>
        <w:t>.</w:t>
      </w:r>
    </w:p>
    <w:p w:rsidR="0068434D" w:rsidRDefault="0068434D" w:rsidP="004D2C9E">
      <w:pPr>
        <w:pStyle w:val="Textbody"/>
        <w:widowControl/>
        <w:spacing w:after="0"/>
        <w:ind w:firstLine="709"/>
        <w:jc w:val="both"/>
        <w:rPr>
          <w:bCs/>
          <w:sz w:val="28"/>
          <w:szCs w:val="28"/>
        </w:rPr>
      </w:pPr>
      <w:r>
        <w:rPr>
          <w:bCs/>
          <w:sz w:val="28"/>
          <w:szCs w:val="28"/>
        </w:rPr>
        <w:t xml:space="preserve">Интересно отметить, что такие ограничительные практики </w:t>
      </w:r>
      <w:r>
        <w:rPr>
          <w:bCs/>
          <w:sz w:val="28"/>
          <w:szCs w:val="28"/>
          <w:lang w:val="en-US"/>
        </w:rPr>
        <w:t>Microsoft</w:t>
      </w:r>
      <w:r>
        <w:rPr>
          <w:bCs/>
          <w:sz w:val="28"/>
          <w:szCs w:val="28"/>
        </w:rPr>
        <w:t xml:space="preserve"> применял только в тех случаях, когда конечными потребителями являются пользователи – физические лица, руководствуясь, как предположил ФАС России, их недостаточными знаниями в области защиты информации. В отношении корпора</w:t>
      </w:r>
      <w:r w:rsidR="0084567B">
        <w:rPr>
          <w:bCs/>
          <w:sz w:val="28"/>
          <w:szCs w:val="28"/>
        </w:rPr>
        <w:t xml:space="preserve">тивных пользователей, в которых в основном </w:t>
      </w:r>
      <w:r>
        <w:rPr>
          <w:bCs/>
          <w:sz w:val="28"/>
          <w:szCs w:val="28"/>
        </w:rPr>
        <w:t xml:space="preserve">решения о выборе антивирусного </w:t>
      </w:r>
      <w:r w:rsidR="00633DC5" w:rsidRPr="00633DC5">
        <w:rPr>
          <w:bCs/>
          <w:sz w:val="28"/>
          <w:szCs w:val="28"/>
        </w:rPr>
        <w:t>программн</w:t>
      </w:r>
      <w:r w:rsidR="00633DC5">
        <w:rPr>
          <w:bCs/>
          <w:sz w:val="28"/>
          <w:szCs w:val="28"/>
        </w:rPr>
        <w:t>ого</w:t>
      </w:r>
      <w:r w:rsidR="00633DC5" w:rsidRPr="00633DC5">
        <w:rPr>
          <w:bCs/>
          <w:sz w:val="28"/>
          <w:szCs w:val="28"/>
        </w:rPr>
        <w:t xml:space="preserve"> обеспечени</w:t>
      </w:r>
      <w:r w:rsidR="00633DC5">
        <w:rPr>
          <w:bCs/>
          <w:sz w:val="28"/>
          <w:szCs w:val="28"/>
        </w:rPr>
        <w:t>я</w:t>
      </w:r>
      <w:r>
        <w:rPr>
          <w:bCs/>
          <w:sz w:val="28"/>
          <w:szCs w:val="28"/>
        </w:rPr>
        <w:t xml:space="preserve"> принимают специалисты – программные интеграторы – ограничительные практики не применялись.</w:t>
      </w:r>
    </w:p>
    <w:p w:rsidR="00EC2F1D" w:rsidRPr="00C55404" w:rsidRDefault="00EC2F1D" w:rsidP="004D2C9E">
      <w:pPr>
        <w:pStyle w:val="Textbody"/>
        <w:widowControl/>
        <w:spacing w:after="0"/>
        <w:ind w:firstLine="709"/>
        <w:jc w:val="both"/>
        <w:rPr>
          <w:bCs/>
          <w:sz w:val="28"/>
          <w:szCs w:val="28"/>
        </w:rPr>
      </w:pPr>
      <w:r>
        <w:rPr>
          <w:bCs/>
          <w:sz w:val="28"/>
          <w:szCs w:val="28"/>
        </w:rPr>
        <w:t>Этот факт подтверждает необходимость исследования всех сторон рынка, в частности конечных потребителей.</w:t>
      </w:r>
    </w:p>
    <w:p w:rsidR="0068434D" w:rsidRDefault="0068434D" w:rsidP="004D2C9E">
      <w:pPr>
        <w:pStyle w:val="Textbody"/>
        <w:widowControl/>
        <w:spacing w:after="0"/>
        <w:ind w:firstLine="709"/>
        <w:jc w:val="both"/>
        <w:rPr>
          <w:bCs/>
          <w:sz w:val="28"/>
          <w:szCs w:val="28"/>
        </w:rPr>
      </w:pPr>
      <w:r>
        <w:rPr>
          <w:bCs/>
          <w:sz w:val="28"/>
          <w:szCs w:val="28"/>
        </w:rPr>
        <w:t xml:space="preserve">Предупреждение, выданное </w:t>
      </w:r>
      <w:r>
        <w:rPr>
          <w:bCs/>
          <w:sz w:val="28"/>
          <w:szCs w:val="28"/>
          <w:lang w:val="en-US"/>
        </w:rPr>
        <w:t>Microsoft</w:t>
      </w:r>
      <w:r>
        <w:rPr>
          <w:bCs/>
          <w:sz w:val="28"/>
          <w:szCs w:val="28"/>
        </w:rPr>
        <w:t xml:space="preserve"> в ходе рассмотрен</w:t>
      </w:r>
      <w:r w:rsidR="00633DC5">
        <w:rPr>
          <w:bCs/>
          <w:sz w:val="28"/>
          <w:szCs w:val="28"/>
        </w:rPr>
        <w:t>ия</w:t>
      </w:r>
      <w:r>
        <w:rPr>
          <w:bCs/>
          <w:sz w:val="28"/>
          <w:szCs w:val="28"/>
        </w:rPr>
        <w:t xml:space="preserve"> дела, направленное на прекращение нарушений и создани</w:t>
      </w:r>
      <w:r w:rsidR="002A6EE2">
        <w:rPr>
          <w:bCs/>
          <w:sz w:val="28"/>
          <w:szCs w:val="28"/>
        </w:rPr>
        <w:t>е</w:t>
      </w:r>
      <w:r>
        <w:rPr>
          <w:bCs/>
          <w:sz w:val="28"/>
          <w:szCs w:val="28"/>
        </w:rPr>
        <w:t xml:space="preserve"> условий для взаимодействия </w:t>
      </w:r>
      <w:r>
        <w:rPr>
          <w:bCs/>
          <w:sz w:val="28"/>
          <w:szCs w:val="28"/>
          <w:lang w:val="en-US"/>
        </w:rPr>
        <w:t>Microsoft</w:t>
      </w:r>
      <w:r>
        <w:rPr>
          <w:bCs/>
          <w:sz w:val="28"/>
          <w:szCs w:val="28"/>
        </w:rPr>
        <w:t xml:space="preserve"> и конкурирующих разработчиков, было исполнено в полном объеме.</w:t>
      </w:r>
    </w:p>
    <w:p w:rsidR="0068434D" w:rsidRDefault="0068434D" w:rsidP="004D2C9E">
      <w:pPr>
        <w:pStyle w:val="Textbody"/>
        <w:widowControl/>
        <w:spacing w:after="0"/>
        <w:ind w:firstLine="709"/>
        <w:jc w:val="both"/>
        <w:rPr>
          <w:bCs/>
          <w:sz w:val="28"/>
          <w:szCs w:val="28"/>
        </w:rPr>
      </w:pPr>
      <w:r>
        <w:rPr>
          <w:bCs/>
          <w:sz w:val="28"/>
          <w:szCs w:val="28"/>
        </w:rPr>
        <w:t xml:space="preserve">В этом деле очень важно отметить, что в результате исполнения предупреждения условия для развития конкуренции были восстановлены не только для российских разработчиков: новый порядок взаимодействия со сторонними разработчиками </w:t>
      </w:r>
      <w:r>
        <w:rPr>
          <w:bCs/>
          <w:sz w:val="28"/>
          <w:szCs w:val="28"/>
          <w:lang w:val="en-US"/>
        </w:rPr>
        <w:t>Microsoft</w:t>
      </w:r>
      <w:r>
        <w:rPr>
          <w:bCs/>
          <w:sz w:val="28"/>
          <w:szCs w:val="28"/>
        </w:rPr>
        <w:t xml:space="preserve"> применяет во всем мире.</w:t>
      </w:r>
    </w:p>
    <w:p w:rsidR="0068434D" w:rsidRDefault="0068434D" w:rsidP="004D2C9E">
      <w:pPr>
        <w:pStyle w:val="Textbody"/>
        <w:widowControl/>
        <w:spacing w:after="0"/>
        <w:ind w:firstLine="709"/>
        <w:jc w:val="both"/>
        <w:rPr>
          <w:bCs/>
          <w:sz w:val="28"/>
          <w:szCs w:val="28"/>
        </w:rPr>
      </w:pPr>
      <w:r>
        <w:rPr>
          <w:bCs/>
          <w:sz w:val="28"/>
          <w:szCs w:val="28"/>
        </w:rPr>
        <w:t>Такая ситуация, когда меры, принятые одним антимонопольным органом, восстанавливают конкуренцию не только в своей стране, но и в других странах, конечно, идеальна. К сожалению, обычно доминирующий субъект не стремится исправить свои нарушения во всех странах</w:t>
      </w:r>
      <w:r w:rsidR="00633DC5">
        <w:rPr>
          <w:bCs/>
          <w:sz w:val="28"/>
          <w:szCs w:val="28"/>
        </w:rPr>
        <w:t>,</w:t>
      </w:r>
      <w:r>
        <w:rPr>
          <w:bCs/>
          <w:sz w:val="28"/>
          <w:szCs w:val="28"/>
        </w:rPr>
        <w:t xml:space="preserve"> и антимонопольным органам следует предпринимать общие скоординированные усилия для обеспечения условий для развития конкуренции в глобальных границах рынка. Следует отметить, что одновременные действия антимонопольных органов по пресечению злоупотреблений будут способствовать скорейшему исполнению требований антимонопольных органов и восстановлению условий для развития конкуренции.</w:t>
      </w:r>
    </w:p>
    <w:p w:rsidR="0068434D" w:rsidRPr="00B623C6" w:rsidRDefault="003611BB" w:rsidP="000863D3">
      <w:pPr>
        <w:pStyle w:val="3"/>
        <w:ind w:firstLine="0"/>
        <w:jc w:val="center"/>
      </w:pPr>
      <w:bookmarkStart w:id="16" w:name="_Toc526253886"/>
      <w:r>
        <w:t>2.</w:t>
      </w:r>
      <w:r w:rsidR="00BD638F">
        <w:t>3.5. </w:t>
      </w:r>
      <w:r w:rsidR="0068434D" w:rsidRPr="00261D28">
        <w:t xml:space="preserve">Выявление и пресечение антиконкурентных соглашений </w:t>
      </w:r>
      <w:r w:rsidR="001123EA">
        <w:br/>
      </w:r>
      <w:r w:rsidR="0068434D" w:rsidRPr="00261D28">
        <w:t>с использованием цифровых технологий</w:t>
      </w:r>
      <w:bookmarkEnd w:id="16"/>
    </w:p>
    <w:p w:rsidR="0068434D" w:rsidRDefault="0068434D" w:rsidP="004D2C9E">
      <w:pPr>
        <w:pStyle w:val="a8"/>
        <w:widowControl/>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У</w:t>
      </w:r>
      <w:r w:rsidRPr="00CC0907">
        <w:rPr>
          <w:rFonts w:ascii="Times New Roman" w:hAnsi="Times New Roman"/>
          <w:color w:val="000000"/>
          <w:sz w:val="28"/>
          <w:szCs w:val="28"/>
        </w:rPr>
        <w:t>грозы для конкуренции</w:t>
      </w:r>
      <w:r>
        <w:rPr>
          <w:rFonts w:ascii="Times New Roman" w:hAnsi="Times New Roman"/>
          <w:color w:val="000000"/>
          <w:sz w:val="28"/>
          <w:szCs w:val="28"/>
        </w:rPr>
        <w:t>,</w:t>
      </w:r>
      <w:r w:rsidRPr="00CC0907">
        <w:rPr>
          <w:rFonts w:ascii="Times New Roman" w:hAnsi="Times New Roman"/>
          <w:color w:val="000000"/>
          <w:sz w:val="28"/>
          <w:szCs w:val="28"/>
        </w:rPr>
        <w:t xml:space="preserve"> такие как усиление стимулов для антиконконкурентных согласованных действий и соглашений</w:t>
      </w:r>
      <w:r w:rsidR="00A27FD7">
        <w:rPr>
          <w:rFonts w:ascii="Times New Roman" w:hAnsi="Times New Roman"/>
          <w:color w:val="000000"/>
          <w:sz w:val="28"/>
          <w:szCs w:val="28"/>
        </w:rPr>
        <w:t>,</w:t>
      </w:r>
      <w:r>
        <w:rPr>
          <w:rFonts w:ascii="Times New Roman" w:hAnsi="Times New Roman"/>
          <w:color w:val="000000"/>
          <w:sz w:val="28"/>
          <w:szCs w:val="28"/>
        </w:rPr>
        <w:t xml:space="preserve"> становятс</w:t>
      </w:r>
      <w:r w:rsidR="00A27FD7">
        <w:rPr>
          <w:rFonts w:ascii="Times New Roman" w:hAnsi="Times New Roman"/>
          <w:color w:val="000000"/>
          <w:sz w:val="28"/>
          <w:szCs w:val="28"/>
        </w:rPr>
        <w:t>я все больше</w:t>
      </w:r>
      <w:r w:rsidRPr="00CC0907">
        <w:rPr>
          <w:rFonts w:ascii="Times New Roman" w:hAnsi="Times New Roman"/>
          <w:color w:val="000000"/>
          <w:sz w:val="28"/>
          <w:szCs w:val="28"/>
        </w:rPr>
        <w:t xml:space="preserve"> с учетом слияний и создания глобальных компаний, работающих на мировом рынке и владеющих всем спектром современных технологий, создающих свои интегрированные платформы, через которые планируется осуществлять продажи.</w:t>
      </w:r>
    </w:p>
    <w:p w:rsidR="0068434D" w:rsidRDefault="0068434D" w:rsidP="004D2C9E">
      <w:pPr>
        <w:pStyle w:val="a8"/>
        <w:widowControl/>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Важно отметить, что ограничение конкуренции в области доступа к ресурсам характерно и для цифровых рынков.</w:t>
      </w:r>
    </w:p>
    <w:p w:rsidR="0068434D" w:rsidRPr="00B623C6" w:rsidRDefault="0068434D" w:rsidP="004D2C9E">
      <w:pPr>
        <w:pStyle w:val="4"/>
      </w:pPr>
      <w:r w:rsidRPr="00B623C6">
        <w:t>Республика Казахстан</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В 2017 году антимонопольным органом Республики Казахстан доказан картель </w:t>
      </w:r>
      <w:r>
        <w:rPr>
          <w:rFonts w:ascii="Times New Roman" w:hAnsi="Times New Roman"/>
          <w:color w:val="000000"/>
          <w:sz w:val="28"/>
          <w:szCs w:val="28"/>
        </w:rPr>
        <w:t xml:space="preserve">регистраторов </w:t>
      </w:r>
      <w:r w:rsidRPr="00B623C6">
        <w:rPr>
          <w:rFonts w:ascii="Times New Roman" w:hAnsi="Times New Roman"/>
          <w:color w:val="000000"/>
          <w:sz w:val="28"/>
          <w:szCs w:val="28"/>
        </w:rPr>
        <w:t xml:space="preserve">на рынке оказания услуг по регистрации </w:t>
      </w:r>
      <w:r>
        <w:rPr>
          <w:rFonts w:ascii="Times New Roman" w:hAnsi="Times New Roman"/>
          <w:color w:val="000000"/>
          <w:sz w:val="28"/>
          <w:szCs w:val="28"/>
        </w:rPr>
        <w:t>доменных имен</w:t>
      </w:r>
      <w:r w:rsidRPr="00B623C6">
        <w:rPr>
          <w:rFonts w:ascii="Times New Roman" w:hAnsi="Times New Roman"/>
          <w:color w:val="000000"/>
          <w:sz w:val="28"/>
          <w:szCs w:val="28"/>
        </w:rPr>
        <w:t xml:space="preserve"> в доменных зонах </w:t>
      </w:r>
      <w:r>
        <w:rPr>
          <w:rFonts w:ascii="Times New Roman" w:hAnsi="Times New Roman"/>
          <w:color w:val="000000"/>
          <w:sz w:val="28"/>
          <w:szCs w:val="28"/>
        </w:rPr>
        <w:t xml:space="preserve">верхнего уровня </w:t>
      </w:r>
      <w:r w:rsidR="004D2C9E">
        <w:rPr>
          <w:rFonts w:ascii="Times New Roman" w:hAnsi="Times New Roman"/>
          <w:color w:val="000000"/>
          <w:sz w:val="28"/>
          <w:szCs w:val="28"/>
        </w:rPr>
        <w:t>«</w:t>
      </w:r>
      <w:r w:rsidRPr="00B623C6">
        <w:rPr>
          <w:rFonts w:ascii="Times New Roman" w:hAnsi="Times New Roman"/>
          <w:color w:val="000000"/>
          <w:sz w:val="28"/>
          <w:szCs w:val="28"/>
        </w:rPr>
        <w:t>.қаз</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и </w:t>
      </w:r>
      <w:r w:rsidR="004D2C9E">
        <w:rPr>
          <w:rFonts w:ascii="Times New Roman" w:hAnsi="Times New Roman"/>
          <w:color w:val="000000"/>
          <w:sz w:val="28"/>
          <w:szCs w:val="28"/>
        </w:rPr>
        <w:t>«</w:t>
      </w:r>
      <w:r w:rsidRPr="00B623C6">
        <w:rPr>
          <w:rFonts w:ascii="Times New Roman" w:hAnsi="Times New Roman"/>
          <w:color w:val="000000"/>
          <w:sz w:val="28"/>
          <w:szCs w:val="28"/>
        </w:rPr>
        <w:t>.kz</w:t>
      </w:r>
      <w:r w:rsidR="004D2C9E">
        <w:rPr>
          <w:rFonts w:ascii="Times New Roman" w:hAnsi="Times New Roman"/>
          <w:color w:val="000000"/>
          <w:sz w:val="28"/>
          <w:szCs w:val="28"/>
        </w:rPr>
        <w:t>»</w:t>
      </w:r>
      <w:r w:rsidRPr="00B623C6">
        <w:rPr>
          <w:rFonts w:ascii="Times New Roman" w:hAnsi="Times New Roman"/>
          <w:color w:val="000000"/>
          <w:sz w:val="28"/>
          <w:szCs w:val="28"/>
        </w:rPr>
        <w:t>.</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Комитетом по регулированию естественных монополий, защите конкуренции и прав потребителей Министерства национальной экономики Республики Казахстан (далее – Комитет) совместно с Департаментами Комитета по городам Алматы, Астана и Павлодарской, Карагандинской областям проведено расследование по факту заключения антиконкурентных соглашений в части поддержания цен (тарифов) на услуги регистрации и поддержки доменных имен в доменных зонах </w:t>
      </w:r>
      <w:r w:rsidR="004D2C9E">
        <w:rPr>
          <w:rFonts w:ascii="Times New Roman" w:hAnsi="Times New Roman"/>
          <w:color w:val="000000"/>
          <w:sz w:val="28"/>
          <w:szCs w:val="28"/>
        </w:rPr>
        <w:t>«</w:t>
      </w:r>
      <w:r w:rsidR="00D0047D">
        <w:rPr>
          <w:rFonts w:ascii="Times New Roman" w:hAnsi="Times New Roman"/>
          <w:color w:val="000000"/>
          <w:sz w:val="28"/>
          <w:szCs w:val="28"/>
        </w:rPr>
        <w:t>.</w:t>
      </w:r>
      <w:r w:rsidRPr="00B623C6">
        <w:rPr>
          <w:rFonts w:ascii="Times New Roman" w:hAnsi="Times New Roman"/>
          <w:color w:val="000000"/>
          <w:sz w:val="28"/>
          <w:szCs w:val="28"/>
        </w:rPr>
        <w:t>қаз</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и </w:t>
      </w:r>
      <w:r w:rsidR="004D2C9E">
        <w:rPr>
          <w:rFonts w:ascii="Times New Roman" w:hAnsi="Times New Roman"/>
          <w:color w:val="000000"/>
          <w:sz w:val="28"/>
          <w:szCs w:val="28"/>
        </w:rPr>
        <w:t>«</w:t>
      </w:r>
      <w:r w:rsidR="00D0047D">
        <w:rPr>
          <w:rFonts w:ascii="Times New Roman" w:hAnsi="Times New Roman"/>
          <w:color w:val="000000"/>
          <w:sz w:val="28"/>
          <w:szCs w:val="28"/>
        </w:rPr>
        <w:t>.</w:t>
      </w:r>
      <w:r w:rsidRPr="00B623C6">
        <w:rPr>
          <w:rFonts w:ascii="Times New Roman" w:hAnsi="Times New Roman"/>
          <w:color w:val="000000"/>
          <w:sz w:val="28"/>
          <w:szCs w:val="28"/>
        </w:rPr>
        <w:t>kz</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(пп.</w:t>
      </w:r>
      <w:r w:rsidR="00CF6C98">
        <w:rPr>
          <w:rFonts w:ascii="Times New Roman" w:hAnsi="Times New Roman"/>
          <w:color w:val="000000"/>
          <w:sz w:val="28"/>
          <w:szCs w:val="28"/>
        </w:rPr>
        <w:t> </w:t>
      </w:r>
      <w:r w:rsidRPr="00B623C6">
        <w:rPr>
          <w:rFonts w:ascii="Times New Roman" w:hAnsi="Times New Roman"/>
          <w:color w:val="000000"/>
          <w:sz w:val="28"/>
          <w:szCs w:val="28"/>
        </w:rPr>
        <w:t>1</w:t>
      </w:r>
      <w:r w:rsidR="00D0047D">
        <w:rPr>
          <w:rFonts w:ascii="Times New Roman" w:hAnsi="Times New Roman"/>
          <w:color w:val="000000"/>
          <w:sz w:val="28"/>
          <w:szCs w:val="28"/>
        </w:rPr>
        <w:t>,</w:t>
      </w:r>
      <w:r w:rsidR="002A6EE2">
        <w:rPr>
          <w:rFonts w:ascii="Times New Roman" w:hAnsi="Times New Roman"/>
          <w:color w:val="000000"/>
          <w:sz w:val="28"/>
          <w:szCs w:val="28"/>
        </w:rPr>
        <w:t xml:space="preserve"> </w:t>
      </w:r>
      <w:r w:rsidRPr="00B623C6">
        <w:rPr>
          <w:rFonts w:ascii="Times New Roman" w:hAnsi="Times New Roman"/>
          <w:color w:val="000000"/>
          <w:sz w:val="28"/>
          <w:szCs w:val="28"/>
        </w:rPr>
        <w:t>п</w:t>
      </w:r>
      <w:r w:rsidR="00D0047D">
        <w:rPr>
          <w:rFonts w:ascii="Times New Roman" w:hAnsi="Times New Roman"/>
          <w:color w:val="000000"/>
          <w:sz w:val="28"/>
          <w:szCs w:val="28"/>
        </w:rPr>
        <w:t>ункт</w:t>
      </w:r>
      <w:r w:rsidRPr="00B623C6">
        <w:rPr>
          <w:rFonts w:ascii="Times New Roman" w:hAnsi="Times New Roman"/>
          <w:color w:val="000000"/>
          <w:sz w:val="28"/>
          <w:szCs w:val="28"/>
        </w:rPr>
        <w:t xml:space="preserve"> 1 ст</w:t>
      </w:r>
      <w:r w:rsidR="00D0047D">
        <w:rPr>
          <w:rFonts w:ascii="Times New Roman" w:hAnsi="Times New Roman"/>
          <w:color w:val="000000"/>
          <w:sz w:val="28"/>
          <w:szCs w:val="28"/>
        </w:rPr>
        <w:t>атьи</w:t>
      </w:r>
      <w:r w:rsidRPr="00B623C6">
        <w:rPr>
          <w:rFonts w:ascii="Times New Roman" w:hAnsi="Times New Roman"/>
          <w:color w:val="000000"/>
          <w:sz w:val="28"/>
          <w:szCs w:val="28"/>
        </w:rPr>
        <w:t xml:space="preserve"> 169 </w:t>
      </w:r>
      <w:r w:rsidR="00D0047D" w:rsidRPr="00D0047D">
        <w:rPr>
          <w:rFonts w:ascii="Times New Roman" w:hAnsi="Times New Roman"/>
          <w:color w:val="000000"/>
          <w:sz w:val="28"/>
          <w:szCs w:val="28"/>
        </w:rPr>
        <w:t>Предпринимательск</w:t>
      </w:r>
      <w:r w:rsidR="00D0047D">
        <w:rPr>
          <w:rFonts w:ascii="Times New Roman" w:hAnsi="Times New Roman"/>
          <w:color w:val="000000"/>
          <w:sz w:val="28"/>
          <w:szCs w:val="28"/>
        </w:rPr>
        <w:t>ого</w:t>
      </w:r>
      <w:r w:rsidR="00D0047D" w:rsidRPr="00D0047D">
        <w:rPr>
          <w:rFonts w:ascii="Times New Roman" w:hAnsi="Times New Roman"/>
          <w:color w:val="000000"/>
          <w:sz w:val="28"/>
          <w:szCs w:val="28"/>
        </w:rPr>
        <w:t xml:space="preserve"> кодекс</w:t>
      </w:r>
      <w:r w:rsidR="00D0047D">
        <w:rPr>
          <w:rFonts w:ascii="Times New Roman" w:hAnsi="Times New Roman"/>
          <w:color w:val="000000"/>
          <w:sz w:val="28"/>
          <w:szCs w:val="28"/>
        </w:rPr>
        <w:t>а</w:t>
      </w:r>
      <w:r w:rsidR="00D0047D" w:rsidRPr="00D0047D">
        <w:rPr>
          <w:rFonts w:ascii="Times New Roman" w:hAnsi="Times New Roman"/>
          <w:color w:val="000000"/>
          <w:sz w:val="28"/>
          <w:szCs w:val="28"/>
        </w:rPr>
        <w:t xml:space="preserve"> Республики Казахстан</w:t>
      </w:r>
      <w:r w:rsidRPr="00B623C6">
        <w:rPr>
          <w:rFonts w:ascii="Times New Roman" w:hAnsi="Times New Roman"/>
          <w:color w:val="000000"/>
          <w:sz w:val="28"/>
          <w:szCs w:val="28"/>
        </w:rPr>
        <w:t xml:space="preserve">) в отношении </w:t>
      </w:r>
      <w:r w:rsidRPr="005B1CCC">
        <w:rPr>
          <w:rFonts w:ascii="Times New Roman" w:hAnsi="Times New Roman"/>
          <w:color w:val="000000"/>
          <w:spacing w:val="-4"/>
          <w:sz w:val="28"/>
          <w:szCs w:val="28"/>
        </w:rPr>
        <w:t xml:space="preserve">АО </w:t>
      </w:r>
      <w:r w:rsidR="004D2C9E" w:rsidRPr="005B1CCC">
        <w:rPr>
          <w:rFonts w:ascii="Times New Roman" w:hAnsi="Times New Roman"/>
          <w:color w:val="000000"/>
          <w:spacing w:val="-4"/>
          <w:sz w:val="28"/>
          <w:szCs w:val="28"/>
        </w:rPr>
        <w:t>«</w:t>
      </w:r>
      <w:r w:rsidRPr="005B1CCC">
        <w:rPr>
          <w:rFonts w:ascii="Times New Roman" w:hAnsi="Times New Roman"/>
          <w:color w:val="000000"/>
          <w:spacing w:val="-4"/>
          <w:sz w:val="28"/>
          <w:szCs w:val="28"/>
        </w:rPr>
        <w:t>Казахтелеком</w:t>
      </w:r>
      <w:r w:rsidR="004D2C9E" w:rsidRPr="005B1CCC">
        <w:rPr>
          <w:rFonts w:ascii="Times New Roman" w:hAnsi="Times New Roman"/>
          <w:color w:val="000000"/>
          <w:spacing w:val="-4"/>
          <w:sz w:val="28"/>
          <w:szCs w:val="28"/>
        </w:rPr>
        <w:t>»</w:t>
      </w:r>
      <w:r w:rsidRPr="005B1CCC">
        <w:rPr>
          <w:rFonts w:ascii="Times New Roman" w:hAnsi="Times New Roman"/>
          <w:color w:val="000000"/>
          <w:spacing w:val="-4"/>
          <w:sz w:val="28"/>
          <w:szCs w:val="28"/>
        </w:rPr>
        <w:t xml:space="preserve">, ТОО </w:t>
      </w:r>
      <w:r w:rsidR="004D2C9E" w:rsidRPr="005B1CCC">
        <w:rPr>
          <w:rFonts w:ascii="Times New Roman" w:hAnsi="Times New Roman"/>
          <w:color w:val="000000"/>
          <w:spacing w:val="-4"/>
          <w:sz w:val="28"/>
          <w:szCs w:val="28"/>
        </w:rPr>
        <w:t>«</w:t>
      </w:r>
      <w:r w:rsidRPr="005B1CCC">
        <w:rPr>
          <w:rFonts w:ascii="Times New Roman" w:hAnsi="Times New Roman"/>
          <w:color w:val="000000"/>
          <w:spacing w:val="-4"/>
          <w:sz w:val="28"/>
          <w:szCs w:val="28"/>
        </w:rPr>
        <w:t>Интернет-компания PS</w:t>
      </w:r>
      <w:r w:rsidR="004D2C9E" w:rsidRPr="005B1CCC">
        <w:rPr>
          <w:rFonts w:ascii="Times New Roman" w:hAnsi="Times New Roman"/>
          <w:color w:val="000000"/>
          <w:spacing w:val="-4"/>
          <w:sz w:val="28"/>
          <w:szCs w:val="28"/>
        </w:rPr>
        <w:t>»</w:t>
      </w:r>
      <w:r w:rsidRPr="005B1CCC">
        <w:rPr>
          <w:rFonts w:ascii="Times New Roman" w:hAnsi="Times New Roman"/>
          <w:color w:val="000000"/>
          <w:spacing w:val="-4"/>
          <w:sz w:val="28"/>
          <w:szCs w:val="28"/>
        </w:rPr>
        <w:t xml:space="preserve">, ТОО </w:t>
      </w:r>
      <w:r w:rsidR="004D2C9E" w:rsidRPr="005B1CCC">
        <w:rPr>
          <w:rFonts w:ascii="Times New Roman" w:hAnsi="Times New Roman"/>
          <w:color w:val="000000"/>
          <w:spacing w:val="-4"/>
          <w:sz w:val="28"/>
          <w:szCs w:val="28"/>
        </w:rPr>
        <w:t>«</w:t>
      </w:r>
      <w:r w:rsidRPr="005B1CCC">
        <w:rPr>
          <w:rFonts w:ascii="Times New Roman" w:hAnsi="Times New Roman"/>
          <w:color w:val="000000"/>
          <w:spacing w:val="-4"/>
          <w:sz w:val="28"/>
          <w:szCs w:val="28"/>
        </w:rPr>
        <w:t>Компания Hoster.KZ</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ТОО </w:t>
      </w:r>
      <w:r w:rsidR="004D2C9E">
        <w:rPr>
          <w:rFonts w:ascii="Times New Roman" w:hAnsi="Times New Roman"/>
          <w:color w:val="000000"/>
          <w:sz w:val="28"/>
          <w:szCs w:val="28"/>
        </w:rPr>
        <w:t>«</w:t>
      </w:r>
      <w:r w:rsidRPr="00B623C6">
        <w:rPr>
          <w:rFonts w:ascii="Times New Roman" w:hAnsi="Times New Roman"/>
          <w:color w:val="000000"/>
          <w:sz w:val="28"/>
          <w:szCs w:val="28"/>
        </w:rPr>
        <w:t>CyberAge</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ТОО </w:t>
      </w:r>
      <w:r w:rsidR="004D2C9E">
        <w:rPr>
          <w:rFonts w:ascii="Times New Roman" w:hAnsi="Times New Roman"/>
          <w:color w:val="000000"/>
          <w:sz w:val="28"/>
          <w:szCs w:val="28"/>
        </w:rPr>
        <w:t>«</w:t>
      </w:r>
      <w:r w:rsidRPr="00B623C6">
        <w:rPr>
          <w:rFonts w:ascii="Times New Roman" w:hAnsi="Times New Roman"/>
          <w:color w:val="000000"/>
          <w:sz w:val="28"/>
          <w:szCs w:val="28"/>
        </w:rPr>
        <w:t>HOST.KZ</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ТОО </w:t>
      </w:r>
      <w:r w:rsidR="004D2C9E">
        <w:rPr>
          <w:rFonts w:ascii="Times New Roman" w:hAnsi="Times New Roman"/>
          <w:color w:val="000000"/>
          <w:sz w:val="28"/>
          <w:szCs w:val="28"/>
        </w:rPr>
        <w:t>«</w:t>
      </w:r>
      <w:r w:rsidRPr="00B623C6">
        <w:rPr>
          <w:rFonts w:ascii="Times New Roman" w:hAnsi="Times New Roman"/>
          <w:color w:val="000000"/>
          <w:sz w:val="28"/>
          <w:szCs w:val="28"/>
        </w:rPr>
        <w:t>Зебра Телеком</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и ТОО </w:t>
      </w:r>
      <w:r w:rsidR="004D2C9E">
        <w:rPr>
          <w:rFonts w:ascii="Times New Roman" w:hAnsi="Times New Roman"/>
          <w:color w:val="000000"/>
          <w:sz w:val="28"/>
          <w:szCs w:val="28"/>
        </w:rPr>
        <w:t>«</w:t>
      </w:r>
      <w:r w:rsidRPr="00B623C6">
        <w:rPr>
          <w:rFonts w:ascii="Times New Roman" w:hAnsi="Times New Roman"/>
          <w:color w:val="000000"/>
          <w:sz w:val="28"/>
          <w:szCs w:val="28"/>
        </w:rPr>
        <w:t>GFX</w:t>
      </w:r>
      <w:r w:rsidR="004D2C9E">
        <w:rPr>
          <w:rFonts w:ascii="Times New Roman" w:hAnsi="Times New Roman"/>
          <w:color w:val="000000"/>
          <w:sz w:val="28"/>
          <w:szCs w:val="28"/>
        </w:rPr>
        <w:t>»</w:t>
      </w:r>
      <w:r w:rsidRPr="00B623C6">
        <w:rPr>
          <w:rFonts w:ascii="Times New Roman" w:hAnsi="Times New Roman"/>
          <w:color w:val="000000"/>
          <w:sz w:val="28"/>
          <w:szCs w:val="28"/>
        </w:rPr>
        <w:t>.</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Установлено, что по итогам ранее проведенного расследования нарушений антимонопольного законодательства (постановления апелляционной судебной коллегии от 11 августа и от 16 сентября 2015 года) приказ Казахстанской </w:t>
      </w:r>
      <w:r w:rsidR="00D0047D">
        <w:rPr>
          <w:rFonts w:ascii="Times New Roman" w:hAnsi="Times New Roman"/>
          <w:color w:val="000000"/>
          <w:sz w:val="28"/>
          <w:szCs w:val="28"/>
        </w:rPr>
        <w:t>а</w:t>
      </w:r>
      <w:r w:rsidRPr="00B623C6">
        <w:rPr>
          <w:rFonts w:ascii="Times New Roman" w:hAnsi="Times New Roman"/>
          <w:color w:val="000000"/>
          <w:sz w:val="28"/>
          <w:szCs w:val="28"/>
        </w:rPr>
        <w:t>ссоциации IT (далее</w:t>
      </w:r>
      <w:r w:rsidR="00F9318B">
        <w:rPr>
          <w:rFonts w:ascii="Times New Roman" w:hAnsi="Times New Roman"/>
          <w:color w:val="000000"/>
          <w:sz w:val="28"/>
          <w:szCs w:val="28"/>
        </w:rPr>
        <w:t xml:space="preserve"> – </w:t>
      </w:r>
      <w:r w:rsidRPr="00B623C6">
        <w:rPr>
          <w:rFonts w:ascii="Times New Roman" w:hAnsi="Times New Roman"/>
          <w:color w:val="000000"/>
          <w:sz w:val="28"/>
          <w:szCs w:val="28"/>
        </w:rPr>
        <w:t xml:space="preserve">Ассоциация) от 13 января 2015 года </w:t>
      </w:r>
      <w:r w:rsidR="00E720B2">
        <w:rPr>
          <w:rFonts w:ascii="Times New Roman" w:hAnsi="Times New Roman"/>
          <w:color w:val="000000"/>
          <w:sz w:val="28"/>
          <w:szCs w:val="28"/>
        </w:rPr>
        <w:t>№ </w:t>
      </w:r>
      <w:r w:rsidRPr="00B623C6">
        <w:rPr>
          <w:rFonts w:ascii="Times New Roman" w:hAnsi="Times New Roman"/>
          <w:color w:val="000000"/>
          <w:sz w:val="28"/>
          <w:szCs w:val="28"/>
        </w:rPr>
        <w:t>1 об определении стоимости регистрации регистраторами доменных имен был признан незаконным и во исполнение предписания был отменен Ассоциацией с 16 сентября 2015 года.</w:t>
      </w:r>
    </w:p>
    <w:p w:rsidR="0068434D" w:rsidRPr="00B623C6" w:rsidRDefault="00D0047D" w:rsidP="00045D44">
      <w:pPr>
        <w:pStyle w:val="a8"/>
        <w:widowControl/>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Вместе с тем</w:t>
      </w:r>
      <w:r w:rsidR="0068434D" w:rsidRPr="00B623C6">
        <w:rPr>
          <w:rFonts w:ascii="Times New Roman" w:hAnsi="Times New Roman"/>
          <w:color w:val="000000"/>
          <w:sz w:val="28"/>
          <w:szCs w:val="28"/>
        </w:rPr>
        <w:t xml:space="preserve"> объектами расследования</w:t>
      </w:r>
      <w:r>
        <w:rPr>
          <w:rFonts w:ascii="Times New Roman" w:hAnsi="Times New Roman"/>
          <w:color w:val="000000"/>
          <w:sz w:val="28"/>
          <w:szCs w:val="28"/>
        </w:rPr>
        <w:t>,</w:t>
      </w:r>
      <w:r w:rsidR="0068434D" w:rsidRPr="00B623C6">
        <w:rPr>
          <w:rFonts w:ascii="Times New Roman" w:hAnsi="Times New Roman"/>
          <w:color w:val="000000"/>
          <w:sz w:val="28"/>
          <w:szCs w:val="28"/>
        </w:rPr>
        <w:t xml:space="preserve"> являющимися конкурентами по отношению друг к другу, поддерживалась необоснованно установленная Ассоциацией стоимость оказания услуг регистрации доменных зон в доменных зонах </w:t>
      </w:r>
      <w:r w:rsidR="004D2C9E">
        <w:rPr>
          <w:rFonts w:ascii="Times New Roman" w:hAnsi="Times New Roman"/>
          <w:color w:val="000000"/>
          <w:sz w:val="28"/>
          <w:szCs w:val="28"/>
        </w:rPr>
        <w:t>«</w:t>
      </w:r>
      <w:r w:rsidR="0068434D" w:rsidRPr="00B623C6">
        <w:rPr>
          <w:rFonts w:ascii="Times New Roman" w:hAnsi="Times New Roman"/>
          <w:color w:val="000000"/>
          <w:sz w:val="28"/>
          <w:szCs w:val="28"/>
        </w:rPr>
        <w:t>.қаз</w:t>
      </w:r>
      <w:r w:rsidR="004D2C9E">
        <w:rPr>
          <w:rFonts w:ascii="Times New Roman" w:hAnsi="Times New Roman"/>
          <w:color w:val="000000"/>
          <w:sz w:val="28"/>
          <w:szCs w:val="28"/>
        </w:rPr>
        <w:t>»</w:t>
      </w:r>
      <w:r w:rsidR="0068434D" w:rsidRPr="00B623C6">
        <w:rPr>
          <w:rFonts w:ascii="Times New Roman" w:hAnsi="Times New Roman"/>
          <w:color w:val="000000"/>
          <w:sz w:val="28"/>
          <w:szCs w:val="28"/>
        </w:rPr>
        <w:t xml:space="preserve"> и </w:t>
      </w:r>
      <w:r w:rsidR="004D2C9E">
        <w:rPr>
          <w:rFonts w:ascii="Times New Roman" w:hAnsi="Times New Roman"/>
          <w:color w:val="000000"/>
          <w:sz w:val="28"/>
          <w:szCs w:val="28"/>
        </w:rPr>
        <w:t>«</w:t>
      </w:r>
      <w:r w:rsidR="0068434D" w:rsidRPr="00B623C6">
        <w:rPr>
          <w:rFonts w:ascii="Times New Roman" w:hAnsi="Times New Roman"/>
          <w:color w:val="000000"/>
          <w:sz w:val="28"/>
          <w:szCs w:val="28"/>
        </w:rPr>
        <w:t>.kz</w:t>
      </w:r>
      <w:r w:rsidR="004D2C9E">
        <w:rPr>
          <w:rFonts w:ascii="Times New Roman" w:hAnsi="Times New Roman"/>
          <w:color w:val="000000"/>
          <w:sz w:val="28"/>
          <w:szCs w:val="28"/>
        </w:rPr>
        <w:t>»</w:t>
      </w:r>
      <w:r w:rsidR="005F0BD8">
        <w:rPr>
          <w:rFonts w:ascii="Times New Roman" w:hAnsi="Times New Roman"/>
          <w:color w:val="000000"/>
          <w:sz w:val="28"/>
          <w:szCs w:val="28"/>
        </w:rPr>
        <w:t xml:space="preserve"> </w:t>
      </w:r>
      <w:r w:rsidR="0068434D" w:rsidRPr="00B623C6">
        <w:rPr>
          <w:rFonts w:ascii="Times New Roman" w:hAnsi="Times New Roman"/>
          <w:color w:val="000000"/>
          <w:sz w:val="28"/>
          <w:szCs w:val="28"/>
        </w:rPr>
        <w:t>в размере 3</w:t>
      </w:r>
      <w:r w:rsidR="005F0BD8">
        <w:rPr>
          <w:rFonts w:ascii="Times New Roman" w:hAnsi="Times New Roman"/>
          <w:color w:val="000000"/>
          <w:sz w:val="28"/>
          <w:szCs w:val="28"/>
        </w:rPr>
        <w:t xml:space="preserve"> </w:t>
      </w:r>
      <w:r w:rsidR="0068434D" w:rsidRPr="00B623C6">
        <w:rPr>
          <w:rFonts w:ascii="Times New Roman" w:hAnsi="Times New Roman"/>
          <w:color w:val="000000"/>
          <w:sz w:val="28"/>
          <w:szCs w:val="28"/>
        </w:rPr>
        <w:t>360 тенге.</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По результатам расследования возбуждены административные производства и вынесены предписания о прекращении нарушений норм </w:t>
      </w:r>
      <w:r w:rsidR="005F0BD8" w:rsidRPr="005F0BD8">
        <w:rPr>
          <w:rFonts w:ascii="Times New Roman" w:hAnsi="Times New Roman"/>
          <w:color w:val="000000"/>
          <w:sz w:val="28"/>
          <w:szCs w:val="28"/>
        </w:rPr>
        <w:t>Предпринимательского кодекса Республики Казахстан</w:t>
      </w:r>
      <w:r w:rsidRPr="00B623C6">
        <w:rPr>
          <w:rFonts w:ascii="Times New Roman" w:hAnsi="Times New Roman"/>
          <w:color w:val="000000"/>
          <w:sz w:val="28"/>
          <w:szCs w:val="28"/>
        </w:rPr>
        <w:t xml:space="preserve">. Судами указанные </w:t>
      </w:r>
      <w:r w:rsidR="005F0BD8">
        <w:rPr>
          <w:rFonts w:ascii="Times New Roman" w:hAnsi="Times New Roman"/>
          <w:color w:val="000000"/>
          <w:sz w:val="28"/>
          <w:szCs w:val="28"/>
        </w:rPr>
        <w:t>ОО</w:t>
      </w:r>
      <w:r w:rsidRPr="00B623C6">
        <w:rPr>
          <w:rFonts w:ascii="Times New Roman" w:hAnsi="Times New Roman"/>
          <w:color w:val="000000"/>
          <w:sz w:val="28"/>
          <w:szCs w:val="28"/>
        </w:rPr>
        <w:t xml:space="preserve"> и АО </w:t>
      </w:r>
      <w:r w:rsidR="004D2C9E">
        <w:rPr>
          <w:rFonts w:ascii="Times New Roman" w:hAnsi="Times New Roman"/>
          <w:color w:val="000000"/>
          <w:sz w:val="28"/>
          <w:szCs w:val="28"/>
        </w:rPr>
        <w:t>«</w:t>
      </w:r>
      <w:r w:rsidRPr="00B623C6">
        <w:rPr>
          <w:rFonts w:ascii="Times New Roman" w:hAnsi="Times New Roman"/>
          <w:color w:val="000000"/>
          <w:sz w:val="28"/>
          <w:szCs w:val="28"/>
        </w:rPr>
        <w:t>Казахтелеком</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признаны виновными по ч</w:t>
      </w:r>
      <w:r w:rsidR="005F0BD8">
        <w:rPr>
          <w:rFonts w:ascii="Times New Roman" w:hAnsi="Times New Roman"/>
          <w:color w:val="000000"/>
          <w:sz w:val="28"/>
          <w:szCs w:val="28"/>
        </w:rPr>
        <w:t>асти</w:t>
      </w:r>
      <w:r w:rsidR="00CF6C98">
        <w:rPr>
          <w:rFonts w:ascii="Times New Roman" w:hAnsi="Times New Roman"/>
          <w:color w:val="000000"/>
          <w:sz w:val="28"/>
          <w:szCs w:val="28"/>
        </w:rPr>
        <w:t> </w:t>
      </w:r>
      <w:r w:rsidRPr="00B623C6">
        <w:rPr>
          <w:rFonts w:ascii="Times New Roman" w:hAnsi="Times New Roman"/>
          <w:color w:val="000000"/>
          <w:sz w:val="28"/>
          <w:szCs w:val="28"/>
        </w:rPr>
        <w:t>1 ст</w:t>
      </w:r>
      <w:r w:rsidR="005F0BD8">
        <w:rPr>
          <w:rFonts w:ascii="Times New Roman" w:hAnsi="Times New Roman"/>
          <w:color w:val="000000"/>
          <w:sz w:val="28"/>
          <w:szCs w:val="28"/>
        </w:rPr>
        <w:t>атьи</w:t>
      </w:r>
      <w:r w:rsidR="00CF6C98">
        <w:rPr>
          <w:rFonts w:ascii="Times New Roman" w:hAnsi="Times New Roman"/>
          <w:color w:val="000000"/>
          <w:sz w:val="28"/>
          <w:szCs w:val="28"/>
        </w:rPr>
        <w:t> </w:t>
      </w:r>
      <w:r w:rsidRPr="00B623C6">
        <w:rPr>
          <w:rFonts w:ascii="Times New Roman" w:hAnsi="Times New Roman"/>
          <w:color w:val="000000"/>
          <w:sz w:val="28"/>
          <w:szCs w:val="28"/>
        </w:rPr>
        <w:t xml:space="preserve">159 </w:t>
      </w:r>
      <w:r w:rsidR="002A6EE2" w:rsidRPr="002A6EE2">
        <w:rPr>
          <w:rFonts w:ascii="Times New Roman" w:hAnsi="Times New Roman"/>
          <w:color w:val="000000"/>
          <w:sz w:val="28"/>
          <w:szCs w:val="28"/>
        </w:rPr>
        <w:t>Кодекс</w:t>
      </w:r>
      <w:r w:rsidR="002A6EE2">
        <w:rPr>
          <w:rFonts w:ascii="Times New Roman" w:hAnsi="Times New Roman"/>
          <w:color w:val="000000"/>
          <w:sz w:val="28"/>
          <w:szCs w:val="28"/>
        </w:rPr>
        <w:t>а</w:t>
      </w:r>
      <w:r w:rsidR="002A6EE2" w:rsidRPr="002A6EE2">
        <w:rPr>
          <w:rFonts w:ascii="Times New Roman" w:hAnsi="Times New Roman"/>
          <w:color w:val="000000"/>
          <w:sz w:val="28"/>
          <w:szCs w:val="28"/>
        </w:rPr>
        <w:t xml:space="preserve"> об административных правонарушениях</w:t>
      </w:r>
      <w:r w:rsidRPr="00B623C6">
        <w:rPr>
          <w:rFonts w:ascii="Times New Roman" w:hAnsi="Times New Roman"/>
          <w:color w:val="000000"/>
          <w:sz w:val="28"/>
          <w:szCs w:val="28"/>
        </w:rPr>
        <w:t xml:space="preserve"> и подвергнут</w:t>
      </w:r>
      <w:r w:rsidR="002A6EE2">
        <w:rPr>
          <w:rFonts w:ascii="Times New Roman" w:hAnsi="Times New Roman"/>
          <w:color w:val="000000"/>
          <w:sz w:val="28"/>
          <w:szCs w:val="28"/>
        </w:rPr>
        <w:t>ы</w:t>
      </w:r>
      <w:r w:rsidRPr="00B623C6">
        <w:rPr>
          <w:rFonts w:ascii="Times New Roman" w:hAnsi="Times New Roman"/>
          <w:color w:val="000000"/>
          <w:sz w:val="28"/>
          <w:szCs w:val="28"/>
        </w:rPr>
        <w:t xml:space="preserve"> административному взысканию:</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ТОО </w:t>
      </w:r>
      <w:r w:rsidR="004D2C9E">
        <w:rPr>
          <w:rFonts w:ascii="Times New Roman" w:hAnsi="Times New Roman"/>
          <w:color w:val="000000"/>
          <w:sz w:val="28"/>
          <w:szCs w:val="28"/>
        </w:rPr>
        <w:t>«</w:t>
      </w:r>
      <w:r w:rsidRPr="00B623C6">
        <w:rPr>
          <w:rFonts w:ascii="Times New Roman" w:hAnsi="Times New Roman"/>
          <w:color w:val="000000"/>
          <w:sz w:val="28"/>
          <w:szCs w:val="28"/>
        </w:rPr>
        <w:t>GFX</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(постановление </w:t>
      </w:r>
      <w:r w:rsidR="005F0BD8" w:rsidRPr="005F0BD8">
        <w:rPr>
          <w:rFonts w:ascii="Times New Roman" w:hAnsi="Times New Roman"/>
          <w:color w:val="000000"/>
          <w:sz w:val="28"/>
          <w:szCs w:val="28"/>
        </w:rPr>
        <w:t>Специализированн</w:t>
      </w:r>
      <w:r w:rsidR="005F0BD8">
        <w:rPr>
          <w:rFonts w:ascii="Times New Roman" w:hAnsi="Times New Roman"/>
          <w:color w:val="000000"/>
          <w:sz w:val="28"/>
          <w:szCs w:val="28"/>
        </w:rPr>
        <w:t>ого</w:t>
      </w:r>
      <w:r w:rsidR="005F0BD8" w:rsidRPr="005F0BD8">
        <w:rPr>
          <w:rFonts w:ascii="Times New Roman" w:hAnsi="Times New Roman"/>
          <w:color w:val="000000"/>
          <w:sz w:val="28"/>
          <w:szCs w:val="28"/>
        </w:rPr>
        <w:t xml:space="preserve"> межрайонн</w:t>
      </w:r>
      <w:r w:rsidR="005F0BD8">
        <w:rPr>
          <w:rFonts w:ascii="Times New Roman" w:hAnsi="Times New Roman"/>
          <w:color w:val="000000"/>
          <w:sz w:val="28"/>
          <w:szCs w:val="28"/>
        </w:rPr>
        <w:t>ого</w:t>
      </w:r>
      <w:r w:rsidR="005F0BD8" w:rsidRPr="005F0BD8">
        <w:rPr>
          <w:rFonts w:ascii="Times New Roman" w:hAnsi="Times New Roman"/>
          <w:color w:val="000000"/>
          <w:sz w:val="28"/>
          <w:szCs w:val="28"/>
        </w:rPr>
        <w:t xml:space="preserve"> административн</w:t>
      </w:r>
      <w:r w:rsidR="005F0BD8">
        <w:rPr>
          <w:rFonts w:ascii="Times New Roman" w:hAnsi="Times New Roman"/>
          <w:color w:val="000000"/>
          <w:sz w:val="28"/>
          <w:szCs w:val="28"/>
        </w:rPr>
        <w:t>ого</w:t>
      </w:r>
      <w:r w:rsidR="005F0BD8" w:rsidRPr="005F0BD8">
        <w:rPr>
          <w:rFonts w:ascii="Times New Roman" w:hAnsi="Times New Roman"/>
          <w:color w:val="000000"/>
          <w:sz w:val="28"/>
          <w:szCs w:val="28"/>
        </w:rPr>
        <w:t xml:space="preserve"> суд</w:t>
      </w:r>
      <w:r w:rsidR="005F0BD8">
        <w:rPr>
          <w:rFonts w:ascii="Times New Roman" w:hAnsi="Times New Roman"/>
          <w:color w:val="000000"/>
          <w:sz w:val="28"/>
          <w:szCs w:val="28"/>
        </w:rPr>
        <w:t>а (СМАС</w:t>
      </w:r>
      <w:r w:rsidR="004D06AA">
        <w:rPr>
          <w:rFonts w:ascii="Times New Roman" w:hAnsi="Times New Roman"/>
          <w:color w:val="000000"/>
          <w:sz w:val="28"/>
          <w:szCs w:val="28"/>
        </w:rPr>
        <w:t>)</w:t>
      </w:r>
      <w:r w:rsidRPr="005F0BD8">
        <w:rPr>
          <w:rFonts w:ascii="Times New Roman" w:hAnsi="Times New Roman"/>
          <w:color w:val="000000"/>
          <w:sz w:val="28"/>
          <w:szCs w:val="28"/>
        </w:rPr>
        <w:t xml:space="preserve"> </w:t>
      </w:r>
      <w:r w:rsidRPr="00B623C6">
        <w:rPr>
          <w:rFonts w:ascii="Times New Roman" w:hAnsi="Times New Roman"/>
          <w:color w:val="000000"/>
          <w:sz w:val="28"/>
          <w:szCs w:val="28"/>
        </w:rPr>
        <w:t>г.</w:t>
      </w:r>
      <w:r w:rsidR="001123EA">
        <w:rPr>
          <w:rFonts w:ascii="Times New Roman" w:hAnsi="Times New Roman"/>
          <w:color w:val="000000"/>
          <w:sz w:val="28"/>
          <w:szCs w:val="28"/>
        </w:rPr>
        <w:t> </w:t>
      </w:r>
      <w:r w:rsidRPr="00B623C6">
        <w:rPr>
          <w:rFonts w:ascii="Times New Roman" w:hAnsi="Times New Roman"/>
          <w:color w:val="000000"/>
          <w:sz w:val="28"/>
          <w:szCs w:val="28"/>
        </w:rPr>
        <w:t>Алматы от 17</w:t>
      </w:r>
      <w:r w:rsidR="001123EA">
        <w:rPr>
          <w:rFonts w:ascii="Times New Roman" w:hAnsi="Times New Roman"/>
          <w:color w:val="000000"/>
          <w:sz w:val="28"/>
          <w:szCs w:val="28"/>
        </w:rPr>
        <w:t xml:space="preserve"> октября</w:t>
      </w:r>
      <w:r w:rsidR="005F0BD8">
        <w:rPr>
          <w:rFonts w:ascii="Times New Roman" w:hAnsi="Times New Roman"/>
          <w:color w:val="000000"/>
          <w:sz w:val="28"/>
          <w:szCs w:val="28"/>
        </w:rPr>
        <w:t xml:space="preserve"> </w:t>
      </w:r>
      <w:r w:rsidR="001123EA">
        <w:rPr>
          <w:rFonts w:ascii="Times New Roman" w:hAnsi="Times New Roman"/>
          <w:color w:val="000000"/>
          <w:sz w:val="28"/>
          <w:szCs w:val="28"/>
        </w:rPr>
        <w:t>20</w:t>
      </w:r>
      <w:r w:rsidRPr="00B623C6">
        <w:rPr>
          <w:rFonts w:ascii="Times New Roman" w:hAnsi="Times New Roman"/>
          <w:color w:val="000000"/>
          <w:sz w:val="28"/>
          <w:szCs w:val="28"/>
        </w:rPr>
        <w:t>17</w:t>
      </w:r>
      <w:r w:rsidR="001123EA">
        <w:rPr>
          <w:rFonts w:ascii="Times New Roman" w:hAnsi="Times New Roman"/>
          <w:color w:val="000000"/>
          <w:sz w:val="28"/>
          <w:szCs w:val="28"/>
        </w:rPr>
        <w:t xml:space="preserve"> </w:t>
      </w:r>
      <w:r w:rsidRPr="00B623C6">
        <w:rPr>
          <w:rFonts w:ascii="Times New Roman" w:hAnsi="Times New Roman"/>
          <w:color w:val="000000"/>
          <w:sz w:val="28"/>
          <w:szCs w:val="28"/>
        </w:rPr>
        <w:t>г</w:t>
      </w:r>
      <w:r w:rsidR="001123EA">
        <w:rPr>
          <w:rFonts w:ascii="Times New Roman" w:hAnsi="Times New Roman"/>
          <w:color w:val="000000"/>
          <w:sz w:val="28"/>
          <w:szCs w:val="28"/>
        </w:rPr>
        <w:t>ода</w:t>
      </w:r>
      <w:r w:rsidRPr="00B623C6">
        <w:rPr>
          <w:rFonts w:ascii="Times New Roman" w:hAnsi="Times New Roman"/>
          <w:color w:val="000000"/>
          <w:sz w:val="28"/>
          <w:szCs w:val="28"/>
        </w:rPr>
        <w:t>) штраф составил 50</w:t>
      </w:r>
      <w:r w:rsidR="00CF6C98">
        <w:rPr>
          <w:rFonts w:ascii="Times New Roman" w:hAnsi="Times New Roman"/>
          <w:color w:val="000000"/>
          <w:sz w:val="28"/>
          <w:szCs w:val="28"/>
        </w:rPr>
        <w:t> </w:t>
      </w:r>
      <w:r w:rsidRPr="00B623C6">
        <w:rPr>
          <w:rFonts w:ascii="Times New Roman" w:hAnsi="Times New Roman"/>
          <w:color w:val="000000"/>
          <w:sz w:val="28"/>
          <w:szCs w:val="28"/>
        </w:rPr>
        <w:t>352 тенге, монопольный доход 272</w:t>
      </w:r>
      <w:r w:rsidR="00CF6C98">
        <w:rPr>
          <w:rFonts w:ascii="Times New Roman" w:hAnsi="Times New Roman"/>
          <w:color w:val="000000"/>
          <w:sz w:val="28"/>
          <w:szCs w:val="28"/>
        </w:rPr>
        <w:t> </w:t>
      </w:r>
      <w:r w:rsidRPr="00B623C6">
        <w:rPr>
          <w:rFonts w:ascii="Times New Roman" w:hAnsi="Times New Roman"/>
          <w:color w:val="000000"/>
          <w:sz w:val="28"/>
          <w:szCs w:val="28"/>
        </w:rPr>
        <w:t>381 тенге. Штраф оплачен в полном размере, монопольный доход находится на принудительном исполнении, предписание исполнено;</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ТОО </w:t>
      </w:r>
      <w:r w:rsidR="004D2C9E">
        <w:rPr>
          <w:rFonts w:ascii="Times New Roman" w:hAnsi="Times New Roman"/>
          <w:color w:val="000000"/>
          <w:sz w:val="28"/>
          <w:szCs w:val="28"/>
        </w:rPr>
        <w:t>«</w:t>
      </w:r>
      <w:r w:rsidRPr="00B623C6">
        <w:rPr>
          <w:rFonts w:ascii="Times New Roman" w:hAnsi="Times New Roman"/>
          <w:color w:val="000000"/>
          <w:sz w:val="28"/>
          <w:szCs w:val="28"/>
        </w:rPr>
        <w:t>Интернет Компания PS</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(постановление СМАС г.</w:t>
      </w:r>
      <w:r w:rsidR="001123EA">
        <w:rPr>
          <w:rFonts w:ascii="Times New Roman" w:hAnsi="Times New Roman"/>
          <w:color w:val="000000"/>
          <w:sz w:val="28"/>
          <w:szCs w:val="28"/>
        </w:rPr>
        <w:t xml:space="preserve"> </w:t>
      </w:r>
      <w:r w:rsidRPr="00B623C6">
        <w:rPr>
          <w:rFonts w:ascii="Times New Roman" w:hAnsi="Times New Roman"/>
          <w:color w:val="000000"/>
          <w:sz w:val="28"/>
          <w:szCs w:val="28"/>
        </w:rPr>
        <w:t>Алматы от 30</w:t>
      </w:r>
      <w:r w:rsidR="00CF6C98">
        <w:rPr>
          <w:rFonts w:ascii="Times New Roman" w:hAnsi="Times New Roman"/>
          <w:color w:val="000000"/>
          <w:sz w:val="28"/>
          <w:szCs w:val="28"/>
        </w:rPr>
        <w:t> </w:t>
      </w:r>
      <w:r w:rsidR="001123EA">
        <w:rPr>
          <w:rFonts w:ascii="Times New Roman" w:hAnsi="Times New Roman"/>
          <w:color w:val="000000"/>
          <w:sz w:val="28"/>
          <w:szCs w:val="28"/>
        </w:rPr>
        <w:t>октября 20</w:t>
      </w:r>
      <w:r w:rsidRPr="00B623C6">
        <w:rPr>
          <w:rFonts w:ascii="Times New Roman" w:hAnsi="Times New Roman"/>
          <w:color w:val="000000"/>
          <w:sz w:val="28"/>
          <w:szCs w:val="28"/>
        </w:rPr>
        <w:t>17</w:t>
      </w:r>
      <w:r w:rsidR="001123EA">
        <w:rPr>
          <w:rFonts w:ascii="Times New Roman" w:hAnsi="Times New Roman"/>
          <w:color w:val="000000"/>
          <w:sz w:val="28"/>
          <w:szCs w:val="28"/>
        </w:rPr>
        <w:t xml:space="preserve"> </w:t>
      </w:r>
      <w:r w:rsidRPr="00B623C6">
        <w:rPr>
          <w:rFonts w:ascii="Times New Roman" w:hAnsi="Times New Roman"/>
          <w:color w:val="000000"/>
          <w:sz w:val="28"/>
          <w:szCs w:val="28"/>
        </w:rPr>
        <w:t>г</w:t>
      </w:r>
      <w:r w:rsidR="001123EA">
        <w:rPr>
          <w:rFonts w:ascii="Times New Roman" w:hAnsi="Times New Roman"/>
          <w:color w:val="000000"/>
          <w:sz w:val="28"/>
          <w:szCs w:val="28"/>
        </w:rPr>
        <w:t>ода</w:t>
      </w:r>
      <w:r w:rsidRPr="00B623C6">
        <w:rPr>
          <w:rFonts w:ascii="Times New Roman" w:hAnsi="Times New Roman"/>
          <w:color w:val="000000"/>
          <w:sz w:val="28"/>
          <w:szCs w:val="28"/>
        </w:rPr>
        <w:t>) штраф составил 2</w:t>
      </w:r>
      <w:r w:rsidR="00CF6C98">
        <w:rPr>
          <w:rFonts w:ascii="Times New Roman" w:hAnsi="Times New Roman"/>
          <w:color w:val="000000"/>
          <w:sz w:val="28"/>
          <w:szCs w:val="28"/>
        </w:rPr>
        <w:t> </w:t>
      </w:r>
      <w:r w:rsidRPr="00B623C6">
        <w:rPr>
          <w:rFonts w:ascii="Times New Roman" w:hAnsi="Times New Roman"/>
          <w:color w:val="000000"/>
          <w:sz w:val="28"/>
          <w:szCs w:val="28"/>
        </w:rPr>
        <w:t>727</w:t>
      </w:r>
      <w:r w:rsidR="00CF6C98">
        <w:rPr>
          <w:rFonts w:ascii="Times New Roman" w:hAnsi="Times New Roman"/>
          <w:color w:val="000000"/>
          <w:sz w:val="28"/>
          <w:szCs w:val="28"/>
        </w:rPr>
        <w:t> </w:t>
      </w:r>
      <w:r w:rsidRPr="00B623C6">
        <w:rPr>
          <w:rFonts w:ascii="Times New Roman" w:hAnsi="Times New Roman"/>
          <w:color w:val="000000"/>
          <w:sz w:val="28"/>
          <w:szCs w:val="28"/>
        </w:rPr>
        <w:t>347 тенге, монопольный доход отсутствует. Штраф оплачен в полном размере, предписание исполнено;</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ТОО </w:t>
      </w:r>
      <w:r w:rsidR="004D2C9E">
        <w:rPr>
          <w:rFonts w:ascii="Times New Roman" w:hAnsi="Times New Roman"/>
          <w:color w:val="000000"/>
          <w:sz w:val="28"/>
          <w:szCs w:val="28"/>
        </w:rPr>
        <w:t>«</w:t>
      </w:r>
      <w:r w:rsidRPr="00B623C6">
        <w:rPr>
          <w:rFonts w:ascii="Times New Roman" w:hAnsi="Times New Roman"/>
          <w:color w:val="000000"/>
          <w:sz w:val="28"/>
          <w:szCs w:val="28"/>
        </w:rPr>
        <w:t>Cyber Age</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(постановление СМАС г.</w:t>
      </w:r>
      <w:r w:rsidR="001123EA">
        <w:rPr>
          <w:rFonts w:ascii="Times New Roman" w:hAnsi="Times New Roman"/>
          <w:color w:val="000000"/>
          <w:sz w:val="28"/>
          <w:szCs w:val="28"/>
        </w:rPr>
        <w:t xml:space="preserve"> </w:t>
      </w:r>
      <w:r w:rsidRPr="00B623C6">
        <w:rPr>
          <w:rFonts w:ascii="Times New Roman" w:hAnsi="Times New Roman"/>
          <w:color w:val="000000"/>
          <w:sz w:val="28"/>
          <w:szCs w:val="28"/>
        </w:rPr>
        <w:t>Алматы от 17</w:t>
      </w:r>
      <w:r w:rsidR="001123EA">
        <w:rPr>
          <w:rFonts w:ascii="Times New Roman" w:hAnsi="Times New Roman"/>
          <w:color w:val="000000"/>
          <w:sz w:val="28"/>
          <w:szCs w:val="28"/>
        </w:rPr>
        <w:t xml:space="preserve"> октября 20</w:t>
      </w:r>
      <w:r w:rsidRPr="00B623C6">
        <w:rPr>
          <w:rFonts w:ascii="Times New Roman" w:hAnsi="Times New Roman"/>
          <w:color w:val="000000"/>
          <w:sz w:val="28"/>
          <w:szCs w:val="28"/>
        </w:rPr>
        <w:t>17</w:t>
      </w:r>
      <w:r w:rsidR="00CF6C98">
        <w:rPr>
          <w:rFonts w:ascii="Times New Roman" w:hAnsi="Times New Roman"/>
          <w:color w:val="000000"/>
          <w:sz w:val="28"/>
          <w:szCs w:val="28"/>
        </w:rPr>
        <w:t> </w:t>
      </w:r>
      <w:r w:rsidRPr="00B623C6">
        <w:rPr>
          <w:rFonts w:ascii="Times New Roman" w:hAnsi="Times New Roman"/>
          <w:color w:val="000000"/>
          <w:sz w:val="28"/>
          <w:szCs w:val="28"/>
        </w:rPr>
        <w:t>г</w:t>
      </w:r>
      <w:r w:rsidR="001123EA">
        <w:rPr>
          <w:rFonts w:ascii="Times New Roman" w:hAnsi="Times New Roman"/>
          <w:color w:val="000000"/>
          <w:sz w:val="28"/>
          <w:szCs w:val="28"/>
        </w:rPr>
        <w:t>ода</w:t>
      </w:r>
      <w:r w:rsidR="0084567B">
        <w:rPr>
          <w:rFonts w:ascii="Times New Roman" w:hAnsi="Times New Roman"/>
          <w:color w:val="000000"/>
          <w:sz w:val="28"/>
          <w:szCs w:val="28"/>
        </w:rPr>
        <w:t>)</w:t>
      </w:r>
      <w:r w:rsidRPr="00B623C6">
        <w:rPr>
          <w:rFonts w:ascii="Times New Roman" w:hAnsi="Times New Roman"/>
          <w:color w:val="000000"/>
          <w:sz w:val="28"/>
          <w:szCs w:val="28"/>
        </w:rPr>
        <w:t xml:space="preserve"> штраф составил 8</w:t>
      </w:r>
      <w:r w:rsidR="00CF6C98">
        <w:rPr>
          <w:rFonts w:ascii="Times New Roman" w:hAnsi="Times New Roman"/>
          <w:color w:val="000000"/>
          <w:sz w:val="28"/>
          <w:szCs w:val="28"/>
        </w:rPr>
        <w:t> </w:t>
      </w:r>
      <w:r w:rsidRPr="00B623C6">
        <w:rPr>
          <w:rFonts w:ascii="Times New Roman" w:hAnsi="Times New Roman"/>
          <w:color w:val="000000"/>
          <w:sz w:val="28"/>
          <w:szCs w:val="28"/>
        </w:rPr>
        <w:t>786 тенге, монопольный доход отсутствует. Штраф оплачен в полном размере, предписание исполнено;</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ТОО </w:t>
      </w:r>
      <w:r w:rsidR="004D2C9E">
        <w:rPr>
          <w:rFonts w:ascii="Times New Roman" w:hAnsi="Times New Roman"/>
          <w:color w:val="000000"/>
          <w:sz w:val="28"/>
          <w:szCs w:val="28"/>
        </w:rPr>
        <w:t>«</w:t>
      </w:r>
      <w:r w:rsidRPr="00B623C6">
        <w:rPr>
          <w:rFonts w:ascii="Times New Roman" w:hAnsi="Times New Roman"/>
          <w:color w:val="000000"/>
          <w:sz w:val="28"/>
          <w:szCs w:val="28"/>
        </w:rPr>
        <w:t>HOST.KZ</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(постановление СМАС г.</w:t>
      </w:r>
      <w:r w:rsidR="001123EA">
        <w:rPr>
          <w:rFonts w:ascii="Times New Roman" w:hAnsi="Times New Roman"/>
          <w:color w:val="000000"/>
          <w:sz w:val="28"/>
          <w:szCs w:val="28"/>
        </w:rPr>
        <w:t xml:space="preserve"> </w:t>
      </w:r>
      <w:r w:rsidRPr="00B623C6">
        <w:rPr>
          <w:rFonts w:ascii="Times New Roman" w:hAnsi="Times New Roman"/>
          <w:color w:val="000000"/>
          <w:sz w:val="28"/>
          <w:szCs w:val="28"/>
        </w:rPr>
        <w:t>Алматы от 25</w:t>
      </w:r>
      <w:r w:rsidR="001123EA">
        <w:rPr>
          <w:rFonts w:ascii="Times New Roman" w:hAnsi="Times New Roman"/>
          <w:color w:val="000000"/>
          <w:sz w:val="28"/>
          <w:szCs w:val="28"/>
        </w:rPr>
        <w:t xml:space="preserve"> октября 20</w:t>
      </w:r>
      <w:r w:rsidRPr="00B623C6">
        <w:rPr>
          <w:rFonts w:ascii="Times New Roman" w:hAnsi="Times New Roman"/>
          <w:color w:val="000000"/>
          <w:sz w:val="28"/>
          <w:szCs w:val="28"/>
        </w:rPr>
        <w:t>17</w:t>
      </w:r>
      <w:r w:rsidR="00CF6C98">
        <w:rPr>
          <w:rFonts w:ascii="Times New Roman" w:hAnsi="Times New Roman"/>
          <w:color w:val="000000"/>
          <w:sz w:val="28"/>
          <w:szCs w:val="28"/>
        </w:rPr>
        <w:t> </w:t>
      </w:r>
      <w:r w:rsidRPr="00B623C6">
        <w:rPr>
          <w:rFonts w:ascii="Times New Roman" w:hAnsi="Times New Roman"/>
          <w:color w:val="000000"/>
          <w:sz w:val="28"/>
          <w:szCs w:val="28"/>
        </w:rPr>
        <w:t>г</w:t>
      </w:r>
      <w:r w:rsidR="001123EA">
        <w:rPr>
          <w:rFonts w:ascii="Times New Roman" w:hAnsi="Times New Roman"/>
          <w:color w:val="000000"/>
          <w:sz w:val="28"/>
          <w:szCs w:val="28"/>
        </w:rPr>
        <w:t>ода</w:t>
      </w:r>
      <w:r w:rsidRPr="00B623C6">
        <w:rPr>
          <w:rFonts w:ascii="Times New Roman" w:hAnsi="Times New Roman"/>
          <w:color w:val="000000"/>
          <w:sz w:val="28"/>
          <w:szCs w:val="28"/>
        </w:rPr>
        <w:t>) штраф 413</w:t>
      </w:r>
      <w:r w:rsidR="00CF6C98">
        <w:rPr>
          <w:rFonts w:ascii="Times New Roman" w:hAnsi="Times New Roman"/>
          <w:color w:val="000000"/>
          <w:sz w:val="28"/>
          <w:szCs w:val="28"/>
        </w:rPr>
        <w:t> </w:t>
      </w:r>
      <w:r w:rsidRPr="00B623C6">
        <w:rPr>
          <w:rFonts w:ascii="Times New Roman" w:hAnsi="Times New Roman"/>
          <w:color w:val="000000"/>
          <w:sz w:val="28"/>
          <w:szCs w:val="28"/>
        </w:rPr>
        <w:t>667 тенге, монопольный доход отсутствует. Штраф оплачен в полном размере, предписание исполнено;</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АО </w:t>
      </w:r>
      <w:r w:rsidR="004D2C9E">
        <w:rPr>
          <w:rFonts w:ascii="Times New Roman" w:hAnsi="Times New Roman"/>
          <w:color w:val="000000"/>
          <w:sz w:val="28"/>
          <w:szCs w:val="28"/>
        </w:rPr>
        <w:t>«</w:t>
      </w:r>
      <w:r w:rsidRPr="00B623C6">
        <w:rPr>
          <w:rFonts w:ascii="Times New Roman" w:hAnsi="Times New Roman"/>
          <w:color w:val="000000"/>
          <w:sz w:val="28"/>
          <w:szCs w:val="28"/>
        </w:rPr>
        <w:t>Казахтелеком</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(постановление СМАС г.</w:t>
      </w:r>
      <w:r w:rsidR="001123EA">
        <w:rPr>
          <w:rFonts w:ascii="Times New Roman" w:hAnsi="Times New Roman"/>
          <w:color w:val="000000"/>
          <w:sz w:val="28"/>
          <w:szCs w:val="28"/>
        </w:rPr>
        <w:t xml:space="preserve"> </w:t>
      </w:r>
      <w:r w:rsidR="005F0BD8">
        <w:rPr>
          <w:rFonts w:ascii="Times New Roman" w:hAnsi="Times New Roman"/>
          <w:color w:val="000000"/>
          <w:sz w:val="28"/>
          <w:szCs w:val="28"/>
        </w:rPr>
        <w:t>Астаны</w:t>
      </w:r>
      <w:r w:rsidRPr="00B623C6">
        <w:rPr>
          <w:rFonts w:ascii="Times New Roman" w:hAnsi="Times New Roman"/>
          <w:color w:val="000000"/>
          <w:sz w:val="28"/>
          <w:szCs w:val="28"/>
        </w:rPr>
        <w:t xml:space="preserve"> от 7</w:t>
      </w:r>
      <w:r w:rsidR="001123EA">
        <w:rPr>
          <w:rFonts w:ascii="Times New Roman" w:hAnsi="Times New Roman"/>
          <w:color w:val="000000"/>
          <w:sz w:val="28"/>
          <w:szCs w:val="28"/>
        </w:rPr>
        <w:t xml:space="preserve"> ноября 20</w:t>
      </w:r>
      <w:r w:rsidRPr="00B623C6">
        <w:rPr>
          <w:rFonts w:ascii="Times New Roman" w:hAnsi="Times New Roman"/>
          <w:color w:val="000000"/>
          <w:sz w:val="28"/>
          <w:szCs w:val="28"/>
        </w:rPr>
        <w:t>17</w:t>
      </w:r>
      <w:r w:rsidR="00CF6C98">
        <w:rPr>
          <w:rFonts w:ascii="Times New Roman" w:hAnsi="Times New Roman"/>
          <w:color w:val="000000"/>
          <w:sz w:val="28"/>
          <w:szCs w:val="28"/>
        </w:rPr>
        <w:t> </w:t>
      </w:r>
      <w:r w:rsidRPr="00B623C6">
        <w:rPr>
          <w:rFonts w:ascii="Times New Roman" w:hAnsi="Times New Roman"/>
          <w:color w:val="000000"/>
          <w:sz w:val="28"/>
          <w:szCs w:val="28"/>
        </w:rPr>
        <w:t>г</w:t>
      </w:r>
      <w:r w:rsidR="001123EA">
        <w:rPr>
          <w:rFonts w:ascii="Times New Roman" w:hAnsi="Times New Roman"/>
          <w:color w:val="000000"/>
          <w:sz w:val="28"/>
          <w:szCs w:val="28"/>
        </w:rPr>
        <w:t>ода</w:t>
      </w:r>
      <w:r w:rsidRPr="00B623C6">
        <w:rPr>
          <w:rFonts w:ascii="Times New Roman" w:hAnsi="Times New Roman"/>
          <w:color w:val="000000"/>
          <w:sz w:val="28"/>
          <w:szCs w:val="28"/>
        </w:rPr>
        <w:t>, которое оставлено без изменений постановлением суда г.</w:t>
      </w:r>
      <w:r w:rsidR="001123EA">
        <w:rPr>
          <w:rFonts w:ascii="Times New Roman" w:hAnsi="Times New Roman"/>
          <w:color w:val="000000"/>
          <w:sz w:val="28"/>
          <w:szCs w:val="28"/>
        </w:rPr>
        <w:t xml:space="preserve"> </w:t>
      </w:r>
      <w:r w:rsidRPr="00B623C6">
        <w:rPr>
          <w:rFonts w:ascii="Times New Roman" w:hAnsi="Times New Roman"/>
          <w:color w:val="000000"/>
          <w:sz w:val="28"/>
          <w:szCs w:val="28"/>
        </w:rPr>
        <w:t>Астана от 15</w:t>
      </w:r>
      <w:r w:rsidR="001123EA">
        <w:rPr>
          <w:rFonts w:ascii="Times New Roman" w:hAnsi="Times New Roman"/>
          <w:color w:val="000000"/>
          <w:sz w:val="28"/>
          <w:szCs w:val="28"/>
        </w:rPr>
        <w:t xml:space="preserve"> декабря 20</w:t>
      </w:r>
      <w:r w:rsidRPr="00B623C6">
        <w:rPr>
          <w:rFonts w:ascii="Times New Roman" w:hAnsi="Times New Roman"/>
          <w:color w:val="000000"/>
          <w:sz w:val="28"/>
          <w:szCs w:val="28"/>
        </w:rPr>
        <w:t>17</w:t>
      </w:r>
      <w:r w:rsidR="001123EA">
        <w:rPr>
          <w:rFonts w:ascii="Times New Roman" w:hAnsi="Times New Roman"/>
          <w:color w:val="000000"/>
          <w:sz w:val="28"/>
          <w:szCs w:val="28"/>
        </w:rPr>
        <w:t xml:space="preserve"> </w:t>
      </w:r>
      <w:r w:rsidRPr="00B623C6">
        <w:rPr>
          <w:rFonts w:ascii="Times New Roman" w:hAnsi="Times New Roman"/>
          <w:color w:val="000000"/>
          <w:sz w:val="28"/>
          <w:szCs w:val="28"/>
        </w:rPr>
        <w:t>г</w:t>
      </w:r>
      <w:r w:rsidR="001123EA">
        <w:rPr>
          <w:rFonts w:ascii="Times New Roman" w:hAnsi="Times New Roman"/>
          <w:color w:val="000000"/>
          <w:sz w:val="28"/>
          <w:szCs w:val="28"/>
        </w:rPr>
        <w:t>ода</w:t>
      </w:r>
      <w:r w:rsidRPr="00B623C6">
        <w:rPr>
          <w:rFonts w:ascii="Times New Roman" w:hAnsi="Times New Roman"/>
          <w:color w:val="000000"/>
          <w:sz w:val="28"/>
          <w:szCs w:val="28"/>
        </w:rPr>
        <w:t>) штраф составил 848</w:t>
      </w:r>
      <w:r w:rsidR="00CF6C98">
        <w:rPr>
          <w:rFonts w:ascii="Times New Roman" w:hAnsi="Times New Roman"/>
          <w:color w:val="000000"/>
          <w:sz w:val="28"/>
          <w:szCs w:val="28"/>
        </w:rPr>
        <w:t> </w:t>
      </w:r>
      <w:r w:rsidRPr="00B623C6">
        <w:rPr>
          <w:rFonts w:ascii="Times New Roman" w:hAnsi="Times New Roman"/>
          <w:color w:val="000000"/>
          <w:sz w:val="28"/>
          <w:szCs w:val="28"/>
        </w:rPr>
        <w:t>250 тенге, монопольный доход 361</w:t>
      </w:r>
      <w:r w:rsidR="00CF6C98">
        <w:rPr>
          <w:rFonts w:ascii="Times New Roman" w:hAnsi="Times New Roman"/>
          <w:color w:val="000000"/>
          <w:sz w:val="28"/>
          <w:szCs w:val="28"/>
        </w:rPr>
        <w:t> </w:t>
      </w:r>
      <w:r w:rsidRPr="00B623C6">
        <w:rPr>
          <w:rFonts w:ascii="Times New Roman" w:hAnsi="Times New Roman"/>
          <w:color w:val="000000"/>
          <w:sz w:val="28"/>
          <w:szCs w:val="28"/>
        </w:rPr>
        <w:t>581 тенге. Штраф и монопольный доход оплачены в полном размере</w:t>
      </w:r>
      <w:r w:rsidR="005F0BD8">
        <w:rPr>
          <w:rFonts w:ascii="Times New Roman" w:hAnsi="Times New Roman"/>
          <w:color w:val="000000"/>
          <w:sz w:val="28"/>
          <w:szCs w:val="28"/>
        </w:rPr>
        <w:t>,</w:t>
      </w:r>
      <w:r w:rsidRPr="00B623C6">
        <w:rPr>
          <w:rFonts w:ascii="Times New Roman" w:hAnsi="Times New Roman"/>
          <w:color w:val="000000"/>
          <w:sz w:val="28"/>
          <w:szCs w:val="28"/>
        </w:rPr>
        <w:t xml:space="preserve"> </w:t>
      </w:r>
      <w:r w:rsidR="005F0BD8">
        <w:rPr>
          <w:rFonts w:ascii="Times New Roman" w:hAnsi="Times New Roman"/>
          <w:color w:val="000000"/>
          <w:sz w:val="28"/>
          <w:szCs w:val="28"/>
        </w:rPr>
        <w:t>п</w:t>
      </w:r>
      <w:r w:rsidRPr="00B623C6">
        <w:rPr>
          <w:rFonts w:ascii="Times New Roman" w:hAnsi="Times New Roman"/>
          <w:color w:val="000000"/>
          <w:sz w:val="28"/>
          <w:szCs w:val="28"/>
        </w:rPr>
        <w:t>редписание исполнено;</w:t>
      </w:r>
    </w:p>
    <w:p w:rsidR="0068434D" w:rsidRPr="00B623C6"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ТОО </w:t>
      </w:r>
      <w:r w:rsidR="004D2C9E">
        <w:rPr>
          <w:rFonts w:ascii="Times New Roman" w:hAnsi="Times New Roman"/>
          <w:color w:val="000000"/>
          <w:sz w:val="28"/>
          <w:szCs w:val="28"/>
        </w:rPr>
        <w:t>«</w:t>
      </w:r>
      <w:r w:rsidRPr="00B623C6">
        <w:rPr>
          <w:rFonts w:ascii="Times New Roman" w:hAnsi="Times New Roman"/>
          <w:color w:val="000000"/>
          <w:sz w:val="28"/>
          <w:szCs w:val="28"/>
        </w:rPr>
        <w:t>Зебра</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(постановление СМАС г.</w:t>
      </w:r>
      <w:r w:rsidR="001123EA">
        <w:rPr>
          <w:rFonts w:ascii="Times New Roman" w:hAnsi="Times New Roman"/>
          <w:color w:val="000000"/>
          <w:sz w:val="28"/>
          <w:szCs w:val="28"/>
        </w:rPr>
        <w:t xml:space="preserve"> </w:t>
      </w:r>
      <w:r w:rsidRPr="00B623C6">
        <w:rPr>
          <w:rFonts w:ascii="Times New Roman" w:hAnsi="Times New Roman"/>
          <w:color w:val="000000"/>
          <w:sz w:val="28"/>
          <w:szCs w:val="28"/>
        </w:rPr>
        <w:t xml:space="preserve">Экибастуз от 16 января 2018 года </w:t>
      </w:r>
      <w:r w:rsidR="00E720B2">
        <w:rPr>
          <w:rFonts w:ascii="Times New Roman" w:hAnsi="Times New Roman"/>
          <w:color w:val="000000"/>
          <w:sz w:val="28"/>
          <w:szCs w:val="28"/>
        </w:rPr>
        <w:t>№ </w:t>
      </w:r>
      <w:r w:rsidRPr="00B623C6">
        <w:rPr>
          <w:rFonts w:ascii="Times New Roman" w:hAnsi="Times New Roman"/>
          <w:color w:val="000000"/>
          <w:sz w:val="28"/>
          <w:szCs w:val="28"/>
        </w:rPr>
        <w:t>4-1/2114) штраф составил 29</w:t>
      </w:r>
      <w:r w:rsidR="00F9318B">
        <w:rPr>
          <w:rFonts w:ascii="Times New Roman" w:hAnsi="Times New Roman"/>
          <w:color w:val="000000"/>
          <w:sz w:val="28"/>
          <w:szCs w:val="28"/>
        </w:rPr>
        <w:t> </w:t>
      </w:r>
      <w:r w:rsidRPr="00B623C6">
        <w:rPr>
          <w:rFonts w:ascii="Times New Roman" w:hAnsi="Times New Roman"/>
          <w:color w:val="000000"/>
          <w:sz w:val="28"/>
          <w:szCs w:val="28"/>
        </w:rPr>
        <w:t>030 тенге, монопольный доход 208</w:t>
      </w:r>
      <w:r w:rsidR="00F9318B">
        <w:rPr>
          <w:rFonts w:ascii="Times New Roman" w:hAnsi="Times New Roman"/>
          <w:color w:val="000000"/>
          <w:sz w:val="28"/>
          <w:szCs w:val="28"/>
        </w:rPr>
        <w:t> </w:t>
      </w:r>
      <w:r w:rsidRPr="00B623C6">
        <w:rPr>
          <w:rFonts w:ascii="Times New Roman" w:hAnsi="Times New Roman"/>
          <w:color w:val="000000"/>
          <w:sz w:val="28"/>
          <w:szCs w:val="28"/>
        </w:rPr>
        <w:t>881 тенге. Ср</w:t>
      </w:r>
      <w:r w:rsidR="00E174BD">
        <w:rPr>
          <w:rFonts w:ascii="Times New Roman" w:hAnsi="Times New Roman"/>
          <w:color w:val="000000"/>
          <w:sz w:val="28"/>
          <w:szCs w:val="28"/>
        </w:rPr>
        <w:t>ок добровольной уплаты не истек;</w:t>
      </w:r>
    </w:p>
    <w:p w:rsidR="0068434D" w:rsidRDefault="0068434D" w:rsidP="00045D44">
      <w:pPr>
        <w:pStyle w:val="a8"/>
        <w:widowControl/>
        <w:shd w:val="clear" w:color="auto" w:fill="FFFFFF"/>
        <w:ind w:firstLine="709"/>
        <w:jc w:val="both"/>
        <w:rPr>
          <w:rFonts w:ascii="Times New Roman" w:hAnsi="Times New Roman"/>
          <w:color w:val="000000"/>
          <w:sz w:val="28"/>
          <w:szCs w:val="28"/>
        </w:rPr>
      </w:pPr>
      <w:r w:rsidRPr="00B623C6">
        <w:rPr>
          <w:rFonts w:ascii="Times New Roman" w:hAnsi="Times New Roman"/>
          <w:color w:val="000000"/>
          <w:sz w:val="28"/>
          <w:szCs w:val="28"/>
        </w:rPr>
        <w:t xml:space="preserve">ТОО </w:t>
      </w:r>
      <w:r w:rsidR="004D2C9E">
        <w:rPr>
          <w:rFonts w:ascii="Times New Roman" w:hAnsi="Times New Roman"/>
          <w:color w:val="000000"/>
          <w:sz w:val="28"/>
          <w:szCs w:val="28"/>
        </w:rPr>
        <w:t>«</w:t>
      </w:r>
      <w:r w:rsidRPr="00B623C6">
        <w:rPr>
          <w:rFonts w:ascii="Times New Roman" w:hAnsi="Times New Roman"/>
          <w:color w:val="000000"/>
          <w:sz w:val="28"/>
          <w:szCs w:val="28"/>
        </w:rPr>
        <w:t>Компания Hoster.KZ</w:t>
      </w:r>
      <w:r w:rsidR="004D2C9E">
        <w:rPr>
          <w:rFonts w:ascii="Times New Roman" w:hAnsi="Times New Roman"/>
          <w:color w:val="000000"/>
          <w:sz w:val="28"/>
          <w:szCs w:val="28"/>
        </w:rPr>
        <w:t>»</w:t>
      </w:r>
      <w:r w:rsidRPr="00B623C6">
        <w:rPr>
          <w:rFonts w:ascii="Times New Roman" w:hAnsi="Times New Roman"/>
          <w:color w:val="000000"/>
          <w:sz w:val="28"/>
          <w:szCs w:val="28"/>
        </w:rPr>
        <w:t xml:space="preserve"> (постановление СМАС г.</w:t>
      </w:r>
      <w:r w:rsidR="00310114">
        <w:rPr>
          <w:rFonts w:ascii="Times New Roman" w:hAnsi="Times New Roman"/>
          <w:color w:val="000000"/>
          <w:sz w:val="28"/>
          <w:szCs w:val="28"/>
        </w:rPr>
        <w:t xml:space="preserve"> </w:t>
      </w:r>
      <w:r w:rsidRPr="00B623C6">
        <w:rPr>
          <w:rFonts w:ascii="Times New Roman" w:hAnsi="Times New Roman"/>
          <w:color w:val="000000"/>
          <w:sz w:val="28"/>
          <w:szCs w:val="28"/>
        </w:rPr>
        <w:t>Караганды от 14</w:t>
      </w:r>
      <w:r w:rsidR="00F9318B">
        <w:rPr>
          <w:rFonts w:ascii="Times New Roman" w:hAnsi="Times New Roman"/>
          <w:color w:val="000000"/>
          <w:sz w:val="28"/>
          <w:szCs w:val="28"/>
        </w:rPr>
        <w:t> </w:t>
      </w:r>
      <w:r w:rsidRPr="00B623C6">
        <w:rPr>
          <w:rFonts w:ascii="Times New Roman" w:hAnsi="Times New Roman"/>
          <w:color w:val="000000"/>
          <w:sz w:val="28"/>
          <w:szCs w:val="28"/>
        </w:rPr>
        <w:t xml:space="preserve">февраля 2018 года </w:t>
      </w:r>
      <w:r w:rsidR="00E720B2">
        <w:rPr>
          <w:rFonts w:ascii="Times New Roman" w:hAnsi="Times New Roman"/>
          <w:color w:val="000000"/>
          <w:sz w:val="28"/>
          <w:szCs w:val="28"/>
        </w:rPr>
        <w:t>№ </w:t>
      </w:r>
      <w:r w:rsidRPr="00B623C6">
        <w:rPr>
          <w:rFonts w:ascii="Times New Roman" w:hAnsi="Times New Roman"/>
          <w:color w:val="000000"/>
          <w:sz w:val="28"/>
          <w:szCs w:val="28"/>
        </w:rPr>
        <w:t>3580-17-00-3/12022) штраф составил 2</w:t>
      </w:r>
      <w:r w:rsidR="00F9318B">
        <w:rPr>
          <w:rFonts w:ascii="Times New Roman" w:hAnsi="Times New Roman"/>
          <w:color w:val="000000"/>
          <w:sz w:val="28"/>
          <w:szCs w:val="28"/>
        </w:rPr>
        <w:t> </w:t>
      </w:r>
      <w:r w:rsidRPr="00B623C6">
        <w:rPr>
          <w:rFonts w:ascii="Times New Roman" w:hAnsi="Times New Roman"/>
          <w:color w:val="000000"/>
          <w:sz w:val="28"/>
          <w:szCs w:val="28"/>
        </w:rPr>
        <w:t>090</w:t>
      </w:r>
      <w:r w:rsidR="00F9318B">
        <w:rPr>
          <w:rFonts w:ascii="Times New Roman" w:hAnsi="Times New Roman"/>
          <w:color w:val="000000"/>
          <w:sz w:val="28"/>
          <w:szCs w:val="28"/>
        </w:rPr>
        <w:t> </w:t>
      </w:r>
      <w:r w:rsidRPr="00B623C6">
        <w:rPr>
          <w:rFonts w:ascii="Times New Roman" w:hAnsi="Times New Roman"/>
          <w:color w:val="000000"/>
          <w:sz w:val="28"/>
          <w:szCs w:val="28"/>
        </w:rPr>
        <w:t>065 тенге</w:t>
      </w:r>
      <w:r w:rsidR="00EA614C">
        <w:rPr>
          <w:rFonts w:ascii="Times New Roman" w:hAnsi="Times New Roman"/>
          <w:color w:val="000000"/>
          <w:sz w:val="28"/>
          <w:szCs w:val="28"/>
        </w:rPr>
        <w:t xml:space="preserve">, </w:t>
      </w:r>
      <w:r w:rsidR="005B736B" w:rsidRPr="005B736B">
        <w:rPr>
          <w:rFonts w:ascii="Times New Roman" w:hAnsi="Times New Roman"/>
          <w:color w:val="000000"/>
          <w:sz w:val="28"/>
          <w:szCs w:val="28"/>
        </w:rPr>
        <w:t>монопольный доход отсутствует. Штраф оплачен в полном размере, предписание исполнено.</w:t>
      </w:r>
    </w:p>
    <w:p w:rsidR="0068434D" w:rsidRPr="00B623C6" w:rsidRDefault="0068434D" w:rsidP="000863D3">
      <w:pPr>
        <w:pStyle w:val="4"/>
        <w:spacing w:line="315" w:lineRule="exact"/>
      </w:pPr>
      <w:r w:rsidRPr="00B623C6">
        <w:t>Российская Федерация</w:t>
      </w:r>
    </w:p>
    <w:p w:rsidR="0068434D" w:rsidRDefault="0068434D" w:rsidP="000863D3">
      <w:pPr>
        <w:spacing w:after="0" w:line="315" w:lineRule="exact"/>
        <w:ind w:firstLine="709"/>
        <w:jc w:val="both"/>
        <w:rPr>
          <w:rFonts w:ascii="Times New Roman" w:hAnsi="Times New Roman"/>
          <w:sz w:val="28"/>
          <w:szCs w:val="28"/>
        </w:rPr>
      </w:pPr>
      <w:r w:rsidRPr="008C0828">
        <w:rPr>
          <w:rFonts w:ascii="Times New Roman" w:eastAsia="Times New Roman" w:hAnsi="Times New Roman"/>
          <w:sz w:val="28"/>
          <w:szCs w:val="28"/>
          <w:lang w:eastAsia="ru-RU"/>
        </w:rPr>
        <w:t>Все большее число компаний использует компьютерные алгоритмы для улучшения своих моделей ценообразования и прогнозирования</w:t>
      </w:r>
      <w:r w:rsidR="005E4C02">
        <w:rPr>
          <w:rFonts w:ascii="Times New Roman" w:eastAsia="Times New Roman" w:hAnsi="Times New Roman"/>
          <w:sz w:val="28"/>
          <w:szCs w:val="28"/>
          <w:lang w:eastAsia="ru-RU"/>
        </w:rPr>
        <w:t xml:space="preserve"> тенденций рынка. В то же время</w:t>
      </w:r>
      <w:r w:rsidRPr="008C0828">
        <w:rPr>
          <w:rFonts w:ascii="Times New Roman" w:eastAsia="Times New Roman" w:hAnsi="Times New Roman"/>
          <w:sz w:val="28"/>
          <w:szCs w:val="28"/>
          <w:lang w:eastAsia="ru-RU"/>
        </w:rPr>
        <w:t xml:space="preserve"> широкое использование алгоритмов может иметь возможные негативные последствия для конкуренции, позволяя компаниям поддерживать сговор без какого-либо формального соглашения или взаимодействия </w:t>
      </w:r>
      <w:r>
        <w:rPr>
          <w:rFonts w:ascii="Times New Roman" w:eastAsia="Times New Roman" w:hAnsi="Times New Roman"/>
          <w:sz w:val="28"/>
          <w:szCs w:val="28"/>
          <w:lang w:eastAsia="ru-RU"/>
        </w:rPr>
        <w:t>между</w:t>
      </w:r>
      <w:r w:rsidRPr="008C0828">
        <w:rPr>
          <w:rFonts w:ascii="Times New Roman" w:eastAsia="Times New Roman" w:hAnsi="Times New Roman"/>
          <w:sz w:val="28"/>
          <w:szCs w:val="28"/>
          <w:lang w:eastAsia="ru-RU"/>
        </w:rPr>
        <w:t xml:space="preserve"> людьми. </w:t>
      </w:r>
      <w:r w:rsidRPr="008C0828">
        <w:rPr>
          <w:rFonts w:ascii="Times New Roman" w:hAnsi="Times New Roman"/>
          <w:sz w:val="28"/>
          <w:szCs w:val="28"/>
        </w:rPr>
        <w:t>Существует значительный риск того, что алгоритмы, повышая прозрачность рынка и упрощая механизмы взаимодействия производителей с покупателями, становятся отправной точкой при создании антиконкурентных соглашений, позволяя участникам таких соглашений негласно отслеживать и координировать цены, а также накладывать определенные ограничения за какие-либо отклонения установленных цен от заранее рекомендованных.</w:t>
      </w:r>
    </w:p>
    <w:p w:rsidR="0068434D" w:rsidRPr="00CC0907" w:rsidRDefault="0068434D" w:rsidP="004D2C9E">
      <w:pPr>
        <w:spacing w:after="0" w:line="240" w:lineRule="auto"/>
        <w:ind w:firstLine="709"/>
        <w:jc w:val="both"/>
        <w:rPr>
          <w:rFonts w:ascii="Times New Roman" w:hAnsi="Times New Roman" w:cs="Tahoma"/>
          <w:color w:val="000000"/>
          <w:sz w:val="28"/>
          <w:szCs w:val="28"/>
        </w:rPr>
      </w:pPr>
      <w:r w:rsidRPr="00CC0907">
        <w:rPr>
          <w:rFonts w:ascii="Times New Roman" w:hAnsi="Times New Roman" w:cs="Tahoma"/>
          <w:color w:val="000000"/>
          <w:sz w:val="28"/>
          <w:szCs w:val="28"/>
        </w:rPr>
        <w:t>Практика свидетельствует об активном использовании участниками антиконкурентных соглашений новых возможностей для противоправной деятельности, которые состоят в и</w:t>
      </w:r>
      <w:r w:rsidR="005E4C02">
        <w:rPr>
          <w:rFonts w:ascii="Times New Roman" w:hAnsi="Times New Roman" w:cs="Tahoma"/>
          <w:color w:val="000000"/>
          <w:sz w:val="28"/>
          <w:szCs w:val="28"/>
        </w:rPr>
        <w:t>спользовании данных больших объе</w:t>
      </w:r>
      <w:r w:rsidRPr="00CC0907">
        <w:rPr>
          <w:rFonts w:ascii="Times New Roman" w:hAnsi="Times New Roman" w:cs="Tahoma"/>
          <w:color w:val="000000"/>
          <w:sz w:val="28"/>
          <w:szCs w:val="28"/>
        </w:rPr>
        <w:t>мов и значительного многообразия (big data) и вычислительных алгоритмов.</w:t>
      </w:r>
    </w:p>
    <w:p w:rsidR="0068434D" w:rsidRDefault="0068434D" w:rsidP="004D2C9E">
      <w:pPr>
        <w:pStyle w:val="a8"/>
        <w:widowControl/>
        <w:shd w:val="clear" w:color="auto" w:fill="FFFFFF"/>
        <w:ind w:firstLine="709"/>
        <w:jc w:val="both"/>
        <w:rPr>
          <w:rFonts w:ascii="Times New Roman" w:hAnsi="Times New Roman"/>
          <w:color w:val="000000"/>
          <w:sz w:val="28"/>
          <w:szCs w:val="28"/>
        </w:rPr>
      </w:pPr>
      <w:r w:rsidRPr="00CC0907">
        <w:rPr>
          <w:rFonts w:ascii="Times New Roman" w:hAnsi="Times New Roman"/>
          <w:color w:val="000000"/>
          <w:sz w:val="28"/>
          <w:szCs w:val="28"/>
        </w:rPr>
        <w:t>Ценовые алгоритмы, осуществляющие сбор информации о розничных ценах на товары конкретного бренда, их сопоставление с рекомендованными/</w:t>
      </w:r>
      <w:r w:rsidR="00F9318B">
        <w:rPr>
          <w:rFonts w:ascii="Times New Roman" w:hAnsi="Times New Roman"/>
          <w:color w:val="000000"/>
          <w:sz w:val="28"/>
          <w:szCs w:val="28"/>
        </w:rPr>
        <w:t xml:space="preserve"> </w:t>
      </w:r>
      <w:r w:rsidRPr="00CC0907">
        <w:rPr>
          <w:rFonts w:ascii="Times New Roman" w:hAnsi="Times New Roman"/>
          <w:color w:val="000000"/>
          <w:sz w:val="28"/>
          <w:szCs w:val="28"/>
        </w:rPr>
        <w:t>минимальными ценами вендора, а также отправку уведомлений реселлерам-нарушителям, рассматриваются как инструмент незаконной координации экономической деятельности реселлеров, приводящей к огран</w:t>
      </w:r>
      <w:r w:rsidR="004D06AA">
        <w:rPr>
          <w:rFonts w:ascii="Times New Roman" w:hAnsi="Times New Roman"/>
          <w:color w:val="000000"/>
          <w:sz w:val="28"/>
          <w:szCs w:val="28"/>
        </w:rPr>
        <w:t>ичению конкуренции, либо запреще</w:t>
      </w:r>
      <w:r w:rsidRPr="00CC0907">
        <w:rPr>
          <w:rFonts w:ascii="Times New Roman" w:hAnsi="Times New Roman"/>
          <w:color w:val="000000"/>
          <w:sz w:val="28"/>
          <w:szCs w:val="28"/>
        </w:rPr>
        <w:t xml:space="preserve">нных </w:t>
      </w:r>
      <w:r w:rsidR="004D2C9E">
        <w:rPr>
          <w:rFonts w:ascii="Times New Roman" w:hAnsi="Times New Roman"/>
          <w:color w:val="000000"/>
          <w:sz w:val="28"/>
          <w:szCs w:val="28"/>
        </w:rPr>
        <w:t>«</w:t>
      </w:r>
      <w:r w:rsidRPr="00CC0907">
        <w:rPr>
          <w:rFonts w:ascii="Times New Roman" w:hAnsi="Times New Roman"/>
          <w:color w:val="000000"/>
          <w:sz w:val="28"/>
          <w:szCs w:val="28"/>
        </w:rPr>
        <w:t>вертикальных</w:t>
      </w:r>
      <w:r w:rsidR="004D2C9E">
        <w:rPr>
          <w:rFonts w:ascii="Times New Roman" w:hAnsi="Times New Roman"/>
          <w:color w:val="000000"/>
          <w:sz w:val="28"/>
          <w:szCs w:val="28"/>
        </w:rPr>
        <w:t>»</w:t>
      </w:r>
      <w:r w:rsidRPr="00CC0907">
        <w:rPr>
          <w:rFonts w:ascii="Times New Roman" w:hAnsi="Times New Roman"/>
          <w:color w:val="000000"/>
          <w:sz w:val="28"/>
          <w:szCs w:val="28"/>
        </w:rPr>
        <w:t xml:space="preserve"> соглашений. </w:t>
      </w:r>
    </w:p>
    <w:p w:rsidR="0068434D" w:rsidRDefault="0068434D" w:rsidP="004D2C9E">
      <w:pPr>
        <w:pStyle w:val="a8"/>
        <w:widowControl/>
        <w:shd w:val="clear" w:color="auto" w:fill="FFFFFF"/>
        <w:ind w:firstLine="709"/>
        <w:jc w:val="both"/>
        <w:rPr>
          <w:rFonts w:ascii="Times New Roman" w:hAnsi="Times New Roman"/>
          <w:color w:val="000000"/>
          <w:sz w:val="28"/>
          <w:szCs w:val="28"/>
        </w:rPr>
      </w:pPr>
      <w:r w:rsidRPr="00CC0907">
        <w:rPr>
          <w:rFonts w:ascii="Times New Roman" w:hAnsi="Times New Roman"/>
          <w:color w:val="000000"/>
          <w:sz w:val="28"/>
          <w:szCs w:val="28"/>
        </w:rPr>
        <w:t xml:space="preserve">Кроме того, в качестве инструмента координации экономической деятельности или реализации незаконных </w:t>
      </w:r>
      <w:r w:rsidR="004D2C9E">
        <w:rPr>
          <w:rFonts w:ascii="Times New Roman" w:hAnsi="Times New Roman"/>
          <w:color w:val="000000"/>
          <w:sz w:val="28"/>
          <w:szCs w:val="28"/>
        </w:rPr>
        <w:t>«</w:t>
      </w:r>
      <w:r w:rsidRPr="00CC0907">
        <w:rPr>
          <w:rFonts w:ascii="Times New Roman" w:hAnsi="Times New Roman"/>
          <w:color w:val="000000"/>
          <w:sz w:val="28"/>
          <w:szCs w:val="28"/>
        </w:rPr>
        <w:t>вертикальных</w:t>
      </w:r>
      <w:r w:rsidR="004D2C9E">
        <w:rPr>
          <w:rFonts w:ascii="Times New Roman" w:hAnsi="Times New Roman"/>
          <w:color w:val="000000"/>
          <w:sz w:val="28"/>
          <w:szCs w:val="28"/>
        </w:rPr>
        <w:t>»</w:t>
      </w:r>
      <w:r w:rsidRPr="00CC0907">
        <w:rPr>
          <w:rFonts w:ascii="Times New Roman" w:hAnsi="Times New Roman"/>
          <w:color w:val="000000"/>
          <w:sz w:val="28"/>
          <w:szCs w:val="28"/>
        </w:rPr>
        <w:t xml:space="preserve"> соглашений могут рассматриваться и ценовые алгоритмы без функции контроля рекомендованных/минимальных цен, если вендор использует их для контроля за ценами реселлеров на продукцию бренда.</w:t>
      </w:r>
    </w:p>
    <w:p w:rsidR="0068434D" w:rsidRDefault="0068434D" w:rsidP="004D2C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0114">
        <w:rPr>
          <w:rFonts w:ascii="Times New Roman" w:hAnsi="Times New Roman"/>
          <w:sz w:val="28"/>
          <w:szCs w:val="28"/>
        </w:rPr>
        <w:t xml:space="preserve"> марта </w:t>
      </w:r>
      <w:r>
        <w:rPr>
          <w:rFonts w:ascii="Times New Roman" w:hAnsi="Times New Roman"/>
          <w:sz w:val="28"/>
          <w:szCs w:val="28"/>
        </w:rPr>
        <w:t>2018</w:t>
      </w:r>
      <w:r w:rsidR="00310114">
        <w:rPr>
          <w:rFonts w:ascii="Times New Roman" w:hAnsi="Times New Roman"/>
          <w:sz w:val="28"/>
          <w:szCs w:val="28"/>
        </w:rPr>
        <w:t xml:space="preserve"> года</w:t>
      </w:r>
      <w:r>
        <w:rPr>
          <w:rFonts w:ascii="Times New Roman" w:hAnsi="Times New Roman"/>
          <w:sz w:val="28"/>
          <w:szCs w:val="28"/>
        </w:rPr>
        <w:t xml:space="preserve"> ФАС России принято решение по делу </w:t>
      </w:r>
      <w:r w:rsidR="00E720B2">
        <w:rPr>
          <w:rFonts w:ascii="Times New Roman" w:hAnsi="Times New Roman"/>
          <w:sz w:val="28"/>
          <w:szCs w:val="28"/>
        </w:rPr>
        <w:t>№ </w:t>
      </w:r>
      <w:r>
        <w:rPr>
          <w:rFonts w:ascii="Times New Roman" w:hAnsi="Times New Roman"/>
          <w:sz w:val="28"/>
          <w:szCs w:val="28"/>
        </w:rPr>
        <w:t>1</w:t>
      </w:r>
      <w:r w:rsidR="00F9318B">
        <w:rPr>
          <w:rFonts w:ascii="Times New Roman" w:hAnsi="Times New Roman"/>
          <w:sz w:val="28"/>
          <w:szCs w:val="28"/>
        </w:rPr>
        <w:noBreakHyphen/>
      </w:r>
      <w:r>
        <w:rPr>
          <w:rFonts w:ascii="Times New Roman" w:hAnsi="Times New Roman"/>
          <w:sz w:val="28"/>
          <w:szCs w:val="28"/>
        </w:rPr>
        <w:t>11</w:t>
      </w:r>
      <w:r w:rsidR="00F9318B">
        <w:rPr>
          <w:rFonts w:ascii="Times New Roman" w:hAnsi="Times New Roman"/>
          <w:sz w:val="28"/>
          <w:szCs w:val="28"/>
        </w:rPr>
        <w:noBreakHyphen/>
      </w:r>
      <w:r>
        <w:rPr>
          <w:rFonts w:ascii="Times New Roman" w:hAnsi="Times New Roman"/>
          <w:sz w:val="28"/>
          <w:szCs w:val="28"/>
        </w:rPr>
        <w:t>18/00</w:t>
      </w:r>
      <w:r w:rsidR="00F9318B">
        <w:rPr>
          <w:rFonts w:ascii="Times New Roman" w:hAnsi="Times New Roman"/>
          <w:sz w:val="28"/>
          <w:szCs w:val="28"/>
        </w:rPr>
        <w:noBreakHyphen/>
      </w:r>
      <w:r>
        <w:rPr>
          <w:rFonts w:ascii="Times New Roman" w:hAnsi="Times New Roman"/>
          <w:sz w:val="28"/>
          <w:szCs w:val="28"/>
        </w:rPr>
        <w:t>22</w:t>
      </w:r>
      <w:r w:rsidR="00F9318B">
        <w:rPr>
          <w:rFonts w:ascii="Times New Roman" w:hAnsi="Times New Roman"/>
          <w:sz w:val="28"/>
          <w:szCs w:val="28"/>
        </w:rPr>
        <w:noBreakHyphen/>
      </w:r>
      <w:r>
        <w:rPr>
          <w:rFonts w:ascii="Times New Roman" w:hAnsi="Times New Roman"/>
          <w:sz w:val="28"/>
          <w:szCs w:val="28"/>
        </w:rPr>
        <w:t>17, в соответствии с которым ООО</w:t>
      </w:r>
      <w:r w:rsidR="00993438">
        <w:rPr>
          <w:rFonts w:ascii="Times New Roman" w:hAnsi="Times New Roman"/>
          <w:sz w:val="28"/>
          <w:szCs w:val="28"/>
        </w:rPr>
        <w:t xml:space="preserve"> «</w:t>
      </w:r>
      <w:r>
        <w:rPr>
          <w:rFonts w:ascii="Times New Roman" w:hAnsi="Times New Roman"/>
          <w:sz w:val="28"/>
          <w:szCs w:val="28"/>
        </w:rPr>
        <w:t>ЛГ Электроникс РУС</w:t>
      </w:r>
      <w:r w:rsidR="004D2C9E">
        <w:rPr>
          <w:rFonts w:ascii="Times New Roman" w:hAnsi="Times New Roman"/>
          <w:sz w:val="28"/>
          <w:szCs w:val="28"/>
        </w:rPr>
        <w:t>»</w:t>
      </w:r>
      <w:r>
        <w:rPr>
          <w:rFonts w:ascii="Times New Roman" w:hAnsi="Times New Roman"/>
          <w:sz w:val="28"/>
          <w:szCs w:val="28"/>
        </w:rPr>
        <w:t xml:space="preserve"> признано нарушившим часть 5 статьи 11 </w:t>
      </w:r>
      <w:r w:rsidR="004D06AA">
        <w:rPr>
          <w:rFonts w:ascii="Times New Roman" w:hAnsi="Times New Roman"/>
          <w:sz w:val="28"/>
          <w:szCs w:val="28"/>
        </w:rPr>
        <w:t>Федерального з</w:t>
      </w:r>
      <w:r>
        <w:rPr>
          <w:rFonts w:ascii="Times New Roman" w:hAnsi="Times New Roman"/>
          <w:sz w:val="28"/>
          <w:szCs w:val="28"/>
        </w:rPr>
        <w:t xml:space="preserve">акона </w:t>
      </w:r>
      <w:r w:rsidR="004D06AA">
        <w:rPr>
          <w:rFonts w:ascii="Times New Roman" w:hAnsi="Times New Roman"/>
          <w:sz w:val="28"/>
          <w:szCs w:val="28"/>
        </w:rPr>
        <w:t>«О</w:t>
      </w:r>
      <w:r>
        <w:rPr>
          <w:rFonts w:ascii="Times New Roman" w:hAnsi="Times New Roman"/>
          <w:sz w:val="28"/>
          <w:szCs w:val="28"/>
        </w:rPr>
        <w:t xml:space="preserve"> защите конкуренции</w:t>
      </w:r>
      <w:r w:rsidR="004D06AA">
        <w:rPr>
          <w:rFonts w:ascii="Times New Roman" w:hAnsi="Times New Roman"/>
          <w:sz w:val="28"/>
          <w:szCs w:val="28"/>
        </w:rPr>
        <w:t>»</w:t>
      </w:r>
      <w:r>
        <w:rPr>
          <w:rFonts w:ascii="Times New Roman" w:hAnsi="Times New Roman"/>
          <w:sz w:val="28"/>
          <w:szCs w:val="28"/>
        </w:rPr>
        <w:t>, что выразилось в осуществлении координации экономической деятельности реселлеров смартфонов LG, которая привела к установлению и поддержанию цен на смартфоны LG определ</w:t>
      </w:r>
      <w:r w:rsidR="00474B38">
        <w:rPr>
          <w:rFonts w:ascii="Times New Roman" w:hAnsi="Times New Roman"/>
          <w:sz w:val="28"/>
          <w:szCs w:val="28"/>
        </w:rPr>
        <w:t>е</w:t>
      </w:r>
      <w:r>
        <w:rPr>
          <w:rFonts w:ascii="Times New Roman" w:hAnsi="Times New Roman"/>
          <w:sz w:val="28"/>
          <w:szCs w:val="28"/>
        </w:rPr>
        <w:t>нных моделей, реализуемых в розницу без использования торговых объектов.</w:t>
      </w:r>
    </w:p>
    <w:p w:rsidR="0068434D" w:rsidRPr="00CD6DD1" w:rsidRDefault="0068434D" w:rsidP="004D2C9E">
      <w:pPr>
        <w:spacing w:after="0" w:line="240" w:lineRule="auto"/>
        <w:ind w:firstLine="709"/>
        <w:jc w:val="both"/>
      </w:pPr>
      <w:r w:rsidRPr="00CD6DD1">
        <w:rPr>
          <w:rFonts w:ascii="Times New Roman" w:hAnsi="Times New Roman"/>
          <w:sz w:val="28"/>
          <w:szCs w:val="28"/>
        </w:rPr>
        <w:t>Комиссией ФАС России установлено, что инструментом координации экономической деятельности реселлеров со стороны ООО</w:t>
      </w:r>
      <w:r w:rsidR="00993438">
        <w:rPr>
          <w:rFonts w:ascii="Times New Roman" w:hAnsi="Times New Roman"/>
          <w:sz w:val="28"/>
          <w:szCs w:val="28"/>
        </w:rPr>
        <w:t xml:space="preserve"> «</w:t>
      </w:r>
      <w:r w:rsidRPr="00CD6DD1">
        <w:rPr>
          <w:rFonts w:ascii="Times New Roman" w:hAnsi="Times New Roman"/>
          <w:sz w:val="28"/>
          <w:szCs w:val="28"/>
        </w:rPr>
        <w:t>ЛГ Электроникс Рус</w:t>
      </w:r>
      <w:r w:rsidR="004D2C9E">
        <w:rPr>
          <w:rFonts w:ascii="Times New Roman" w:hAnsi="Times New Roman"/>
          <w:sz w:val="28"/>
          <w:szCs w:val="28"/>
        </w:rPr>
        <w:t>»</w:t>
      </w:r>
      <w:r w:rsidRPr="00CD6DD1">
        <w:rPr>
          <w:rFonts w:ascii="Times New Roman" w:hAnsi="Times New Roman"/>
          <w:sz w:val="28"/>
          <w:szCs w:val="28"/>
        </w:rPr>
        <w:t xml:space="preserve"> являлся специальный ценовой алгоритм, с помощью которого осуществлял</w:t>
      </w:r>
      <w:r w:rsidR="00474B38">
        <w:rPr>
          <w:rFonts w:ascii="Times New Roman" w:hAnsi="Times New Roman"/>
          <w:sz w:val="28"/>
          <w:szCs w:val="28"/>
        </w:rPr>
        <w:t>ся</w:t>
      </w:r>
      <w:r w:rsidRPr="00CD6DD1">
        <w:rPr>
          <w:rFonts w:ascii="Times New Roman" w:hAnsi="Times New Roman"/>
          <w:sz w:val="28"/>
          <w:szCs w:val="28"/>
        </w:rPr>
        <w:t xml:space="preserve"> контроль за соблюдением реселлерами рекомендованных розничных цен на смартфоны LG. Кроме того, ценовые алгоритмы также использовались рядом реселлеров с целью</w:t>
      </w:r>
      <w:r w:rsidR="00993438">
        <w:rPr>
          <w:rFonts w:ascii="Times New Roman" w:hAnsi="Times New Roman"/>
          <w:sz w:val="28"/>
          <w:szCs w:val="28"/>
        </w:rPr>
        <w:t xml:space="preserve"> информирования ООО «</w:t>
      </w:r>
      <w:r w:rsidRPr="00CD6DD1">
        <w:rPr>
          <w:rFonts w:ascii="Times New Roman" w:hAnsi="Times New Roman"/>
          <w:sz w:val="28"/>
          <w:szCs w:val="28"/>
        </w:rPr>
        <w:t>ЛГ</w:t>
      </w:r>
      <w:r w:rsidR="00903F7A">
        <w:rPr>
          <w:rFonts w:ascii="Times New Roman" w:hAnsi="Times New Roman"/>
          <w:sz w:val="28"/>
          <w:szCs w:val="28"/>
        </w:rPr>
        <w:t> </w:t>
      </w:r>
      <w:r w:rsidRPr="00CD6DD1">
        <w:rPr>
          <w:rFonts w:ascii="Times New Roman" w:hAnsi="Times New Roman"/>
          <w:sz w:val="28"/>
          <w:szCs w:val="28"/>
        </w:rPr>
        <w:t>Электроникс Рус</w:t>
      </w:r>
      <w:r w:rsidR="004D2C9E">
        <w:rPr>
          <w:rFonts w:ascii="Times New Roman" w:hAnsi="Times New Roman"/>
          <w:sz w:val="28"/>
          <w:szCs w:val="28"/>
        </w:rPr>
        <w:t>»</w:t>
      </w:r>
      <w:r w:rsidRPr="00CD6DD1">
        <w:t xml:space="preserve"> </w:t>
      </w:r>
      <w:r w:rsidRPr="00CD6DD1">
        <w:rPr>
          <w:rFonts w:ascii="Times New Roman" w:hAnsi="Times New Roman"/>
          <w:sz w:val="28"/>
          <w:szCs w:val="28"/>
        </w:rPr>
        <w:t>о несоблюдении их конкурентами рекомендованных розничных цен.</w:t>
      </w:r>
      <w:r w:rsidRPr="00CD6DD1">
        <w:t xml:space="preserve"> </w:t>
      </w:r>
      <w:r w:rsidRPr="00CD6DD1">
        <w:rPr>
          <w:rFonts w:ascii="Times New Roman" w:hAnsi="Times New Roman"/>
          <w:sz w:val="28"/>
          <w:szCs w:val="28"/>
        </w:rPr>
        <w:t>При этом ответчиком и реселлерами использовались разные ценовые алгоритмы.</w:t>
      </w:r>
    </w:p>
    <w:p w:rsidR="0068434D" w:rsidRPr="00CD6DD1" w:rsidRDefault="0068434D" w:rsidP="004D2C9E">
      <w:pPr>
        <w:spacing w:after="0" w:line="240" w:lineRule="auto"/>
        <w:ind w:firstLine="709"/>
        <w:jc w:val="both"/>
        <w:rPr>
          <w:rFonts w:ascii="Times New Roman" w:hAnsi="Times New Roman"/>
          <w:sz w:val="28"/>
          <w:szCs w:val="28"/>
        </w:rPr>
      </w:pPr>
      <w:r w:rsidRPr="00CD6DD1">
        <w:rPr>
          <w:rFonts w:ascii="Times New Roman" w:hAnsi="Times New Roman"/>
          <w:sz w:val="28"/>
          <w:szCs w:val="28"/>
        </w:rPr>
        <w:t>Также были сделаны выводы, что в указанном деле характер использования ценовых алгоритмов являлся обстоятельством, способствовавшим совершению ООО</w:t>
      </w:r>
      <w:r w:rsidR="00993438">
        <w:rPr>
          <w:rFonts w:ascii="Times New Roman" w:hAnsi="Times New Roman"/>
          <w:sz w:val="28"/>
          <w:szCs w:val="28"/>
        </w:rPr>
        <w:t xml:space="preserve"> «</w:t>
      </w:r>
      <w:r w:rsidRPr="00CD6DD1">
        <w:rPr>
          <w:rFonts w:ascii="Times New Roman" w:hAnsi="Times New Roman"/>
          <w:sz w:val="28"/>
          <w:szCs w:val="28"/>
        </w:rPr>
        <w:t>ЛГ Электроникс Рус</w:t>
      </w:r>
      <w:r w:rsidR="004D2C9E">
        <w:rPr>
          <w:rFonts w:ascii="Times New Roman" w:hAnsi="Times New Roman"/>
          <w:sz w:val="28"/>
          <w:szCs w:val="28"/>
        </w:rPr>
        <w:t>»</w:t>
      </w:r>
      <w:r w:rsidRPr="00CD6DD1">
        <w:rPr>
          <w:rFonts w:ascii="Times New Roman" w:hAnsi="Times New Roman"/>
          <w:sz w:val="28"/>
          <w:szCs w:val="28"/>
        </w:rPr>
        <w:t xml:space="preserve"> противоправных действий.</w:t>
      </w:r>
    </w:p>
    <w:p w:rsidR="0068434D" w:rsidRPr="00CC0907" w:rsidRDefault="0068434D" w:rsidP="004D2C9E">
      <w:pPr>
        <w:pStyle w:val="a8"/>
        <w:widowControl/>
        <w:shd w:val="clear" w:color="auto" w:fill="FFFFFF"/>
        <w:ind w:firstLine="709"/>
        <w:jc w:val="both"/>
        <w:rPr>
          <w:rFonts w:ascii="Times New Roman" w:hAnsi="Times New Roman"/>
          <w:color w:val="000000"/>
          <w:sz w:val="28"/>
          <w:szCs w:val="28"/>
        </w:rPr>
      </w:pPr>
      <w:r w:rsidRPr="00CC0907">
        <w:rPr>
          <w:rFonts w:ascii="Times New Roman" w:hAnsi="Times New Roman"/>
          <w:color w:val="000000"/>
          <w:sz w:val="28"/>
          <w:szCs w:val="28"/>
        </w:rPr>
        <w:t>Кроме того, существует проблема, связанная с использованием аукционных роботов с целью нарушения антимонопольного законодательства.</w:t>
      </w:r>
    </w:p>
    <w:p w:rsidR="0068434D" w:rsidRPr="00CC0907" w:rsidRDefault="0068434D" w:rsidP="004D2C9E">
      <w:pPr>
        <w:pStyle w:val="a8"/>
        <w:widowControl/>
        <w:shd w:val="clear" w:color="auto" w:fill="FFFFFF"/>
        <w:ind w:firstLine="709"/>
        <w:jc w:val="both"/>
        <w:rPr>
          <w:rFonts w:ascii="Times New Roman" w:hAnsi="Times New Roman"/>
          <w:color w:val="000000"/>
          <w:sz w:val="28"/>
          <w:szCs w:val="28"/>
        </w:rPr>
      </w:pPr>
      <w:r w:rsidRPr="00CC0907">
        <w:rPr>
          <w:rFonts w:ascii="Times New Roman" w:hAnsi="Times New Roman"/>
          <w:color w:val="000000"/>
          <w:sz w:val="28"/>
          <w:szCs w:val="28"/>
        </w:rPr>
        <w:t>Аукционный робот – опционный функционал (специальный программный модуль) личного кабинета участников аукциона на электронной площадке, позволяющий на основании электронного документа-поручения с настройками аукционного робота, заполненного и подписанного электронной цифровой подписью участника торгов, автоматическую подачу ценовых предложений на конкретном электронном аукционе от имени его участника до заданного таким участником предела ценового предложения.</w:t>
      </w:r>
    </w:p>
    <w:p w:rsidR="0068434D" w:rsidRDefault="0068434D" w:rsidP="004D2C9E">
      <w:pPr>
        <w:pStyle w:val="a8"/>
        <w:widowControl/>
        <w:shd w:val="clear" w:color="auto" w:fill="FFFFFF"/>
        <w:ind w:firstLine="709"/>
        <w:jc w:val="both"/>
        <w:rPr>
          <w:rFonts w:ascii="Times New Roman" w:hAnsi="Times New Roman"/>
          <w:color w:val="000000"/>
          <w:sz w:val="28"/>
          <w:szCs w:val="28"/>
        </w:rPr>
      </w:pPr>
      <w:r w:rsidRPr="00CC0907">
        <w:rPr>
          <w:rFonts w:ascii="Times New Roman" w:hAnsi="Times New Roman"/>
          <w:color w:val="000000"/>
          <w:sz w:val="28"/>
          <w:szCs w:val="28"/>
        </w:rPr>
        <w:t>Появление новых инструментов реализации указанных антиконкурентных практик требует совершенствования подходов к процессу доказывания антиконкурентных соглашений, согласованных действий и незаконной координации экономической деятельности.</w:t>
      </w:r>
    </w:p>
    <w:p w:rsidR="0068434D" w:rsidRPr="009F68E5" w:rsidRDefault="0068434D" w:rsidP="004D2C9E">
      <w:pPr>
        <w:pStyle w:val="a8"/>
        <w:widowControl/>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Мурманским</w:t>
      </w:r>
      <w:r w:rsidRPr="009F68E5">
        <w:rPr>
          <w:rFonts w:ascii="Times New Roman" w:hAnsi="Times New Roman"/>
          <w:color w:val="000000"/>
          <w:sz w:val="28"/>
          <w:szCs w:val="28"/>
        </w:rPr>
        <w:t xml:space="preserve"> УФАС России </w:t>
      </w:r>
      <w:r>
        <w:rPr>
          <w:rFonts w:ascii="Times New Roman" w:hAnsi="Times New Roman"/>
          <w:color w:val="000000"/>
          <w:sz w:val="28"/>
          <w:szCs w:val="28"/>
        </w:rPr>
        <w:t>выявлено незаконное соглашение</w:t>
      </w:r>
      <w:r w:rsidRPr="009F68E5">
        <w:rPr>
          <w:rFonts w:ascii="Times New Roman" w:hAnsi="Times New Roman"/>
          <w:color w:val="000000"/>
          <w:sz w:val="28"/>
          <w:szCs w:val="28"/>
        </w:rPr>
        <w:t xml:space="preserve"> между ООО </w:t>
      </w:r>
      <w:r w:rsidR="004D2C9E">
        <w:rPr>
          <w:rFonts w:ascii="Times New Roman" w:hAnsi="Times New Roman"/>
          <w:color w:val="000000"/>
          <w:sz w:val="28"/>
          <w:szCs w:val="28"/>
        </w:rPr>
        <w:t>«</w:t>
      </w:r>
      <w:r w:rsidRPr="009F68E5">
        <w:rPr>
          <w:rFonts w:ascii="Times New Roman" w:hAnsi="Times New Roman"/>
          <w:color w:val="000000"/>
          <w:sz w:val="28"/>
          <w:szCs w:val="28"/>
        </w:rPr>
        <w:t>ОРКО-инвест</w:t>
      </w:r>
      <w:r w:rsidR="004D2C9E">
        <w:rPr>
          <w:rFonts w:ascii="Times New Roman" w:hAnsi="Times New Roman"/>
          <w:color w:val="000000"/>
          <w:sz w:val="28"/>
          <w:szCs w:val="28"/>
        </w:rPr>
        <w:t>»</w:t>
      </w:r>
      <w:r w:rsidRPr="009F68E5">
        <w:rPr>
          <w:rFonts w:ascii="Times New Roman" w:hAnsi="Times New Roman"/>
          <w:color w:val="000000"/>
          <w:sz w:val="28"/>
          <w:szCs w:val="28"/>
        </w:rPr>
        <w:t xml:space="preserve"> и ООО </w:t>
      </w:r>
      <w:r w:rsidR="004D2C9E">
        <w:rPr>
          <w:rFonts w:ascii="Times New Roman" w:hAnsi="Times New Roman"/>
          <w:color w:val="000000"/>
          <w:sz w:val="28"/>
          <w:szCs w:val="28"/>
        </w:rPr>
        <w:t>«</w:t>
      </w:r>
      <w:r w:rsidRPr="009F68E5">
        <w:rPr>
          <w:rFonts w:ascii="Times New Roman" w:hAnsi="Times New Roman"/>
          <w:color w:val="000000"/>
          <w:sz w:val="28"/>
          <w:szCs w:val="28"/>
        </w:rPr>
        <w:t xml:space="preserve">Управляющая компания </w:t>
      </w:r>
      <w:r w:rsidR="004D2C9E">
        <w:rPr>
          <w:rFonts w:ascii="Times New Roman" w:hAnsi="Times New Roman"/>
          <w:color w:val="000000"/>
          <w:sz w:val="28"/>
          <w:szCs w:val="28"/>
        </w:rPr>
        <w:t>«</w:t>
      </w:r>
      <w:r w:rsidRPr="009F68E5">
        <w:rPr>
          <w:rFonts w:ascii="Times New Roman" w:hAnsi="Times New Roman"/>
          <w:color w:val="000000"/>
          <w:sz w:val="28"/>
          <w:szCs w:val="28"/>
        </w:rPr>
        <w:t>Центр по обращению с отходами</w:t>
      </w:r>
      <w:r w:rsidR="004D2C9E">
        <w:rPr>
          <w:rFonts w:ascii="Times New Roman" w:hAnsi="Times New Roman"/>
          <w:color w:val="000000"/>
          <w:sz w:val="28"/>
          <w:szCs w:val="28"/>
        </w:rPr>
        <w:t>»</w:t>
      </w:r>
      <w:r w:rsidRPr="009F68E5">
        <w:rPr>
          <w:rFonts w:ascii="Times New Roman" w:hAnsi="Times New Roman"/>
          <w:color w:val="000000"/>
          <w:sz w:val="28"/>
          <w:szCs w:val="28"/>
        </w:rPr>
        <w:t>, которое привело к поддержанию цен на торгах</w:t>
      </w:r>
      <w:r>
        <w:rPr>
          <w:rFonts w:ascii="Times New Roman" w:hAnsi="Times New Roman"/>
          <w:color w:val="000000"/>
          <w:sz w:val="28"/>
          <w:szCs w:val="28"/>
        </w:rPr>
        <w:t xml:space="preserve">, а стороны признаны нарушившими </w:t>
      </w:r>
      <w:r w:rsidRPr="009F68E5">
        <w:rPr>
          <w:rFonts w:ascii="Times New Roman" w:hAnsi="Times New Roman"/>
          <w:color w:val="000000"/>
          <w:sz w:val="28"/>
          <w:szCs w:val="28"/>
        </w:rPr>
        <w:t>п</w:t>
      </w:r>
      <w:r w:rsidR="00474B38">
        <w:rPr>
          <w:rFonts w:ascii="Times New Roman" w:hAnsi="Times New Roman"/>
          <w:color w:val="000000"/>
          <w:sz w:val="28"/>
          <w:szCs w:val="28"/>
        </w:rPr>
        <w:t>ункт</w:t>
      </w:r>
      <w:r w:rsidRPr="009F68E5">
        <w:rPr>
          <w:rFonts w:ascii="Times New Roman" w:hAnsi="Times New Roman"/>
          <w:color w:val="000000"/>
          <w:sz w:val="28"/>
          <w:szCs w:val="28"/>
        </w:rPr>
        <w:t xml:space="preserve"> 2 ч</w:t>
      </w:r>
      <w:r w:rsidR="00474B38">
        <w:rPr>
          <w:rFonts w:ascii="Times New Roman" w:hAnsi="Times New Roman"/>
          <w:color w:val="000000"/>
          <w:sz w:val="28"/>
          <w:szCs w:val="28"/>
        </w:rPr>
        <w:t>асти</w:t>
      </w:r>
      <w:r w:rsidRPr="009F68E5">
        <w:rPr>
          <w:rFonts w:ascii="Times New Roman" w:hAnsi="Times New Roman"/>
          <w:color w:val="000000"/>
          <w:sz w:val="28"/>
          <w:szCs w:val="28"/>
        </w:rPr>
        <w:t xml:space="preserve"> 1 ст</w:t>
      </w:r>
      <w:r>
        <w:rPr>
          <w:rFonts w:ascii="Times New Roman" w:hAnsi="Times New Roman"/>
          <w:color w:val="000000"/>
          <w:sz w:val="28"/>
          <w:szCs w:val="28"/>
        </w:rPr>
        <w:t>атьи</w:t>
      </w:r>
      <w:r w:rsidRPr="009F68E5">
        <w:rPr>
          <w:rFonts w:ascii="Times New Roman" w:hAnsi="Times New Roman"/>
          <w:color w:val="000000"/>
          <w:sz w:val="28"/>
          <w:szCs w:val="28"/>
        </w:rPr>
        <w:t xml:space="preserve"> 11 </w:t>
      </w:r>
      <w:r w:rsidR="00474B38">
        <w:rPr>
          <w:rFonts w:ascii="Times New Roman" w:hAnsi="Times New Roman"/>
          <w:color w:val="000000"/>
          <w:sz w:val="28"/>
          <w:szCs w:val="28"/>
        </w:rPr>
        <w:t>Федерального з</w:t>
      </w:r>
      <w:r w:rsidRPr="009F68E5">
        <w:rPr>
          <w:rFonts w:ascii="Times New Roman" w:hAnsi="Times New Roman"/>
          <w:color w:val="000000"/>
          <w:sz w:val="28"/>
          <w:szCs w:val="28"/>
        </w:rPr>
        <w:t xml:space="preserve">акона </w:t>
      </w:r>
      <w:r w:rsidR="00474B38">
        <w:rPr>
          <w:rFonts w:ascii="Times New Roman" w:hAnsi="Times New Roman"/>
          <w:color w:val="000000"/>
          <w:sz w:val="28"/>
          <w:szCs w:val="28"/>
        </w:rPr>
        <w:t>«О</w:t>
      </w:r>
      <w:r w:rsidRPr="009F68E5">
        <w:rPr>
          <w:rFonts w:ascii="Times New Roman" w:hAnsi="Times New Roman"/>
          <w:color w:val="000000"/>
          <w:sz w:val="28"/>
          <w:szCs w:val="28"/>
        </w:rPr>
        <w:t xml:space="preserve"> защите конкуренции</w:t>
      </w:r>
      <w:r w:rsidR="00474B38">
        <w:rPr>
          <w:rFonts w:ascii="Times New Roman" w:hAnsi="Times New Roman"/>
          <w:color w:val="000000"/>
          <w:sz w:val="28"/>
          <w:szCs w:val="28"/>
        </w:rPr>
        <w:t>»</w:t>
      </w:r>
      <w:r w:rsidRPr="009F68E5">
        <w:rPr>
          <w:rFonts w:ascii="Times New Roman" w:hAnsi="Times New Roman"/>
          <w:color w:val="000000"/>
          <w:sz w:val="28"/>
          <w:szCs w:val="28"/>
        </w:rPr>
        <w:t xml:space="preserve">. Антимонопольный орган установил, что при проведении </w:t>
      </w:r>
      <w:r w:rsidR="00903F7A">
        <w:rPr>
          <w:rFonts w:ascii="Times New Roman" w:hAnsi="Times New Roman"/>
          <w:color w:val="000000"/>
          <w:sz w:val="28"/>
          <w:szCs w:val="28"/>
        </w:rPr>
        <w:br/>
      </w:r>
      <w:r w:rsidRPr="009F68E5">
        <w:rPr>
          <w:rFonts w:ascii="Times New Roman" w:hAnsi="Times New Roman"/>
          <w:color w:val="000000"/>
          <w:sz w:val="28"/>
          <w:szCs w:val="28"/>
        </w:rPr>
        <w:t>25 электронных аукционов участники антиконкурентного соглашения практически не снижали начальную (максимальную) цену контракта</w:t>
      </w:r>
      <w:r w:rsidR="00ED28FD">
        <w:rPr>
          <w:rFonts w:ascii="Times New Roman" w:hAnsi="Times New Roman"/>
          <w:color w:val="000000"/>
          <w:sz w:val="28"/>
          <w:szCs w:val="28"/>
        </w:rPr>
        <w:t xml:space="preserve"> </w:t>
      </w:r>
      <w:r w:rsidR="00ED28FD" w:rsidRPr="00ED28FD">
        <w:rPr>
          <w:rFonts w:ascii="Times New Roman" w:hAnsi="Times New Roman"/>
          <w:color w:val="000000"/>
          <w:sz w:val="28"/>
          <w:szCs w:val="28"/>
        </w:rPr>
        <w:t>(НМЦК)</w:t>
      </w:r>
      <w:r w:rsidRPr="009F68E5">
        <w:rPr>
          <w:rFonts w:ascii="Times New Roman" w:hAnsi="Times New Roman"/>
          <w:color w:val="000000"/>
          <w:sz w:val="28"/>
          <w:szCs w:val="28"/>
        </w:rPr>
        <w:t>, позволяя выигрывать торги друг другу в</w:t>
      </w:r>
      <w:r w:rsidR="00474B38">
        <w:rPr>
          <w:rFonts w:ascii="Times New Roman" w:hAnsi="Times New Roman"/>
          <w:color w:val="000000"/>
          <w:sz w:val="28"/>
          <w:szCs w:val="28"/>
        </w:rPr>
        <w:t xml:space="preserve"> соответствии с заранее определе</w:t>
      </w:r>
      <w:r w:rsidRPr="009F68E5">
        <w:rPr>
          <w:rFonts w:ascii="Times New Roman" w:hAnsi="Times New Roman"/>
          <w:color w:val="000000"/>
          <w:sz w:val="28"/>
          <w:szCs w:val="28"/>
        </w:rPr>
        <w:t>нной стратегией.</w:t>
      </w:r>
    </w:p>
    <w:p w:rsidR="0068434D" w:rsidRPr="009F68E5" w:rsidRDefault="0068434D" w:rsidP="004D2C9E">
      <w:pPr>
        <w:pStyle w:val="a8"/>
        <w:widowControl/>
        <w:shd w:val="clear" w:color="auto" w:fill="FFFFFF"/>
        <w:ind w:firstLine="709"/>
        <w:jc w:val="both"/>
        <w:rPr>
          <w:rFonts w:ascii="Times New Roman" w:hAnsi="Times New Roman"/>
          <w:color w:val="000000"/>
          <w:sz w:val="28"/>
          <w:szCs w:val="28"/>
        </w:rPr>
      </w:pPr>
      <w:r w:rsidRPr="009F68E5">
        <w:rPr>
          <w:rFonts w:ascii="Times New Roman" w:hAnsi="Times New Roman"/>
          <w:color w:val="000000"/>
          <w:sz w:val="28"/>
          <w:szCs w:val="28"/>
        </w:rPr>
        <w:t>При создании аукционных роботов компании, вступившие в сговор, могут программировать для них лимиты снижения в диапазоне от 0,5</w:t>
      </w:r>
      <w:r w:rsidR="00903F7A">
        <w:rPr>
          <w:rFonts w:ascii="Times New Roman" w:hAnsi="Times New Roman"/>
          <w:color w:val="000000"/>
          <w:sz w:val="28"/>
          <w:szCs w:val="28"/>
        </w:rPr>
        <w:t xml:space="preserve"> </w:t>
      </w:r>
      <w:r w:rsidR="0037196F">
        <w:rPr>
          <w:rFonts w:ascii="Times New Roman" w:hAnsi="Times New Roman"/>
          <w:color w:val="000000"/>
          <w:sz w:val="28"/>
          <w:szCs w:val="28"/>
        </w:rPr>
        <w:t>до</w:t>
      </w:r>
      <w:r w:rsidR="00903F7A">
        <w:rPr>
          <w:rFonts w:ascii="Times New Roman" w:hAnsi="Times New Roman"/>
          <w:color w:val="000000"/>
          <w:sz w:val="28"/>
          <w:szCs w:val="28"/>
        </w:rPr>
        <w:t xml:space="preserve"> </w:t>
      </w:r>
      <w:r w:rsidRPr="009F68E5">
        <w:rPr>
          <w:rFonts w:ascii="Times New Roman" w:hAnsi="Times New Roman"/>
          <w:color w:val="000000"/>
          <w:sz w:val="28"/>
          <w:szCs w:val="28"/>
        </w:rPr>
        <w:t>1</w:t>
      </w:r>
      <w:r w:rsidR="0037196F">
        <w:rPr>
          <w:rFonts w:ascii="Times New Roman" w:hAnsi="Times New Roman"/>
          <w:color w:val="000000"/>
          <w:sz w:val="28"/>
          <w:szCs w:val="28"/>
        </w:rPr>
        <w:t> </w:t>
      </w:r>
      <w:r w:rsidR="004D2C9E">
        <w:rPr>
          <w:rFonts w:ascii="Times New Roman" w:hAnsi="Times New Roman"/>
          <w:color w:val="000000"/>
          <w:sz w:val="28"/>
          <w:szCs w:val="28"/>
        </w:rPr>
        <w:t>%</w:t>
      </w:r>
      <w:r w:rsidRPr="009F68E5">
        <w:rPr>
          <w:rFonts w:ascii="Times New Roman" w:hAnsi="Times New Roman"/>
          <w:color w:val="000000"/>
          <w:sz w:val="28"/>
          <w:szCs w:val="28"/>
        </w:rPr>
        <w:t xml:space="preserve"> начальной (максимальной) цены контракта</w:t>
      </w:r>
      <w:r w:rsidR="00474B38">
        <w:rPr>
          <w:rFonts w:ascii="Times New Roman" w:hAnsi="Times New Roman"/>
          <w:color w:val="000000"/>
          <w:sz w:val="28"/>
          <w:szCs w:val="28"/>
        </w:rPr>
        <w:t>,</w:t>
      </w:r>
      <w:r w:rsidRPr="009F68E5">
        <w:rPr>
          <w:rFonts w:ascii="Times New Roman" w:hAnsi="Times New Roman"/>
          <w:color w:val="000000"/>
          <w:sz w:val="28"/>
          <w:szCs w:val="28"/>
        </w:rPr>
        <w:t xml:space="preserve"> в зависимости от того, кто из них должен выиграть аукцион.</w:t>
      </w:r>
    </w:p>
    <w:p w:rsidR="0068434D" w:rsidRPr="009F68E5" w:rsidRDefault="0068434D" w:rsidP="004D2C9E">
      <w:pPr>
        <w:pStyle w:val="a8"/>
        <w:widowControl/>
        <w:shd w:val="clear" w:color="auto" w:fill="FFFFFF"/>
        <w:ind w:firstLine="709"/>
        <w:jc w:val="both"/>
        <w:rPr>
          <w:rFonts w:ascii="Times New Roman" w:hAnsi="Times New Roman"/>
          <w:color w:val="000000"/>
          <w:sz w:val="28"/>
          <w:szCs w:val="28"/>
        </w:rPr>
      </w:pPr>
      <w:r w:rsidRPr="009F68E5">
        <w:rPr>
          <w:rFonts w:ascii="Times New Roman" w:hAnsi="Times New Roman"/>
          <w:color w:val="000000"/>
          <w:sz w:val="28"/>
          <w:szCs w:val="28"/>
        </w:rPr>
        <w:t xml:space="preserve">Одним из доказательств </w:t>
      </w:r>
      <w:r>
        <w:rPr>
          <w:rFonts w:ascii="Times New Roman" w:hAnsi="Times New Roman"/>
          <w:color w:val="000000"/>
          <w:sz w:val="28"/>
          <w:szCs w:val="28"/>
        </w:rPr>
        <w:t xml:space="preserve">по делу явилась </w:t>
      </w:r>
      <w:r w:rsidRPr="009F68E5">
        <w:rPr>
          <w:rFonts w:ascii="Times New Roman" w:hAnsi="Times New Roman"/>
          <w:color w:val="000000"/>
          <w:sz w:val="28"/>
          <w:szCs w:val="28"/>
        </w:rPr>
        <w:t>осведомленност</w:t>
      </w:r>
      <w:r>
        <w:rPr>
          <w:rFonts w:ascii="Times New Roman" w:hAnsi="Times New Roman"/>
          <w:color w:val="000000"/>
          <w:sz w:val="28"/>
          <w:szCs w:val="28"/>
        </w:rPr>
        <w:t>ь</w:t>
      </w:r>
      <w:r w:rsidRPr="009F68E5">
        <w:rPr>
          <w:rFonts w:ascii="Times New Roman" w:hAnsi="Times New Roman"/>
          <w:color w:val="000000"/>
          <w:sz w:val="28"/>
          <w:szCs w:val="28"/>
        </w:rPr>
        <w:t xml:space="preserve"> участников о действиях друг друга в торгах на электронной торговой площадке ЗАО </w:t>
      </w:r>
      <w:r w:rsidR="004D2C9E">
        <w:rPr>
          <w:rFonts w:ascii="Times New Roman" w:hAnsi="Times New Roman"/>
          <w:color w:val="000000"/>
          <w:sz w:val="28"/>
          <w:szCs w:val="28"/>
        </w:rPr>
        <w:t>«</w:t>
      </w:r>
      <w:r w:rsidRPr="009F68E5">
        <w:rPr>
          <w:rFonts w:ascii="Times New Roman" w:hAnsi="Times New Roman"/>
          <w:color w:val="000000"/>
          <w:sz w:val="28"/>
          <w:szCs w:val="28"/>
        </w:rPr>
        <w:t>Сбербанк-АСТ</w:t>
      </w:r>
      <w:r w:rsidR="004D2C9E">
        <w:rPr>
          <w:rFonts w:ascii="Times New Roman" w:hAnsi="Times New Roman"/>
          <w:color w:val="000000"/>
          <w:sz w:val="28"/>
          <w:szCs w:val="28"/>
        </w:rPr>
        <w:t>»</w:t>
      </w:r>
      <w:r w:rsidRPr="009F68E5">
        <w:rPr>
          <w:rFonts w:ascii="Times New Roman" w:hAnsi="Times New Roman"/>
          <w:color w:val="000000"/>
          <w:sz w:val="28"/>
          <w:szCs w:val="28"/>
        </w:rPr>
        <w:t xml:space="preserve"> посредством запрограммированных аукционных роботов. Лимиты снижения </w:t>
      </w:r>
      <w:r w:rsidR="00ED28FD" w:rsidRPr="00ED28FD">
        <w:rPr>
          <w:rFonts w:ascii="Times New Roman" w:hAnsi="Times New Roman"/>
          <w:color w:val="000000"/>
          <w:sz w:val="28"/>
          <w:szCs w:val="28"/>
        </w:rPr>
        <w:t>начальн</w:t>
      </w:r>
      <w:r w:rsidR="00ED28FD">
        <w:rPr>
          <w:rFonts w:ascii="Times New Roman" w:hAnsi="Times New Roman"/>
          <w:color w:val="000000"/>
          <w:sz w:val="28"/>
          <w:szCs w:val="28"/>
        </w:rPr>
        <w:t>ой</w:t>
      </w:r>
      <w:r w:rsidR="00ED28FD" w:rsidRPr="00ED28FD">
        <w:rPr>
          <w:rFonts w:ascii="Times New Roman" w:hAnsi="Times New Roman"/>
          <w:color w:val="000000"/>
          <w:sz w:val="28"/>
          <w:szCs w:val="28"/>
        </w:rPr>
        <w:t xml:space="preserve"> (максимальн</w:t>
      </w:r>
      <w:r w:rsidR="00ED28FD">
        <w:rPr>
          <w:rFonts w:ascii="Times New Roman" w:hAnsi="Times New Roman"/>
          <w:color w:val="000000"/>
          <w:sz w:val="28"/>
          <w:szCs w:val="28"/>
        </w:rPr>
        <w:t>ой</w:t>
      </w:r>
      <w:r w:rsidR="00ED28FD" w:rsidRPr="00ED28FD">
        <w:rPr>
          <w:rFonts w:ascii="Times New Roman" w:hAnsi="Times New Roman"/>
          <w:color w:val="000000"/>
          <w:sz w:val="28"/>
          <w:szCs w:val="28"/>
        </w:rPr>
        <w:t>) цен</w:t>
      </w:r>
      <w:r w:rsidR="00ED28FD">
        <w:rPr>
          <w:rFonts w:ascii="Times New Roman" w:hAnsi="Times New Roman"/>
          <w:color w:val="000000"/>
          <w:sz w:val="28"/>
          <w:szCs w:val="28"/>
        </w:rPr>
        <w:t>ы</w:t>
      </w:r>
      <w:r w:rsidR="00ED28FD" w:rsidRPr="00ED28FD">
        <w:rPr>
          <w:rFonts w:ascii="Times New Roman" w:hAnsi="Times New Roman"/>
          <w:color w:val="000000"/>
          <w:sz w:val="28"/>
          <w:szCs w:val="28"/>
        </w:rPr>
        <w:t xml:space="preserve"> контракта</w:t>
      </w:r>
      <w:r w:rsidR="008C64F2">
        <w:rPr>
          <w:rFonts w:ascii="Times New Roman" w:hAnsi="Times New Roman"/>
          <w:color w:val="000000"/>
          <w:sz w:val="28"/>
          <w:szCs w:val="28"/>
        </w:rPr>
        <w:t xml:space="preserve"> (НМЦК)</w:t>
      </w:r>
      <w:r w:rsidR="00ED28FD" w:rsidRPr="00ED28FD">
        <w:rPr>
          <w:rFonts w:ascii="Times New Roman" w:hAnsi="Times New Roman"/>
          <w:color w:val="000000"/>
          <w:sz w:val="28"/>
          <w:szCs w:val="28"/>
        </w:rPr>
        <w:t xml:space="preserve"> </w:t>
      </w:r>
      <w:r w:rsidRPr="009F68E5">
        <w:rPr>
          <w:rFonts w:ascii="Times New Roman" w:hAnsi="Times New Roman"/>
          <w:color w:val="000000"/>
          <w:sz w:val="28"/>
          <w:szCs w:val="28"/>
        </w:rPr>
        <w:t>для аукционных роботов устанавливаются при их создании, т.е. до начала проведения электронного аукциона</w:t>
      </w:r>
      <w:r>
        <w:rPr>
          <w:rFonts w:ascii="Times New Roman" w:hAnsi="Times New Roman"/>
          <w:color w:val="000000"/>
          <w:sz w:val="28"/>
          <w:szCs w:val="28"/>
        </w:rPr>
        <w:t>, а</w:t>
      </w:r>
      <w:r w:rsidRPr="009F68E5">
        <w:rPr>
          <w:rFonts w:ascii="Times New Roman" w:hAnsi="Times New Roman"/>
          <w:color w:val="000000"/>
          <w:sz w:val="28"/>
          <w:szCs w:val="28"/>
        </w:rPr>
        <w:t xml:space="preserve"> участвующие в антиконкурентном соглашении лица определяют, кто из них станет победите</w:t>
      </w:r>
      <w:r w:rsidR="0037196F">
        <w:rPr>
          <w:rFonts w:ascii="Times New Roman" w:hAnsi="Times New Roman"/>
          <w:color w:val="000000"/>
          <w:sz w:val="28"/>
          <w:szCs w:val="28"/>
        </w:rPr>
        <w:t>лем торгов</w:t>
      </w:r>
      <w:r w:rsidRPr="009F68E5">
        <w:rPr>
          <w:rFonts w:ascii="Times New Roman" w:hAnsi="Times New Roman"/>
          <w:color w:val="000000"/>
          <w:sz w:val="28"/>
          <w:szCs w:val="28"/>
        </w:rPr>
        <w:t xml:space="preserve"> и до какой величины каждый из них снизит НМЦК. </w:t>
      </w:r>
    </w:p>
    <w:p w:rsidR="0068434D" w:rsidRDefault="00ED28FD" w:rsidP="004D2C9E">
      <w:pPr>
        <w:pStyle w:val="a8"/>
        <w:widowControl/>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В настоящее время</w:t>
      </w:r>
      <w:r w:rsidR="0068434D" w:rsidRPr="00CC0907">
        <w:rPr>
          <w:rFonts w:ascii="Times New Roman" w:hAnsi="Times New Roman"/>
          <w:color w:val="000000"/>
          <w:sz w:val="28"/>
          <w:szCs w:val="28"/>
        </w:rPr>
        <w:t xml:space="preserve"> нормы действующего антимонопольного законодательства не предусматривают</w:t>
      </w:r>
      <w:r w:rsidR="0068434D">
        <w:rPr>
          <w:rFonts w:ascii="Times New Roman" w:hAnsi="Times New Roman"/>
          <w:color w:val="000000"/>
          <w:sz w:val="28"/>
          <w:szCs w:val="28"/>
        </w:rPr>
        <w:t xml:space="preserve"> специальной</w:t>
      </w:r>
      <w:r w:rsidR="0068434D" w:rsidRPr="00CC0907">
        <w:rPr>
          <w:rFonts w:ascii="Times New Roman" w:hAnsi="Times New Roman"/>
          <w:color w:val="000000"/>
          <w:sz w:val="28"/>
          <w:szCs w:val="28"/>
        </w:rPr>
        <w:t xml:space="preserve"> ответственности для лиц, использующих ценовые алгоритмы для формирования отч</w:t>
      </w:r>
      <w:r>
        <w:rPr>
          <w:rFonts w:ascii="Times New Roman" w:hAnsi="Times New Roman"/>
          <w:color w:val="000000"/>
          <w:sz w:val="28"/>
          <w:szCs w:val="28"/>
        </w:rPr>
        <w:t>е</w:t>
      </w:r>
      <w:r w:rsidR="0068434D" w:rsidRPr="00CC0907">
        <w:rPr>
          <w:rFonts w:ascii="Times New Roman" w:hAnsi="Times New Roman"/>
          <w:color w:val="000000"/>
          <w:sz w:val="28"/>
          <w:szCs w:val="28"/>
        </w:rPr>
        <w:t>тов о ценах на рынке, используемых впоследствии координатором для установления контроля над ценами и приведения их к определ</w:t>
      </w:r>
      <w:r>
        <w:rPr>
          <w:rFonts w:ascii="Times New Roman" w:hAnsi="Times New Roman"/>
          <w:color w:val="000000"/>
          <w:sz w:val="28"/>
          <w:szCs w:val="28"/>
        </w:rPr>
        <w:t>е</w:t>
      </w:r>
      <w:r w:rsidR="0068434D" w:rsidRPr="00CC0907">
        <w:rPr>
          <w:rFonts w:ascii="Times New Roman" w:hAnsi="Times New Roman"/>
          <w:color w:val="000000"/>
          <w:sz w:val="28"/>
          <w:szCs w:val="28"/>
        </w:rPr>
        <w:t>нному уровню (соучастников незаконной координации экономической деятельности). Следует отметить, что последствия такой координации с использованием алгоритмов для рынка сравнимы с последствиями антиконкурентных соглашений.</w:t>
      </w:r>
    </w:p>
    <w:p w:rsidR="0068434D" w:rsidRPr="00261D28" w:rsidRDefault="003611BB" w:rsidP="000863D3">
      <w:pPr>
        <w:pStyle w:val="3"/>
        <w:ind w:firstLine="0"/>
        <w:jc w:val="center"/>
      </w:pPr>
      <w:bookmarkStart w:id="17" w:name="_Toc526253887"/>
      <w:r>
        <w:t>2.</w:t>
      </w:r>
      <w:r w:rsidR="00BD638F">
        <w:t>3.6. </w:t>
      </w:r>
      <w:r w:rsidR="0068434D" w:rsidRPr="00261D28">
        <w:t>Принудительное лицензирование использования результатов интеллектуально</w:t>
      </w:r>
      <w:r w:rsidR="00310114">
        <w:t>й деятельности</w:t>
      </w:r>
      <w:bookmarkEnd w:id="17"/>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Права на результаты интеллектуальной деятельности могут предоставлять участнику рынка определенн</w:t>
      </w:r>
      <w:r w:rsidR="00ED28FD">
        <w:rPr>
          <w:rFonts w:ascii="Times New Roman" w:hAnsi="Times New Roman"/>
          <w:sz w:val="28"/>
          <w:szCs w:val="28"/>
        </w:rPr>
        <w:t>ые</w:t>
      </w:r>
      <w:r w:rsidRPr="00261D28">
        <w:rPr>
          <w:rFonts w:ascii="Times New Roman" w:hAnsi="Times New Roman"/>
          <w:sz w:val="28"/>
          <w:szCs w:val="28"/>
        </w:rPr>
        <w:t xml:space="preserve"> </w:t>
      </w:r>
      <w:r w:rsidR="00ED28FD">
        <w:rPr>
          <w:rFonts w:ascii="Times New Roman" w:hAnsi="Times New Roman"/>
          <w:sz w:val="28"/>
          <w:szCs w:val="28"/>
        </w:rPr>
        <w:t>преимущества</w:t>
      </w:r>
      <w:r w:rsidRPr="00261D28">
        <w:rPr>
          <w:rFonts w:ascii="Times New Roman" w:hAnsi="Times New Roman"/>
          <w:sz w:val="28"/>
          <w:szCs w:val="28"/>
        </w:rPr>
        <w:t>, что сопряжено с риском злоупотреблений. Механизм принудительного лицензирования позволяет регулятору ограничивать право на интеллектуальную собственность в общественных интересах. В то же время использование данного механизма может привести к значительному негативному влиянию на стимулы к инновационной деятельности.</w:t>
      </w:r>
    </w:p>
    <w:p w:rsidR="0068434D"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Возможность принудительного воздействия государства на недобросовестного правообладателя предусмотрена национальными правовыми актами ряда государств.</w:t>
      </w:r>
    </w:p>
    <w:p w:rsidR="0068434D" w:rsidRPr="00310114" w:rsidRDefault="0068434D" w:rsidP="004D2C9E">
      <w:pPr>
        <w:pStyle w:val="7"/>
      </w:pPr>
      <w:r w:rsidRPr="00310114">
        <w:t xml:space="preserve">Опыт </w:t>
      </w:r>
      <w:r w:rsidR="00310114" w:rsidRPr="00310114">
        <w:t>Федеративной Республики Германия</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 xml:space="preserve">Механизм принудительного лицензирования зафиксирован в рамках Патентного акта в разделах 25, 85 и 85а. </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Выдача принудительной лицензии</w:t>
      </w:r>
      <w:r w:rsidR="00993438">
        <w:rPr>
          <w:rFonts w:ascii="Times New Roman" w:hAnsi="Times New Roman"/>
          <w:sz w:val="28"/>
          <w:szCs w:val="28"/>
        </w:rPr>
        <w:t xml:space="preserve"> </w:t>
      </w:r>
      <w:r w:rsidRPr="00261D28">
        <w:rPr>
          <w:rFonts w:ascii="Times New Roman" w:hAnsi="Times New Roman"/>
          <w:sz w:val="28"/>
          <w:szCs w:val="28"/>
        </w:rPr>
        <w:t>осуществляется Федеральным</w:t>
      </w:r>
      <w:r w:rsidR="00310114">
        <w:rPr>
          <w:rFonts w:ascii="Times New Roman" w:hAnsi="Times New Roman"/>
          <w:sz w:val="28"/>
          <w:szCs w:val="28"/>
        </w:rPr>
        <w:t xml:space="preserve"> </w:t>
      </w:r>
      <w:r w:rsidRPr="00261D28">
        <w:rPr>
          <w:rFonts w:ascii="Times New Roman" w:hAnsi="Times New Roman"/>
          <w:sz w:val="28"/>
          <w:szCs w:val="28"/>
        </w:rPr>
        <w:t>патентным судом при выполнении следующих условий:</w:t>
      </w:r>
    </w:p>
    <w:p w:rsidR="0068434D"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истец в течение разумного периода пытался </w:t>
      </w:r>
      <w:r w:rsidRPr="00261D28">
        <w:rPr>
          <w:rFonts w:ascii="Times New Roman" w:hAnsi="Times New Roman"/>
          <w:sz w:val="28"/>
          <w:szCs w:val="28"/>
        </w:rPr>
        <w:t>заключить с патентообладателем лицензионный договор на справедливых условиях, однако патентообладатель отказал в заключении договора;</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предоставление лицензии истцу обусл</w:t>
      </w:r>
      <w:r w:rsidR="0037196F">
        <w:rPr>
          <w:rFonts w:ascii="Times New Roman" w:hAnsi="Times New Roman"/>
          <w:sz w:val="28"/>
          <w:szCs w:val="28"/>
        </w:rPr>
        <w:t>овлено общественными интересами;</w:t>
      </w:r>
    </w:p>
    <w:p w:rsidR="0068434D" w:rsidRPr="00261D28" w:rsidRDefault="0037196F" w:rsidP="004D2C9E">
      <w:pPr>
        <w:spacing w:after="0" w:line="240" w:lineRule="auto"/>
        <w:ind w:firstLine="709"/>
        <w:jc w:val="both"/>
        <w:rPr>
          <w:rFonts w:ascii="Times New Roman" w:hAnsi="Times New Roman"/>
          <w:sz w:val="28"/>
          <w:szCs w:val="28"/>
        </w:rPr>
      </w:pPr>
      <w:r>
        <w:rPr>
          <w:rFonts w:ascii="Times New Roman" w:hAnsi="Times New Roman"/>
          <w:sz w:val="28"/>
          <w:szCs w:val="28"/>
        </w:rPr>
        <w:t>и</w:t>
      </w:r>
      <w:r w:rsidR="0068434D" w:rsidRPr="00261D28">
        <w:rPr>
          <w:rFonts w:ascii="Times New Roman" w:hAnsi="Times New Roman"/>
          <w:sz w:val="28"/>
          <w:szCs w:val="28"/>
        </w:rPr>
        <w:t xml:space="preserve">стец не может использовать принадлежащий ему патент, не нарушая патента правообладателя; </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 xml:space="preserve">изобретение истца представляет собой важное техническое достижение и имеет существенные экономические преимущества перед изобретением обладателя патента. </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Правообладатель имеет право на компенсацию от собственника принудительной лицензии. Если обстоятельства, приведшие к выдаче принудительной лицензии, были исчерпаны, правообладатель может потребовать прекращения действия принудительной лицензии.</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Также в целях оперативного решения вопроса принудительная лицензия может быть выдана по решению суда на временный срок до окончания судебного разбирательства. Если решение впоследствии отменено или изменено, лицо, которое получило принудительную лицензию, обязано возместить издержки, понесенные правообладателем.</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Помимо указанных выше услови</w:t>
      </w:r>
      <w:r w:rsidR="00ED28FD">
        <w:rPr>
          <w:rFonts w:ascii="Times New Roman" w:hAnsi="Times New Roman"/>
          <w:sz w:val="28"/>
          <w:szCs w:val="28"/>
        </w:rPr>
        <w:t>й</w:t>
      </w:r>
      <w:r w:rsidR="00EF52B4">
        <w:rPr>
          <w:rFonts w:ascii="Times New Roman" w:hAnsi="Times New Roman"/>
          <w:sz w:val="28"/>
          <w:szCs w:val="28"/>
        </w:rPr>
        <w:t>,</w:t>
      </w:r>
      <w:r w:rsidRPr="00261D28">
        <w:rPr>
          <w:rFonts w:ascii="Times New Roman" w:hAnsi="Times New Roman"/>
          <w:sz w:val="28"/>
          <w:szCs w:val="28"/>
        </w:rPr>
        <w:t xml:space="preserve"> выдача принудительной лицензии предусмотрена в рамках антимонопольного законодательства. Существует прецедент решения Верховного суда </w:t>
      </w:r>
      <w:r w:rsidR="00310114" w:rsidRPr="00310114">
        <w:rPr>
          <w:rFonts w:ascii="Times New Roman" w:hAnsi="Times New Roman"/>
          <w:sz w:val="28"/>
          <w:szCs w:val="28"/>
        </w:rPr>
        <w:t>Федеративной Республики Германия</w:t>
      </w:r>
      <w:r w:rsidRPr="00261D28">
        <w:rPr>
          <w:rFonts w:ascii="Times New Roman" w:hAnsi="Times New Roman"/>
          <w:sz w:val="28"/>
          <w:szCs w:val="28"/>
        </w:rPr>
        <w:t xml:space="preserve"> по делу </w:t>
      </w:r>
      <w:r w:rsidR="00E720B2">
        <w:rPr>
          <w:rFonts w:ascii="Times New Roman" w:hAnsi="Times New Roman"/>
          <w:sz w:val="28"/>
          <w:szCs w:val="28"/>
        </w:rPr>
        <w:t>№ </w:t>
      </w:r>
      <w:r w:rsidRPr="00261D28">
        <w:rPr>
          <w:rFonts w:ascii="Times New Roman" w:hAnsi="Times New Roman"/>
          <w:sz w:val="28"/>
          <w:szCs w:val="28"/>
        </w:rPr>
        <w:t>KZR 39/06</w:t>
      </w:r>
      <w:r w:rsidR="00F9318B">
        <w:rPr>
          <w:rFonts w:ascii="Times New Roman" w:hAnsi="Times New Roman"/>
          <w:sz w:val="28"/>
          <w:szCs w:val="28"/>
        </w:rPr>
        <w:t xml:space="preserve"> – </w:t>
      </w:r>
      <w:r w:rsidRPr="00261D28">
        <w:rPr>
          <w:rFonts w:ascii="Times New Roman" w:hAnsi="Times New Roman"/>
          <w:sz w:val="28"/>
          <w:szCs w:val="28"/>
        </w:rPr>
        <w:t>Orange Book Standard от 6 мая 2009 г</w:t>
      </w:r>
      <w:r w:rsidR="00310114">
        <w:rPr>
          <w:rFonts w:ascii="Times New Roman" w:hAnsi="Times New Roman"/>
          <w:sz w:val="28"/>
          <w:szCs w:val="28"/>
        </w:rPr>
        <w:t>ода.</w:t>
      </w:r>
      <w:r w:rsidRPr="00261D28">
        <w:rPr>
          <w:rFonts w:ascii="Times New Roman" w:hAnsi="Times New Roman"/>
          <w:sz w:val="28"/>
          <w:szCs w:val="28"/>
        </w:rPr>
        <w:t xml:space="preserve"> Правообладатель подал иск о запрете на использование принадлежащего ему </w:t>
      </w:r>
      <w:r w:rsidR="00ED28FD" w:rsidRPr="00ED28FD">
        <w:rPr>
          <w:rFonts w:ascii="Times New Roman" w:hAnsi="Times New Roman"/>
          <w:sz w:val="28"/>
          <w:szCs w:val="28"/>
        </w:rPr>
        <w:t xml:space="preserve">результат интеллектуальной деятельности </w:t>
      </w:r>
      <w:r w:rsidR="00ED28FD">
        <w:rPr>
          <w:rFonts w:ascii="Times New Roman" w:hAnsi="Times New Roman"/>
          <w:sz w:val="28"/>
          <w:szCs w:val="28"/>
        </w:rPr>
        <w:t>(</w:t>
      </w:r>
      <w:r w:rsidRPr="00261D28">
        <w:rPr>
          <w:rFonts w:ascii="Times New Roman" w:hAnsi="Times New Roman"/>
          <w:sz w:val="28"/>
          <w:szCs w:val="28"/>
        </w:rPr>
        <w:t>РИД</w:t>
      </w:r>
      <w:r w:rsidR="00ED28FD">
        <w:rPr>
          <w:rFonts w:ascii="Times New Roman" w:hAnsi="Times New Roman"/>
          <w:sz w:val="28"/>
          <w:szCs w:val="28"/>
        </w:rPr>
        <w:t>)</w:t>
      </w:r>
      <w:r w:rsidRPr="00261D28">
        <w:rPr>
          <w:rFonts w:ascii="Times New Roman" w:hAnsi="Times New Roman"/>
          <w:sz w:val="28"/>
          <w:szCs w:val="28"/>
        </w:rPr>
        <w:t xml:space="preserve"> без лицензии. Хотя в результате иска был введен судебный запрет на использование патента без разрешения патентообладателя, Верховный суд признал, что ответчики, неправомерно использующие патент, могут аргументировать свою позицию следующими обстоятельствами: правообладатель обладает доминирующ</w:t>
      </w:r>
      <w:r w:rsidR="00ED28FD">
        <w:rPr>
          <w:rFonts w:ascii="Times New Roman" w:hAnsi="Times New Roman"/>
          <w:sz w:val="28"/>
          <w:szCs w:val="28"/>
        </w:rPr>
        <w:t>и</w:t>
      </w:r>
      <w:r w:rsidRPr="00261D28">
        <w:rPr>
          <w:rFonts w:ascii="Times New Roman" w:hAnsi="Times New Roman"/>
          <w:sz w:val="28"/>
          <w:szCs w:val="28"/>
        </w:rPr>
        <w:t>м положением на рынке и отказывается заключить лицензионный договор с ответчиком на справедливых условиях. В то же время в соответствии со сложившейся судебной практикой Верховный суд в качестве обязательного условия выдачи принудительной лицензии указывает положительный эффект для общественного благосостояния.</w:t>
      </w:r>
    </w:p>
    <w:p w:rsidR="0068434D"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 xml:space="preserve">Зафиксировано всего два случая выдачи принудительной лицензии в </w:t>
      </w:r>
      <w:r w:rsidR="00310114" w:rsidRPr="00310114">
        <w:rPr>
          <w:rFonts w:ascii="Times New Roman" w:hAnsi="Times New Roman"/>
          <w:sz w:val="28"/>
          <w:szCs w:val="28"/>
        </w:rPr>
        <w:t>Федеративной Республик</w:t>
      </w:r>
      <w:r w:rsidR="00310114">
        <w:rPr>
          <w:rFonts w:ascii="Times New Roman" w:hAnsi="Times New Roman"/>
          <w:sz w:val="28"/>
          <w:szCs w:val="28"/>
        </w:rPr>
        <w:t>е</w:t>
      </w:r>
      <w:r w:rsidR="00310114" w:rsidRPr="00310114">
        <w:rPr>
          <w:rFonts w:ascii="Times New Roman" w:hAnsi="Times New Roman"/>
          <w:sz w:val="28"/>
          <w:szCs w:val="28"/>
        </w:rPr>
        <w:t xml:space="preserve"> Германия</w:t>
      </w:r>
      <w:r w:rsidRPr="00310114">
        <w:rPr>
          <w:rFonts w:ascii="Times New Roman" w:hAnsi="Times New Roman"/>
          <w:sz w:val="28"/>
          <w:szCs w:val="28"/>
        </w:rPr>
        <w:t xml:space="preserve"> </w:t>
      </w:r>
      <w:r w:rsidRPr="00261D28">
        <w:rPr>
          <w:rFonts w:ascii="Times New Roman" w:hAnsi="Times New Roman"/>
          <w:sz w:val="28"/>
          <w:szCs w:val="28"/>
        </w:rPr>
        <w:t xml:space="preserve">на основании судебного решения. При этом в первом случае принудительная лицензия впоследствии была отменена решением Верховного суда. </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В августе 2016 г</w:t>
      </w:r>
      <w:r w:rsidR="00310114">
        <w:rPr>
          <w:rFonts w:ascii="Times New Roman" w:hAnsi="Times New Roman"/>
          <w:sz w:val="28"/>
          <w:szCs w:val="28"/>
        </w:rPr>
        <w:t>ода</w:t>
      </w:r>
      <w:r w:rsidRPr="00261D28">
        <w:rPr>
          <w:rFonts w:ascii="Times New Roman" w:hAnsi="Times New Roman"/>
          <w:sz w:val="28"/>
          <w:szCs w:val="28"/>
        </w:rPr>
        <w:t xml:space="preserve"> Федеральный патентный суд удовлетворил требование о выдаче принудительной лицензии на лекарственное средство, предназначенное для лечения ВИЧ, патент на которое принадлежит Shionogi &amp; Company Ltd., компании Merck &amp; Co. Последняя уже начала производство, однако компания Shionogi &amp; Company Ltd отказалась от заключения лицензионного соглашения на справедливых условиях. Принимая во внимание налаженный производственный процесс лекарственного средства, суд обязал Shionogi &amp; Company Ltd выдать лицензию Merck &amp; Co. </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Механизм принудительной лицензии в Германии был использован всего один раз за последние 20 лет.</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 xml:space="preserve">Использование в государственных интересах: </w:t>
      </w:r>
      <w:r w:rsidR="00310114">
        <w:rPr>
          <w:rFonts w:ascii="Times New Roman" w:hAnsi="Times New Roman"/>
          <w:sz w:val="28"/>
          <w:szCs w:val="28"/>
        </w:rPr>
        <w:t>в</w:t>
      </w:r>
      <w:r w:rsidRPr="00261D28">
        <w:rPr>
          <w:rFonts w:ascii="Times New Roman" w:hAnsi="Times New Roman"/>
          <w:sz w:val="28"/>
          <w:szCs w:val="28"/>
        </w:rPr>
        <w:t xml:space="preserve"> соответствии с разделом</w:t>
      </w:r>
      <w:r w:rsidR="00993438">
        <w:rPr>
          <w:rFonts w:ascii="Times New Roman" w:hAnsi="Times New Roman"/>
          <w:sz w:val="28"/>
          <w:szCs w:val="28"/>
        </w:rPr>
        <w:t> </w:t>
      </w:r>
      <w:r w:rsidRPr="00261D28">
        <w:rPr>
          <w:rFonts w:ascii="Times New Roman" w:hAnsi="Times New Roman"/>
          <w:sz w:val="28"/>
          <w:szCs w:val="28"/>
        </w:rPr>
        <w:t xml:space="preserve">13 Патентного акта правительство </w:t>
      </w:r>
      <w:r w:rsidR="00310114" w:rsidRPr="00310114">
        <w:rPr>
          <w:rFonts w:ascii="Times New Roman" w:hAnsi="Times New Roman"/>
          <w:sz w:val="28"/>
          <w:szCs w:val="28"/>
        </w:rPr>
        <w:t>Федеративной Республики Германия</w:t>
      </w:r>
      <w:r w:rsidRPr="00310114">
        <w:rPr>
          <w:rFonts w:ascii="Times New Roman" w:hAnsi="Times New Roman"/>
          <w:sz w:val="28"/>
          <w:szCs w:val="28"/>
        </w:rPr>
        <w:t xml:space="preserve"> </w:t>
      </w:r>
      <w:r w:rsidRPr="00261D28">
        <w:rPr>
          <w:rFonts w:ascii="Times New Roman" w:hAnsi="Times New Roman"/>
          <w:sz w:val="28"/>
          <w:szCs w:val="28"/>
        </w:rPr>
        <w:t xml:space="preserve">имеет право на использование патентов в интересах общественного благосостояния с выплатой компенсации владельцу патента. Патентообладатель может оспорить решение правительства в Федеральном патентном суде. Случаев применения данной статьи не зафиксировано. </w:t>
      </w:r>
    </w:p>
    <w:p w:rsidR="0068434D" w:rsidRPr="00310114" w:rsidRDefault="0068434D" w:rsidP="004D2C9E">
      <w:pPr>
        <w:pStyle w:val="7"/>
      </w:pPr>
      <w:r w:rsidRPr="00310114">
        <w:t xml:space="preserve">Опыт </w:t>
      </w:r>
      <w:r w:rsidR="007910CC">
        <w:t>Республики Индия</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 xml:space="preserve">В Индии в соответствии со статьями 84 и 92 Закона </w:t>
      </w:r>
      <w:r w:rsidR="00107ED5">
        <w:rPr>
          <w:rFonts w:ascii="Times New Roman" w:hAnsi="Times New Roman"/>
          <w:sz w:val="28"/>
          <w:szCs w:val="28"/>
        </w:rPr>
        <w:t>«О</w:t>
      </w:r>
      <w:r w:rsidRPr="00261D28">
        <w:rPr>
          <w:rFonts w:ascii="Times New Roman" w:hAnsi="Times New Roman"/>
          <w:sz w:val="28"/>
          <w:szCs w:val="28"/>
        </w:rPr>
        <w:t xml:space="preserve"> патентах</w:t>
      </w:r>
      <w:r w:rsidR="00107ED5">
        <w:rPr>
          <w:rFonts w:ascii="Times New Roman" w:hAnsi="Times New Roman"/>
          <w:sz w:val="28"/>
          <w:szCs w:val="28"/>
        </w:rPr>
        <w:t>»</w:t>
      </w:r>
      <w:r w:rsidRPr="00261D28">
        <w:rPr>
          <w:rFonts w:ascii="Times New Roman" w:hAnsi="Times New Roman"/>
          <w:sz w:val="28"/>
          <w:szCs w:val="28"/>
        </w:rPr>
        <w:t xml:space="preserve"> возможны следующие случаи применения механизма принудительного лицензирования:</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любая заинтересованная сторона может обратиться в суд за принудительной лицензией в случае отказа правообладателя от ее выдачи в добровольном порядке, если не удовлетворяются обоснованные потребности общества, запатентованное изобретение не доступно обществу по приемлемой стоимости или запатентованное изобретение не используется в Индии (статья</w:t>
      </w:r>
      <w:r w:rsidR="00993438">
        <w:rPr>
          <w:rFonts w:ascii="Times New Roman" w:hAnsi="Times New Roman"/>
          <w:sz w:val="28"/>
          <w:szCs w:val="28"/>
        </w:rPr>
        <w:t> </w:t>
      </w:r>
      <w:r w:rsidRPr="00261D28">
        <w:rPr>
          <w:rFonts w:ascii="Times New Roman" w:hAnsi="Times New Roman"/>
          <w:sz w:val="28"/>
          <w:szCs w:val="28"/>
        </w:rPr>
        <w:t>84);</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в</w:t>
      </w:r>
      <w:r w:rsidR="009D2958">
        <w:rPr>
          <w:rFonts w:ascii="Times New Roman" w:hAnsi="Times New Roman"/>
          <w:sz w:val="28"/>
          <w:szCs w:val="28"/>
        </w:rPr>
        <w:t xml:space="preserve"> случае чрезвычайного положения</w:t>
      </w:r>
      <w:r w:rsidRPr="00261D28">
        <w:rPr>
          <w:rFonts w:ascii="Times New Roman" w:hAnsi="Times New Roman"/>
          <w:sz w:val="28"/>
          <w:szCs w:val="28"/>
        </w:rPr>
        <w:t xml:space="preserve"> в особо серьезных экстренных ситуациях (в том числе в случае недостатка лекарственных средств в условиях эпидемии) или в случае некоммерческого использования изобретения в общественных интересах правительство Индии может выдать принудительную лицензию третьему лицу (статья 92);</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принудительная лицензия может быть выдана для экспорта патентованных лекарственных препаратов в страны, в которых в недостаточном объеме представлены производственные мощности, необходимые для решения проблем здравоохранения (статья 92А).</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В настоящее время в Индии зафиксирован только один случай применения принудительного лицензиро</w:t>
      </w:r>
      <w:r w:rsidR="0037196F">
        <w:rPr>
          <w:rFonts w:ascii="Times New Roman" w:hAnsi="Times New Roman"/>
          <w:sz w:val="28"/>
          <w:szCs w:val="28"/>
        </w:rPr>
        <w:t>вания в рамках данных положений</w:t>
      </w:r>
      <w:r w:rsidR="009B6885">
        <w:rPr>
          <w:rFonts w:ascii="Times New Roman" w:hAnsi="Times New Roman"/>
          <w:sz w:val="28"/>
          <w:szCs w:val="28"/>
        </w:rPr>
        <w:t xml:space="preserve"> </w:t>
      </w:r>
      <w:r w:rsidR="009B6885" w:rsidRPr="009B6885">
        <w:rPr>
          <w:rFonts w:ascii="Times New Roman" w:hAnsi="Times New Roman"/>
          <w:sz w:val="28"/>
          <w:szCs w:val="28"/>
        </w:rPr>
        <w:t>–</w:t>
      </w:r>
      <w:r w:rsidRPr="00261D28">
        <w:rPr>
          <w:rFonts w:ascii="Times New Roman" w:hAnsi="Times New Roman"/>
          <w:sz w:val="28"/>
          <w:szCs w:val="28"/>
        </w:rPr>
        <w:t xml:space="preserve"> в 2012 году в целях спасения жизней больных раком почек и печени. Лицензия была выдана компании Natco Pharma на производство и продажу аналога препарата </w:t>
      </w:r>
      <w:r w:rsidR="004D2C9E">
        <w:rPr>
          <w:rFonts w:ascii="Times New Roman" w:hAnsi="Times New Roman"/>
          <w:sz w:val="28"/>
          <w:szCs w:val="28"/>
        </w:rPr>
        <w:t>«</w:t>
      </w:r>
      <w:r w:rsidRPr="00261D28">
        <w:rPr>
          <w:rFonts w:ascii="Times New Roman" w:hAnsi="Times New Roman"/>
          <w:sz w:val="28"/>
          <w:szCs w:val="28"/>
        </w:rPr>
        <w:t>Нексавар</w:t>
      </w:r>
      <w:r w:rsidR="004D2C9E">
        <w:rPr>
          <w:rFonts w:ascii="Times New Roman" w:hAnsi="Times New Roman"/>
          <w:sz w:val="28"/>
          <w:szCs w:val="28"/>
        </w:rPr>
        <w:t>»</w:t>
      </w:r>
      <w:r w:rsidRPr="00261D28">
        <w:rPr>
          <w:rFonts w:ascii="Times New Roman" w:hAnsi="Times New Roman"/>
          <w:sz w:val="28"/>
          <w:szCs w:val="28"/>
        </w:rPr>
        <w:t xml:space="preserve"> по цене, составляющей 3</w:t>
      </w:r>
      <w:r w:rsidR="004D2C9E">
        <w:rPr>
          <w:rFonts w:ascii="Times New Roman" w:hAnsi="Times New Roman"/>
          <w:sz w:val="28"/>
          <w:szCs w:val="28"/>
        </w:rPr>
        <w:t> %</w:t>
      </w:r>
      <w:r w:rsidRPr="00261D28">
        <w:rPr>
          <w:rFonts w:ascii="Times New Roman" w:hAnsi="Times New Roman"/>
          <w:sz w:val="28"/>
          <w:szCs w:val="28"/>
        </w:rPr>
        <w:t xml:space="preserve"> цены оригинального препарата (8,8 тыс. рупий). Патент на препарат </w:t>
      </w:r>
      <w:r w:rsidR="004D2C9E">
        <w:rPr>
          <w:rFonts w:ascii="Times New Roman" w:hAnsi="Times New Roman"/>
          <w:sz w:val="28"/>
          <w:szCs w:val="28"/>
        </w:rPr>
        <w:t>«</w:t>
      </w:r>
      <w:r w:rsidRPr="00261D28">
        <w:rPr>
          <w:rFonts w:ascii="Times New Roman" w:hAnsi="Times New Roman"/>
          <w:sz w:val="28"/>
          <w:szCs w:val="28"/>
        </w:rPr>
        <w:t>Нексавар</w:t>
      </w:r>
      <w:r w:rsidR="004D2C9E">
        <w:rPr>
          <w:rFonts w:ascii="Times New Roman" w:hAnsi="Times New Roman"/>
          <w:sz w:val="28"/>
          <w:szCs w:val="28"/>
        </w:rPr>
        <w:t>»</w:t>
      </w:r>
      <w:r w:rsidRPr="00261D28">
        <w:rPr>
          <w:rFonts w:ascii="Times New Roman" w:hAnsi="Times New Roman"/>
          <w:sz w:val="28"/>
          <w:szCs w:val="28"/>
        </w:rPr>
        <w:t xml:space="preserve"> принадлежал Bayer. Решение о принудительном лицензировании было в скором времени отменено, после того как другая индийская фармкомпания</w:t>
      </w:r>
      <w:r w:rsidR="007910CC">
        <w:rPr>
          <w:rFonts w:ascii="Times New Roman" w:hAnsi="Times New Roman"/>
          <w:sz w:val="28"/>
          <w:szCs w:val="28"/>
        </w:rPr>
        <w:t xml:space="preserve"> </w:t>
      </w:r>
      <w:r w:rsidRPr="00261D28">
        <w:rPr>
          <w:rFonts w:ascii="Times New Roman" w:hAnsi="Times New Roman"/>
          <w:sz w:val="28"/>
          <w:szCs w:val="28"/>
        </w:rPr>
        <w:t xml:space="preserve">Cipla снизила цену на свой аналог препарата </w:t>
      </w:r>
      <w:r w:rsidR="004D2C9E">
        <w:rPr>
          <w:rFonts w:ascii="Times New Roman" w:hAnsi="Times New Roman"/>
          <w:sz w:val="28"/>
          <w:szCs w:val="28"/>
        </w:rPr>
        <w:t>«</w:t>
      </w:r>
      <w:r w:rsidRPr="00261D28">
        <w:rPr>
          <w:rFonts w:ascii="Times New Roman" w:hAnsi="Times New Roman"/>
          <w:sz w:val="28"/>
          <w:szCs w:val="28"/>
        </w:rPr>
        <w:t>Нексавар</w:t>
      </w:r>
      <w:r w:rsidR="004D2C9E">
        <w:rPr>
          <w:rFonts w:ascii="Times New Roman" w:hAnsi="Times New Roman"/>
          <w:sz w:val="28"/>
          <w:szCs w:val="28"/>
        </w:rPr>
        <w:t>»</w:t>
      </w:r>
      <w:r w:rsidRPr="00261D28">
        <w:rPr>
          <w:rFonts w:ascii="Times New Roman" w:hAnsi="Times New Roman"/>
          <w:sz w:val="28"/>
          <w:szCs w:val="28"/>
        </w:rPr>
        <w:t xml:space="preserve"> на 75</w:t>
      </w:r>
      <w:r w:rsidR="004D2C9E">
        <w:rPr>
          <w:rFonts w:ascii="Times New Roman" w:hAnsi="Times New Roman"/>
          <w:sz w:val="28"/>
          <w:szCs w:val="28"/>
        </w:rPr>
        <w:t> %</w:t>
      </w:r>
      <w:r w:rsidRPr="00261D28">
        <w:rPr>
          <w:rFonts w:ascii="Times New Roman" w:hAnsi="Times New Roman"/>
          <w:sz w:val="28"/>
          <w:szCs w:val="28"/>
        </w:rPr>
        <w:t xml:space="preserve"> до 6,8 тыс. рупий.</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Несмотря на положительный эффект от применения механизма, сто</w:t>
      </w:r>
      <w:r w:rsidR="007910CC">
        <w:rPr>
          <w:rFonts w:ascii="Times New Roman" w:hAnsi="Times New Roman"/>
          <w:sz w:val="28"/>
          <w:szCs w:val="28"/>
        </w:rPr>
        <w:t>ит отметить, что в марте 2016 года</w:t>
      </w:r>
      <w:r w:rsidRPr="00261D28">
        <w:rPr>
          <w:rFonts w:ascii="Times New Roman" w:hAnsi="Times New Roman"/>
          <w:sz w:val="28"/>
          <w:szCs w:val="28"/>
        </w:rPr>
        <w:t xml:space="preserve"> члены Американо-Индийского делового совета заявили, что Индия готова прекратить практику выдачи принудительных лицензий для коммерческих целей. Эксперты объясняют это снижением инвестиций в сфере фармацевтики вследствие репутационных потерь из-за применения механизма принудительного лицензирования. Так, по оценке ряда экспертов объем потерь в инвестициях в сферу фармацевтики в Индии после выдачи принудительной лицензии составили </w:t>
      </w:r>
      <w:r w:rsidR="00C411DC">
        <w:rPr>
          <w:rFonts w:ascii="Times New Roman" w:hAnsi="Times New Roman"/>
          <w:sz w:val="28"/>
          <w:szCs w:val="28"/>
        </w:rPr>
        <w:t>около</w:t>
      </w:r>
      <w:r w:rsidRPr="00261D28">
        <w:rPr>
          <w:rFonts w:ascii="Times New Roman" w:hAnsi="Times New Roman"/>
          <w:sz w:val="28"/>
          <w:szCs w:val="28"/>
        </w:rPr>
        <w:t xml:space="preserve"> 10 млрд долларов</w:t>
      </w:r>
      <w:r w:rsidR="001260D0">
        <w:rPr>
          <w:rFonts w:ascii="Times New Roman" w:hAnsi="Times New Roman"/>
          <w:sz w:val="28"/>
          <w:szCs w:val="28"/>
        </w:rPr>
        <w:t xml:space="preserve"> США</w:t>
      </w:r>
      <w:r w:rsidRPr="00261D28">
        <w:rPr>
          <w:rFonts w:ascii="Times New Roman" w:hAnsi="Times New Roman"/>
          <w:sz w:val="28"/>
          <w:szCs w:val="28"/>
        </w:rPr>
        <w:t xml:space="preserve">. В то же время, по данным статистики прямых инвестиций, </w:t>
      </w:r>
      <w:r w:rsidR="007910CC">
        <w:rPr>
          <w:rFonts w:ascii="Times New Roman" w:hAnsi="Times New Roman"/>
          <w:sz w:val="28"/>
          <w:szCs w:val="28"/>
        </w:rPr>
        <w:t xml:space="preserve">с </w:t>
      </w:r>
      <w:r w:rsidRPr="00261D28">
        <w:rPr>
          <w:rFonts w:ascii="Times New Roman" w:hAnsi="Times New Roman"/>
          <w:sz w:val="28"/>
          <w:szCs w:val="28"/>
        </w:rPr>
        <w:t>апрел</w:t>
      </w:r>
      <w:r w:rsidR="007910CC">
        <w:rPr>
          <w:rFonts w:ascii="Times New Roman" w:hAnsi="Times New Roman"/>
          <w:sz w:val="28"/>
          <w:szCs w:val="28"/>
        </w:rPr>
        <w:t>я</w:t>
      </w:r>
      <w:r w:rsidRPr="00261D28">
        <w:rPr>
          <w:rFonts w:ascii="Times New Roman" w:hAnsi="Times New Roman"/>
          <w:sz w:val="28"/>
          <w:szCs w:val="28"/>
        </w:rPr>
        <w:t xml:space="preserve"> 2011 г</w:t>
      </w:r>
      <w:r w:rsidR="007910CC">
        <w:rPr>
          <w:rFonts w:ascii="Times New Roman" w:hAnsi="Times New Roman"/>
          <w:sz w:val="28"/>
          <w:szCs w:val="28"/>
        </w:rPr>
        <w:t>ода</w:t>
      </w:r>
      <w:r w:rsidRPr="00261D28">
        <w:rPr>
          <w:rFonts w:ascii="Times New Roman" w:hAnsi="Times New Roman"/>
          <w:sz w:val="28"/>
          <w:szCs w:val="28"/>
        </w:rPr>
        <w:t xml:space="preserve"> </w:t>
      </w:r>
      <w:r w:rsidR="007910CC">
        <w:rPr>
          <w:rFonts w:ascii="Times New Roman" w:hAnsi="Times New Roman"/>
          <w:sz w:val="28"/>
          <w:szCs w:val="28"/>
        </w:rPr>
        <w:t>по</w:t>
      </w:r>
      <w:r w:rsidRPr="00261D28">
        <w:rPr>
          <w:rFonts w:ascii="Times New Roman" w:hAnsi="Times New Roman"/>
          <w:sz w:val="28"/>
          <w:szCs w:val="28"/>
        </w:rPr>
        <w:t xml:space="preserve"> март 2012 г</w:t>
      </w:r>
      <w:r w:rsidR="007910CC">
        <w:rPr>
          <w:rFonts w:ascii="Times New Roman" w:hAnsi="Times New Roman"/>
          <w:sz w:val="28"/>
          <w:szCs w:val="28"/>
        </w:rPr>
        <w:t>ода</w:t>
      </w:r>
      <w:r w:rsidRPr="00261D28">
        <w:rPr>
          <w:rFonts w:ascii="Times New Roman" w:hAnsi="Times New Roman"/>
          <w:sz w:val="28"/>
          <w:szCs w:val="28"/>
        </w:rPr>
        <w:t xml:space="preserve"> прямые иностранные инвестиций в фармацевтическую отрасль Индии выросли в 15 раз по сравнению с предыдущим периодом: с 0,2 до 3,2</w:t>
      </w:r>
      <w:r w:rsidR="00993438">
        <w:rPr>
          <w:rFonts w:ascii="Times New Roman" w:hAnsi="Times New Roman"/>
          <w:sz w:val="28"/>
          <w:szCs w:val="28"/>
        </w:rPr>
        <w:t> </w:t>
      </w:r>
      <w:r w:rsidRPr="00261D28">
        <w:rPr>
          <w:rFonts w:ascii="Times New Roman" w:hAnsi="Times New Roman"/>
          <w:sz w:val="28"/>
          <w:szCs w:val="28"/>
        </w:rPr>
        <w:t>млрд долларов</w:t>
      </w:r>
      <w:r w:rsidR="001260D0">
        <w:rPr>
          <w:rFonts w:ascii="Times New Roman" w:hAnsi="Times New Roman"/>
          <w:sz w:val="28"/>
          <w:szCs w:val="28"/>
        </w:rPr>
        <w:t xml:space="preserve"> США</w:t>
      </w:r>
      <w:r w:rsidRPr="00261D28">
        <w:rPr>
          <w:rFonts w:ascii="Times New Roman" w:hAnsi="Times New Roman"/>
          <w:sz w:val="28"/>
          <w:szCs w:val="28"/>
        </w:rPr>
        <w:t xml:space="preserve">, а </w:t>
      </w:r>
      <w:r w:rsidR="007910CC">
        <w:rPr>
          <w:rFonts w:ascii="Times New Roman" w:hAnsi="Times New Roman"/>
          <w:sz w:val="28"/>
          <w:szCs w:val="28"/>
        </w:rPr>
        <w:t>с</w:t>
      </w:r>
      <w:r w:rsidRPr="00261D28">
        <w:rPr>
          <w:rFonts w:ascii="Times New Roman" w:hAnsi="Times New Roman"/>
          <w:sz w:val="28"/>
          <w:szCs w:val="28"/>
        </w:rPr>
        <w:t xml:space="preserve"> апрел</w:t>
      </w:r>
      <w:r w:rsidR="007910CC">
        <w:rPr>
          <w:rFonts w:ascii="Times New Roman" w:hAnsi="Times New Roman"/>
          <w:sz w:val="28"/>
          <w:szCs w:val="28"/>
        </w:rPr>
        <w:t>я</w:t>
      </w:r>
      <w:r w:rsidRPr="00261D28">
        <w:rPr>
          <w:rFonts w:ascii="Times New Roman" w:hAnsi="Times New Roman"/>
          <w:sz w:val="28"/>
          <w:szCs w:val="28"/>
        </w:rPr>
        <w:t xml:space="preserve"> 2012 г</w:t>
      </w:r>
      <w:r w:rsidR="007910CC">
        <w:rPr>
          <w:rFonts w:ascii="Times New Roman" w:hAnsi="Times New Roman"/>
          <w:sz w:val="28"/>
          <w:szCs w:val="28"/>
        </w:rPr>
        <w:t xml:space="preserve">ода по </w:t>
      </w:r>
      <w:r w:rsidRPr="00261D28">
        <w:rPr>
          <w:rFonts w:ascii="Times New Roman" w:hAnsi="Times New Roman"/>
          <w:sz w:val="28"/>
          <w:szCs w:val="28"/>
        </w:rPr>
        <w:t>март 2013 г</w:t>
      </w:r>
      <w:r w:rsidR="007910CC">
        <w:rPr>
          <w:rFonts w:ascii="Times New Roman" w:hAnsi="Times New Roman"/>
          <w:sz w:val="28"/>
          <w:szCs w:val="28"/>
        </w:rPr>
        <w:t>ода</w:t>
      </w:r>
      <w:r w:rsidRPr="00261D28">
        <w:rPr>
          <w:rFonts w:ascii="Times New Roman" w:hAnsi="Times New Roman"/>
          <w:sz w:val="28"/>
          <w:szCs w:val="28"/>
        </w:rPr>
        <w:t xml:space="preserve"> объем инвестиций снизи</w:t>
      </w:r>
      <w:r w:rsidR="007910CC">
        <w:rPr>
          <w:rFonts w:ascii="Times New Roman" w:hAnsi="Times New Roman"/>
          <w:sz w:val="28"/>
          <w:szCs w:val="28"/>
        </w:rPr>
        <w:t>лся на 65</w:t>
      </w:r>
      <w:r w:rsidR="004D2C9E">
        <w:rPr>
          <w:rFonts w:ascii="Times New Roman" w:hAnsi="Times New Roman"/>
          <w:sz w:val="28"/>
          <w:szCs w:val="28"/>
        </w:rPr>
        <w:t> %</w:t>
      </w:r>
      <w:r w:rsidR="007910CC">
        <w:rPr>
          <w:rFonts w:ascii="Times New Roman" w:hAnsi="Times New Roman"/>
          <w:sz w:val="28"/>
          <w:szCs w:val="28"/>
        </w:rPr>
        <w:t xml:space="preserve"> до 1,1 млрд долларов</w:t>
      </w:r>
      <w:r w:rsidR="001260D0">
        <w:rPr>
          <w:rFonts w:ascii="Times New Roman" w:hAnsi="Times New Roman"/>
          <w:sz w:val="28"/>
          <w:szCs w:val="28"/>
        </w:rPr>
        <w:t xml:space="preserve"> США</w:t>
      </w:r>
      <w:r w:rsidR="007910CC">
        <w:rPr>
          <w:rFonts w:ascii="Times New Roman" w:hAnsi="Times New Roman"/>
          <w:sz w:val="28"/>
          <w:szCs w:val="28"/>
        </w:rPr>
        <w:t xml:space="preserve"> соответственно.</w:t>
      </w:r>
    </w:p>
    <w:p w:rsidR="0068434D" w:rsidRPr="00261D28" w:rsidRDefault="00107ED5" w:rsidP="004D2C9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68434D" w:rsidRPr="00261D28">
        <w:rPr>
          <w:rFonts w:ascii="Times New Roman" w:hAnsi="Times New Roman"/>
          <w:sz w:val="28"/>
          <w:szCs w:val="28"/>
        </w:rPr>
        <w:t>равительство Индии имеет право на использование запатентованных РИД в соответствии с разделом 47 и главой 17 (разделы 99</w:t>
      </w:r>
      <w:r w:rsidR="00F9318B">
        <w:rPr>
          <w:rFonts w:ascii="Times New Roman" w:hAnsi="Times New Roman"/>
          <w:sz w:val="28"/>
          <w:szCs w:val="28"/>
        </w:rPr>
        <w:t>–</w:t>
      </w:r>
      <w:r w:rsidR="0068434D" w:rsidRPr="00261D28">
        <w:rPr>
          <w:rFonts w:ascii="Times New Roman" w:hAnsi="Times New Roman"/>
          <w:sz w:val="28"/>
          <w:szCs w:val="28"/>
        </w:rPr>
        <w:t xml:space="preserve">103) Закона </w:t>
      </w:r>
      <w:r w:rsidR="0099069F">
        <w:rPr>
          <w:rFonts w:ascii="Times New Roman" w:hAnsi="Times New Roman"/>
          <w:sz w:val="28"/>
          <w:szCs w:val="28"/>
        </w:rPr>
        <w:br/>
      </w:r>
      <w:r>
        <w:rPr>
          <w:rFonts w:ascii="Times New Roman" w:hAnsi="Times New Roman"/>
          <w:sz w:val="28"/>
          <w:szCs w:val="28"/>
        </w:rPr>
        <w:t>«О</w:t>
      </w:r>
      <w:r w:rsidR="0068434D" w:rsidRPr="00261D28">
        <w:rPr>
          <w:rFonts w:ascii="Times New Roman" w:hAnsi="Times New Roman"/>
          <w:sz w:val="28"/>
          <w:szCs w:val="28"/>
        </w:rPr>
        <w:t xml:space="preserve"> патентах</w:t>
      </w:r>
      <w:r>
        <w:rPr>
          <w:rFonts w:ascii="Times New Roman" w:hAnsi="Times New Roman"/>
          <w:sz w:val="28"/>
          <w:szCs w:val="28"/>
        </w:rPr>
        <w:t>»</w:t>
      </w:r>
      <w:r w:rsidR="0068434D" w:rsidRPr="00261D28">
        <w:rPr>
          <w:rFonts w:ascii="Times New Roman" w:hAnsi="Times New Roman"/>
          <w:sz w:val="28"/>
          <w:szCs w:val="28"/>
        </w:rPr>
        <w:t>.</w:t>
      </w:r>
      <w:r w:rsidR="009B6885">
        <w:rPr>
          <w:rFonts w:ascii="Times New Roman" w:hAnsi="Times New Roman"/>
          <w:sz w:val="28"/>
          <w:szCs w:val="28"/>
        </w:rPr>
        <w:t xml:space="preserve"> </w:t>
      </w:r>
    </w:p>
    <w:p w:rsidR="0068434D" w:rsidRPr="00261D28" w:rsidRDefault="00107ED5" w:rsidP="004D2C9E">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107ED5">
        <w:rPr>
          <w:rFonts w:ascii="Times New Roman" w:hAnsi="Times New Roman"/>
          <w:sz w:val="28"/>
          <w:szCs w:val="28"/>
        </w:rPr>
        <w:t xml:space="preserve"> 2008 году </w:t>
      </w:r>
      <w:r>
        <w:rPr>
          <w:rFonts w:ascii="Times New Roman" w:hAnsi="Times New Roman"/>
          <w:sz w:val="28"/>
          <w:szCs w:val="28"/>
        </w:rPr>
        <w:t>з</w:t>
      </w:r>
      <w:r w:rsidR="0068434D" w:rsidRPr="00261D28">
        <w:rPr>
          <w:rFonts w:ascii="Times New Roman" w:hAnsi="Times New Roman"/>
          <w:sz w:val="28"/>
          <w:szCs w:val="28"/>
        </w:rPr>
        <w:t>афиксирован случай применения раздела 47 в рамках проведения государственного тендера на закупку материалов для железной дороги. По результатам закупки 95</w:t>
      </w:r>
      <w:r w:rsidR="004D2C9E">
        <w:rPr>
          <w:rFonts w:ascii="Times New Roman" w:hAnsi="Times New Roman"/>
          <w:sz w:val="28"/>
          <w:szCs w:val="28"/>
        </w:rPr>
        <w:t> %</w:t>
      </w:r>
      <w:r w:rsidR="0068434D" w:rsidRPr="00261D28">
        <w:rPr>
          <w:rFonts w:ascii="Times New Roman" w:hAnsi="Times New Roman"/>
          <w:sz w:val="28"/>
          <w:szCs w:val="28"/>
        </w:rPr>
        <w:t xml:space="preserve"> тендера выиграла компания Chemtura Corporation, которая также являлась правообладателем РИД, необходимого для осуществления поставок. 5</w:t>
      </w:r>
      <w:r w:rsidR="004D2C9E">
        <w:rPr>
          <w:rFonts w:ascii="Times New Roman" w:hAnsi="Times New Roman"/>
          <w:sz w:val="28"/>
          <w:szCs w:val="28"/>
        </w:rPr>
        <w:t> %</w:t>
      </w:r>
      <w:r w:rsidR="0068434D" w:rsidRPr="00261D28">
        <w:rPr>
          <w:rFonts w:ascii="Times New Roman" w:hAnsi="Times New Roman"/>
          <w:sz w:val="28"/>
          <w:szCs w:val="28"/>
        </w:rPr>
        <w:t xml:space="preserve"> тендера отошли компаниям, которые не владели патентом, необходимым для осуществления поставок. Chemtura Corporation подала иск в Высокий суд Дели с целью добиться судебного запрета на использование ее патента иными поставщиками в рамках рассматриваемой закупки. Однако суд, сославшись на раздел 47 Закона о патентах, отклонил иск, аргументируя тем, что предполагается использование защищенных РИД в интересах правительства Индии.</w:t>
      </w:r>
    </w:p>
    <w:p w:rsidR="0068434D" w:rsidRPr="007910CC" w:rsidRDefault="0068434D" w:rsidP="004D2C9E">
      <w:pPr>
        <w:pStyle w:val="7"/>
      </w:pPr>
      <w:r w:rsidRPr="007910CC">
        <w:t>Опыт Швейцар</w:t>
      </w:r>
      <w:r w:rsidR="007910CC" w:rsidRPr="007910CC">
        <w:t>ской Конфедерации</w:t>
      </w:r>
    </w:p>
    <w:p w:rsidR="0068434D" w:rsidRPr="00261D28" w:rsidRDefault="0068434D" w:rsidP="004D2C9E">
      <w:pPr>
        <w:spacing w:after="0" w:line="240" w:lineRule="auto"/>
        <w:ind w:firstLine="709"/>
        <w:jc w:val="both"/>
        <w:rPr>
          <w:rFonts w:ascii="Times New Roman" w:hAnsi="Times New Roman"/>
          <w:sz w:val="28"/>
          <w:szCs w:val="28"/>
        </w:rPr>
      </w:pPr>
      <w:r w:rsidRPr="00FB7842">
        <w:rPr>
          <w:rFonts w:ascii="Times New Roman" w:hAnsi="Times New Roman"/>
          <w:sz w:val="28"/>
          <w:szCs w:val="28"/>
        </w:rPr>
        <w:t xml:space="preserve">Механизм принудительного лицензирования в Швейцарии установлен Федеральным законом </w:t>
      </w:r>
      <w:r w:rsidR="00176A70">
        <w:rPr>
          <w:rFonts w:ascii="Times New Roman" w:hAnsi="Times New Roman"/>
          <w:sz w:val="28"/>
          <w:szCs w:val="28"/>
        </w:rPr>
        <w:t>«О</w:t>
      </w:r>
      <w:r w:rsidRPr="00FB7842">
        <w:rPr>
          <w:rFonts w:ascii="Times New Roman" w:hAnsi="Times New Roman"/>
          <w:sz w:val="28"/>
          <w:szCs w:val="28"/>
        </w:rPr>
        <w:t xml:space="preserve"> патентах на изобретения</w:t>
      </w:r>
      <w:r w:rsidR="00176A70">
        <w:rPr>
          <w:rFonts w:ascii="Times New Roman" w:hAnsi="Times New Roman"/>
          <w:sz w:val="28"/>
          <w:szCs w:val="28"/>
        </w:rPr>
        <w:t>»</w:t>
      </w:r>
      <w:r w:rsidRPr="00FB7842">
        <w:rPr>
          <w:rFonts w:ascii="Times New Roman" w:hAnsi="Times New Roman"/>
          <w:sz w:val="28"/>
          <w:szCs w:val="28"/>
        </w:rPr>
        <w:t>, принятым в 1954 году. Выдача принудительных лицензий регулируется Федеральным советом Швейцарии и может происходить при следующих обстоятельствах:</w:t>
      </w:r>
    </w:p>
    <w:p w:rsidR="0068434D" w:rsidRPr="006B130D" w:rsidRDefault="001260D0" w:rsidP="004D2C9E">
      <w:pPr>
        <w:spacing w:after="0" w:line="240" w:lineRule="auto"/>
        <w:ind w:firstLine="709"/>
        <w:jc w:val="both"/>
        <w:rPr>
          <w:rFonts w:ascii="Times New Roman" w:hAnsi="Times New Roman"/>
          <w:sz w:val="28"/>
          <w:szCs w:val="28"/>
        </w:rPr>
      </w:pPr>
      <w:r>
        <w:rPr>
          <w:rFonts w:ascii="Times New Roman" w:hAnsi="Times New Roman"/>
          <w:sz w:val="28"/>
          <w:szCs w:val="28"/>
        </w:rPr>
        <w:t>з</w:t>
      </w:r>
      <w:r w:rsidR="0068434D">
        <w:rPr>
          <w:rFonts w:ascii="Times New Roman" w:hAnsi="Times New Roman"/>
          <w:sz w:val="28"/>
          <w:szCs w:val="28"/>
        </w:rPr>
        <w:t>ависимые патенты (статья 36</w:t>
      </w:r>
      <w:r w:rsidR="009D2958">
        <w:rPr>
          <w:rFonts w:ascii="Times New Roman" w:hAnsi="Times New Roman"/>
          <w:sz w:val="28"/>
          <w:szCs w:val="28"/>
        </w:rPr>
        <w:t xml:space="preserve"> </w:t>
      </w:r>
      <w:r w:rsidR="009D2958" w:rsidRPr="009D2958">
        <w:rPr>
          <w:rFonts w:ascii="Times New Roman" w:hAnsi="Times New Roman"/>
          <w:sz w:val="28"/>
          <w:szCs w:val="28"/>
        </w:rPr>
        <w:t>Федеральн</w:t>
      </w:r>
      <w:r w:rsidR="009D2958">
        <w:rPr>
          <w:rFonts w:ascii="Times New Roman" w:hAnsi="Times New Roman"/>
          <w:sz w:val="28"/>
          <w:szCs w:val="28"/>
        </w:rPr>
        <w:t>ого</w:t>
      </w:r>
      <w:r w:rsidR="009D2958" w:rsidRPr="009D2958">
        <w:rPr>
          <w:rFonts w:ascii="Times New Roman" w:hAnsi="Times New Roman"/>
          <w:sz w:val="28"/>
          <w:szCs w:val="28"/>
        </w:rPr>
        <w:t xml:space="preserve"> закон</w:t>
      </w:r>
      <w:r w:rsidR="009D2958">
        <w:rPr>
          <w:rFonts w:ascii="Times New Roman" w:hAnsi="Times New Roman"/>
          <w:sz w:val="28"/>
          <w:szCs w:val="28"/>
        </w:rPr>
        <w:t>а</w:t>
      </w:r>
      <w:r w:rsidR="009D2958" w:rsidRPr="009D2958">
        <w:rPr>
          <w:rFonts w:ascii="Times New Roman" w:hAnsi="Times New Roman"/>
          <w:sz w:val="28"/>
          <w:szCs w:val="28"/>
        </w:rPr>
        <w:t xml:space="preserve"> </w:t>
      </w:r>
      <w:r w:rsidR="00EE7E9B">
        <w:rPr>
          <w:rFonts w:ascii="Times New Roman" w:hAnsi="Times New Roman"/>
          <w:sz w:val="28"/>
          <w:szCs w:val="28"/>
        </w:rPr>
        <w:t>«О</w:t>
      </w:r>
      <w:r w:rsidR="009D2958" w:rsidRPr="009D2958">
        <w:rPr>
          <w:rFonts w:ascii="Times New Roman" w:hAnsi="Times New Roman"/>
          <w:sz w:val="28"/>
          <w:szCs w:val="28"/>
        </w:rPr>
        <w:t xml:space="preserve"> патентах на изобретения</w:t>
      </w:r>
      <w:r w:rsidR="00EE7E9B">
        <w:rPr>
          <w:rFonts w:ascii="Times New Roman" w:hAnsi="Times New Roman"/>
          <w:sz w:val="28"/>
          <w:szCs w:val="28"/>
        </w:rPr>
        <w:t>»</w:t>
      </w:r>
      <w:r w:rsidR="0068434D">
        <w:rPr>
          <w:rFonts w:ascii="Times New Roman" w:hAnsi="Times New Roman"/>
          <w:sz w:val="28"/>
          <w:szCs w:val="28"/>
        </w:rPr>
        <w:t>): п</w:t>
      </w:r>
      <w:r w:rsidR="0068434D" w:rsidRPr="00FB7842">
        <w:rPr>
          <w:rFonts w:ascii="Times New Roman" w:hAnsi="Times New Roman"/>
          <w:sz w:val="28"/>
          <w:szCs w:val="28"/>
        </w:rPr>
        <w:t>редоставление лицензии, если новое запатентованное изобретение не может быть использовано без нарушения</w:t>
      </w:r>
      <w:r w:rsidR="0068434D">
        <w:rPr>
          <w:rFonts w:ascii="Times New Roman" w:hAnsi="Times New Roman"/>
          <w:sz w:val="28"/>
          <w:szCs w:val="28"/>
        </w:rPr>
        <w:t xml:space="preserve"> предшествующего патента. Новое изобретение при этом должно обладать значительным техническим преимуществом и представлять экономический интерес. Одним из условий предоставления лицензии в данном случае может являться </w:t>
      </w:r>
      <w:r w:rsidR="0068434D" w:rsidRPr="006B130D">
        <w:rPr>
          <w:rFonts w:ascii="Times New Roman" w:hAnsi="Times New Roman"/>
          <w:sz w:val="28"/>
          <w:szCs w:val="28"/>
        </w:rPr>
        <w:t>передача лицензии на использование нового изобрет</w:t>
      </w:r>
      <w:r>
        <w:rPr>
          <w:rFonts w:ascii="Times New Roman" w:hAnsi="Times New Roman"/>
          <w:sz w:val="28"/>
          <w:szCs w:val="28"/>
        </w:rPr>
        <w:t>ения обладателю первого патента;</w:t>
      </w:r>
    </w:p>
    <w:p w:rsidR="0068434D" w:rsidRPr="00261D28" w:rsidRDefault="001260D0" w:rsidP="004D2C9E">
      <w:pPr>
        <w:spacing w:after="0" w:line="240" w:lineRule="auto"/>
        <w:ind w:firstLine="709"/>
        <w:jc w:val="both"/>
        <w:rPr>
          <w:rFonts w:ascii="Times New Roman" w:hAnsi="Times New Roman"/>
          <w:sz w:val="28"/>
          <w:szCs w:val="28"/>
        </w:rPr>
      </w:pPr>
      <w:r>
        <w:rPr>
          <w:rFonts w:ascii="Times New Roman" w:hAnsi="Times New Roman"/>
          <w:sz w:val="28"/>
          <w:szCs w:val="28"/>
        </w:rPr>
        <w:t>н</w:t>
      </w:r>
      <w:r w:rsidR="0068434D" w:rsidRPr="00261D28">
        <w:rPr>
          <w:rFonts w:ascii="Times New Roman" w:hAnsi="Times New Roman"/>
          <w:sz w:val="28"/>
          <w:szCs w:val="28"/>
        </w:rPr>
        <w:t xml:space="preserve">едостаточное использование патента (статьи 37, 38): по истечении трех лет с </w:t>
      </w:r>
      <w:r>
        <w:rPr>
          <w:rFonts w:ascii="Times New Roman" w:hAnsi="Times New Roman"/>
          <w:sz w:val="28"/>
          <w:szCs w:val="28"/>
        </w:rPr>
        <w:t>даты</w:t>
      </w:r>
      <w:r w:rsidR="0068434D" w:rsidRPr="00261D28">
        <w:rPr>
          <w:rFonts w:ascii="Times New Roman" w:hAnsi="Times New Roman"/>
          <w:sz w:val="28"/>
          <w:szCs w:val="28"/>
        </w:rPr>
        <w:t xml:space="preserve"> выдачи патента или четырех лет с даты подачи заявки на патент любое заинтересованное лицо может обратиться в суд с целью получения лицензии, если патентообладатель без веских оснований недостаточно использовал изобретение внутри страны. Если предоставление лицензий по данному основанию недостаточно для удовлетворения спроса на швейцарском рынке, после двух лет с </w:t>
      </w:r>
      <w:r>
        <w:rPr>
          <w:rFonts w:ascii="Times New Roman" w:hAnsi="Times New Roman"/>
          <w:sz w:val="28"/>
          <w:szCs w:val="28"/>
        </w:rPr>
        <w:t>даты</w:t>
      </w:r>
      <w:r w:rsidR="0068434D" w:rsidRPr="00261D28">
        <w:rPr>
          <w:rFonts w:ascii="Times New Roman" w:hAnsi="Times New Roman"/>
          <w:sz w:val="28"/>
          <w:szCs w:val="28"/>
        </w:rPr>
        <w:t xml:space="preserve"> выдачи принудительной лицензии суд может признать срок де</w:t>
      </w:r>
      <w:r>
        <w:rPr>
          <w:rFonts w:ascii="Times New Roman" w:hAnsi="Times New Roman"/>
          <w:sz w:val="28"/>
          <w:szCs w:val="28"/>
        </w:rPr>
        <w:t>йствия данного патента истекшим;</w:t>
      </w:r>
    </w:p>
    <w:p w:rsidR="0068434D" w:rsidRPr="00261D28" w:rsidRDefault="001260D0" w:rsidP="004D2C9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8434D" w:rsidRPr="00261D28">
        <w:rPr>
          <w:rFonts w:ascii="Times New Roman" w:hAnsi="Times New Roman"/>
          <w:sz w:val="28"/>
          <w:szCs w:val="28"/>
        </w:rPr>
        <w:t xml:space="preserve"> общественных интересах (статьи 32, 40): в случае необходимости удовлетворения общественных интересов лицо, которому патентообладатель отказался выдать лицензию без достаточных оснований, может обратиться в суд за предоставлением принудительной лицензии. Также в интересах общества Федеральный совет может распорядиться об общей или частичной экспроприации патента с учетом предоставления надлежаще</w:t>
      </w:r>
      <w:r>
        <w:rPr>
          <w:rFonts w:ascii="Times New Roman" w:hAnsi="Times New Roman"/>
          <w:sz w:val="28"/>
          <w:szCs w:val="28"/>
        </w:rPr>
        <w:t>й компенсации патентообладателю;</w:t>
      </w:r>
    </w:p>
    <w:p w:rsidR="0068434D" w:rsidRPr="00261D28" w:rsidRDefault="001260D0" w:rsidP="004D2C9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8434D" w:rsidRPr="00261D28">
        <w:rPr>
          <w:rFonts w:ascii="Times New Roman" w:hAnsi="Times New Roman"/>
          <w:sz w:val="28"/>
          <w:szCs w:val="28"/>
        </w:rPr>
        <w:t xml:space="preserve"> сфере полупроводниковых технологий (статья 40а): предоставление лицензии на технологии в сфере полупроводников для устранения практики, которая была признана в судебном</w:t>
      </w:r>
      <w:r>
        <w:rPr>
          <w:rFonts w:ascii="Times New Roman" w:hAnsi="Times New Roman"/>
          <w:sz w:val="28"/>
          <w:szCs w:val="28"/>
        </w:rPr>
        <w:t xml:space="preserve"> порядке нарушающей конкуренцию;</w:t>
      </w:r>
    </w:p>
    <w:p w:rsidR="0068434D" w:rsidRPr="00261D28" w:rsidRDefault="001260D0" w:rsidP="004D2C9E">
      <w:pPr>
        <w:spacing w:after="0" w:line="240" w:lineRule="auto"/>
        <w:ind w:firstLine="709"/>
        <w:jc w:val="both"/>
        <w:rPr>
          <w:rFonts w:ascii="Times New Roman" w:hAnsi="Times New Roman"/>
          <w:sz w:val="28"/>
          <w:szCs w:val="28"/>
        </w:rPr>
      </w:pPr>
      <w:r>
        <w:rPr>
          <w:rFonts w:ascii="Times New Roman" w:hAnsi="Times New Roman"/>
          <w:sz w:val="28"/>
          <w:szCs w:val="28"/>
        </w:rPr>
        <w:t>д</w:t>
      </w:r>
      <w:r w:rsidR="0068434D" w:rsidRPr="00261D28">
        <w:rPr>
          <w:rFonts w:ascii="Times New Roman" w:hAnsi="Times New Roman"/>
          <w:sz w:val="28"/>
          <w:szCs w:val="28"/>
        </w:rPr>
        <w:t>ля целей проведения исследований (статья 40b): предоставление лицензии на использование изобретения в сфере биотехнологии в качестве инструмента проведения и</w:t>
      </w:r>
      <w:r>
        <w:rPr>
          <w:rFonts w:ascii="Times New Roman" w:hAnsi="Times New Roman"/>
          <w:sz w:val="28"/>
          <w:szCs w:val="28"/>
        </w:rPr>
        <w:t>сследования;</w:t>
      </w:r>
    </w:p>
    <w:p w:rsidR="0068434D" w:rsidRPr="00261D28" w:rsidRDefault="001260D0" w:rsidP="004D2C9E">
      <w:pPr>
        <w:spacing w:after="0" w:line="240" w:lineRule="auto"/>
        <w:ind w:firstLine="709"/>
        <w:jc w:val="both"/>
        <w:rPr>
          <w:rFonts w:ascii="Times New Roman" w:hAnsi="Times New Roman"/>
          <w:sz w:val="28"/>
          <w:szCs w:val="28"/>
        </w:rPr>
      </w:pPr>
      <w:r>
        <w:rPr>
          <w:rFonts w:ascii="Times New Roman" w:hAnsi="Times New Roman"/>
          <w:sz w:val="28"/>
          <w:szCs w:val="28"/>
        </w:rPr>
        <w:t>д</w:t>
      </w:r>
      <w:r w:rsidR="0068434D" w:rsidRPr="00261D28">
        <w:rPr>
          <w:rFonts w:ascii="Times New Roman" w:hAnsi="Times New Roman"/>
          <w:sz w:val="28"/>
          <w:szCs w:val="28"/>
        </w:rPr>
        <w:t>ля диагностики заболеваний (статья 40с): предоставление лицензии на проведение диагностических процедур для устранения практики, которая была признана в судебном</w:t>
      </w:r>
      <w:r>
        <w:rPr>
          <w:rFonts w:ascii="Times New Roman" w:hAnsi="Times New Roman"/>
          <w:sz w:val="28"/>
          <w:szCs w:val="28"/>
        </w:rPr>
        <w:t xml:space="preserve"> порядке нарушающей конкуренцию;</w:t>
      </w:r>
    </w:p>
    <w:p w:rsidR="0068434D" w:rsidRPr="00261D28" w:rsidRDefault="001260D0" w:rsidP="004D2C9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8434D" w:rsidRPr="00261D28">
        <w:rPr>
          <w:rFonts w:ascii="Times New Roman" w:hAnsi="Times New Roman"/>
          <w:sz w:val="28"/>
          <w:szCs w:val="28"/>
        </w:rPr>
        <w:t xml:space="preserve"> сфере фармацевтики (статья 40d): получение в судебном порядке лицензии на производство защищенных патентом лекарственных средств на экспорт в страны, обладающие недостаточными производственными мощностями в фармацевтическом секторе для борьбы с проблемами общественного здравоохранения, в частности связанными с распространением ВИЧ/СПИД, туберкулез</w:t>
      </w:r>
      <w:r>
        <w:rPr>
          <w:rFonts w:ascii="Times New Roman" w:hAnsi="Times New Roman"/>
          <w:sz w:val="28"/>
          <w:szCs w:val="28"/>
        </w:rPr>
        <w:t>а, малярии и другими эпид</w:t>
      </w:r>
      <w:r w:rsidR="00EE7E9B">
        <w:rPr>
          <w:rFonts w:ascii="Times New Roman" w:hAnsi="Times New Roman"/>
          <w:sz w:val="28"/>
          <w:szCs w:val="28"/>
        </w:rPr>
        <w:t>емиями.</w:t>
      </w:r>
    </w:p>
    <w:p w:rsidR="0068434D" w:rsidRDefault="00EE7E9B" w:rsidP="004D2C9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8434D" w:rsidRPr="00261D28">
        <w:rPr>
          <w:rFonts w:ascii="Times New Roman" w:hAnsi="Times New Roman"/>
          <w:sz w:val="28"/>
          <w:szCs w:val="28"/>
        </w:rPr>
        <w:t xml:space="preserve"> Швейцарии зафиксировано только два случая принятия судами решений о выдаче принудительных лицензий на использование зависимых патентов. В одном случае решение касалось патента на школьную парту, позволяющую ее пользователю работать по выбору, стоя или сидя, и адаптируемую к любому росту пользователя, во втором</w:t>
      </w:r>
      <w:r w:rsidR="001260D0">
        <w:rPr>
          <w:rFonts w:ascii="Times New Roman" w:hAnsi="Times New Roman"/>
          <w:sz w:val="28"/>
          <w:szCs w:val="28"/>
        </w:rPr>
        <w:t xml:space="preserve"> – </w:t>
      </w:r>
      <w:r w:rsidR="0068434D" w:rsidRPr="00261D28">
        <w:rPr>
          <w:rFonts w:ascii="Times New Roman" w:hAnsi="Times New Roman"/>
          <w:sz w:val="28"/>
          <w:szCs w:val="28"/>
        </w:rPr>
        <w:t>патента на преобразователь переменного тока в постоянный. В иных сферах применени</w:t>
      </w:r>
      <w:r w:rsidR="001260D0">
        <w:rPr>
          <w:rFonts w:ascii="Times New Roman" w:hAnsi="Times New Roman"/>
          <w:sz w:val="28"/>
          <w:szCs w:val="28"/>
        </w:rPr>
        <w:t>я</w:t>
      </w:r>
      <w:r w:rsidR="0068434D" w:rsidRPr="00261D28">
        <w:rPr>
          <w:rFonts w:ascii="Times New Roman" w:hAnsi="Times New Roman"/>
          <w:sz w:val="28"/>
          <w:szCs w:val="28"/>
        </w:rPr>
        <w:t xml:space="preserve"> данного инструмента не зафиксировано.</w:t>
      </w:r>
    </w:p>
    <w:p w:rsidR="0068434D" w:rsidRPr="00E0415B" w:rsidRDefault="0068434D" w:rsidP="004D2C9E">
      <w:pPr>
        <w:pStyle w:val="7"/>
      </w:pPr>
      <w:r w:rsidRPr="00E0415B">
        <w:t xml:space="preserve">Опыт </w:t>
      </w:r>
      <w:r w:rsidR="00E0415B" w:rsidRPr="00E0415B">
        <w:t>Арабской Республики Египет</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В Египте основанием для предоставления принудительного лицензирования является статья 23 Закона от</w:t>
      </w:r>
      <w:r w:rsidR="00304D3E">
        <w:rPr>
          <w:rFonts w:ascii="Times New Roman" w:hAnsi="Times New Roman"/>
          <w:sz w:val="28"/>
          <w:szCs w:val="28"/>
        </w:rPr>
        <w:t xml:space="preserve"> </w:t>
      </w:r>
      <w:r w:rsidR="00304D3E" w:rsidRPr="00304D3E">
        <w:rPr>
          <w:rFonts w:ascii="Times New Roman" w:hAnsi="Times New Roman"/>
          <w:sz w:val="28"/>
          <w:szCs w:val="28"/>
        </w:rPr>
        <w:t xml:space="preserve">2 </w:t>
      </w:r>
      <w:r w:rsidR="00304D3E">
        <w:rPr>
          <w:rFonts w:ascii="Times New Roman" w:hAnsi="Times New Roman"/>
          <w:sz w:val="28"/>
          <w:szCs w:val="28"/>
        </w:rPr>
        <w:t>и</w:t>
      </w:r>
      <w:r w:rsidR="00304D3E" w:rsidRPr="00304D3E">
        <w:rPr>
          <w:rFonts w:ascii="Times New Roman" w:hAnsi="Times New Roman"/>
          <w:sz w:val="28"/>
          <w:szCs w:val="28"/>
        </w:rPr>
        <w:t>юн</w:t>
      </w:r>
      <w:r w:rsidR="00304D3E">
        <w:rPr>
          <w:rFonts w:ascii="Times New Roman" w:hAnsi="Times New Roman"/>
          <w:sz w:val="28"/>
          <w:szCs w:val="28"/>
        </w:rPr>
        <w:t>я</w:t>
      </w:r>
      <w:r w:rsidRPr="00261D28">
        <w:rPr>
          <w:rFonts w:ascii="Times New Roman" w:hAnsi="Times New Roman"/>
          <w:sz w:val="28"/>
          <w:szCs w:val="28"/>
        </w:rPr>
        <w:t xml:space="preserve"> 2002 года</w:t>
      </w:r>
      <w:r w:rsidR="00304D3E">
        <w:rPr>
          <w:rFonts w:ascii="Times New Roman" w:hAnsi="Times New Roman"/>
          <w:sz w:val="28"/>
          <w:szCs w:val="28"/>
        </w:rPr>
        <w:t xml:space="preserve"> </w:t>
      </w:r>
      <w:r w:rsidR="00E720B2">
        <w:rPr>
          <w:rFonts w:ascii="Times New Roman" w:hAnsi="Times New Roman"/>
          <w:sz w:val="28"/>
          <w:szCs w:val="28"/>
        </w:rPr>
        <w:t>№ </w:t>
      </w:r>
      <w:r w:rsidR="00304D3E" w:rsidRPr="00304D3E">
        <w:rPr>
          <w:rFonts w:ascii="Times New Roman" w:hAnsi="Times New Roman"/>
          <w:sz w:val="28"/>
          <w:szCs w:val="28"/>
        </w:rPr>
        <w:t xml:space="preserve">82 </w:t>
      </w:r>
      <w:r w:rsidR="004D2C9E">
        <w:rPr>
          <w:rFonts w:ascii="Times New Roman" w:hAnsi="Times New Roman"/>
          <w:sz w:val="28"/>
          <w:szCs w:val="28"/>
        </w:rPr>
        <w:t>«</w:t>
      </w:r>
      <w:r w:rsidRPr="00261D28">
        <w:rPr>
          <w:rFonts w:ascii="Times New Roman" w:hAnsi="Times New Roman"/>
          <w:sz w:val="28"/>
          <w:szCs w:val="28"/>
        </w:rPr>
        <w:t>О защите прав интеллектуальной собственности</w:t>
      </w:r>
      <w:r w:rsidR="004D2C9E">
        <w:rPr>
          <w:rFonts w:ascii="Times New Roman" w:hAnsi="Times New Roman"/>
          <w:sz w:val="28"/>
          <w:szCs w:val="28"/>
        </w:rPr>
        <w:t>»</w:t>
      </w:r>
      <w:r w:rsidRPr="00261D28">
        <w:rPr>
          <w:rFonts w:ascii="Times New Roman" w:hAnsi="Times New Roman"/>
          <w:sz w:val="28"/>
          <w:szCs w:val="28"/>
        </w:rPr>
        <w:t>. Лиц</w:t>
      </w:r>
      <w:r w:rsidR="00304D3E">
        <w:rPr>
          <w:rFonts w:ascii="Times New Roman" w:hAnsi="Times New Roman"/>
          <w:sz w:val="28"/>
          <w:szCs w:val="28"/>
        </w:rPr>
        <w:t>ензия выдается патентным офисом</w:t>
      </w:r>
      <w:r w:rsidRPr="00261D28">
        <w:rPr>
          <w:rFonts w:ascii="Times New Roman" w:hAnsi="Times New Roman"/>
          <w:sz w:val="28"/>
          <w:szCs w:val="28"/>
        </w:rPr>
        <w:t xml:space="preserve"> при условии одобрения комитета министров, сформированного по решению премьер-министра. Основания для выдачи принудительной лицензии:</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в общественных интересах (обеспечение национальной безопасности, здоровья граждан, окружающей среды);</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возникновение чрезвычайной ситуации;</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содействие национальному развитию в экономической, социальной или технологической сферах без необоснованного ущерба правам патентообладателя;</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недостаток медикаментов для удовлетворения потребностей на национальном уровне;</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РИД недостаточно эксплуатируется на территории Египта по прошествии трех лет с даты выдачи патента или четырех лет с даты подачи заявки на патент. При этом под эксплуатацией понимается производство продукции с использованием РИД или использование РИД в производстве;</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антиконкурентные действия правообладателя;</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обладатель патента с ранним приоритетом не выдает лицензию обладателю зависимого патента. Выдача принудительной лицензии возможна в случае, если РИД, защищаемый зависимым патентом, имеет существенные технические или экономические преимущества по сравнению с РИД, защищенным патентом с ранним приоритетом.</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Из рассмотренных стран в Египте основания для выдачи принудительной лицензии являются наиболее широкими. Эксперты отмечают неконтролируемое применение</w:t>
      </w:r>
      <w:r w:rsidR="00304D3E">
        <w:rPr>
          <w:rFonts w:ascii="Times New Roman" w:hAnsi="Times New Roman"/>
          <w:sz w:val="28"/>
          <w:szCs w:val="28"/>
        </w:rPr>
        <w:t xml:space="preserve"> там </w:t>
      </w:r>
      <w:r w:rsidRPr="00261D28">
        <w:rPr>
          <w:rFonts w:ascii="Times New Roman" w:hAnsi="Times New Roman"/>
          <w:sz w:val="28"/>
          <w:szCs w:val="28"/>
        </w:rPr>
        <w:t xml:space="preserve">принудительного лицензирования. В качестве примера приводится выдача правительством в 2002 году принудительной лицензии на препарат </w:t>
      </w:r>
      <w:r w:rsidR="004D2C9E">
        <w:rPr>
          <w:rFonts w:ascii="Times New Roman" w:hAnsi="Times New Roman"/>
          <w:sz w:val="28"/>
          <w:szCs w:val="28"/>
        </w:rPr>
        <w:t>«</w:t>
      </w:r>
      <w:r w:rsidRPr="00261D28">
        <w:rPr>
          <w:rFonts w:ascii="Times New Roman" w:hAnsi="Times New Roman"/>
          <w:sz w:val="28"/>
          <w:szCs w:val="28"/>
        </w:rPr>
        <w:t>Виагра</w:t>
      </w:r>
      <w:r w:rsidR="004D2C9E">
        <w:rPr>
          <w:rFonts w:ascii="Times New Roman" w:hAnsi="Times New Roman"/>
          <w:sz w:val="28"/>
          <w:szCs w:val="28"/>
        </w:rPr>
        <w:t>»</w:t>
      </w:r>
      <w:r w:rsidRPr="00261D28">
        <w:rPr>
          <w:rFonts w:ascii="Times New Roman" w:hAnsi="Times New Roman"/>
          <w:sz w:val="28"/>
          <w:szCs w:val="28"/>
        </w:rPr>
        <w:t xml:space="preserve"> компании Pfizer. Данный случай признается чрезмерным использованием механизма принудительного лицензирования и демонстрирует опасность отсутствия сдерживающих факторов применения данного механизма. В результате компания Pfizer остановила строительство завода на территории страны, а прямые иностранные инвестиции в Египет сократились в два раза: с 1,2 млрд долларов </w:t>
      </w:r>
      <w:r w:rsidR="00523CBC">
        <w:rPr>
          <w:rFonts w:ascii="Times New Roman" w:hAnsi="Times New Roman"/>
          <w:sz w:val="28"/>
          <w:szCs w:val="28"/>
        </w:rPr>
        <w:t xml:space="preserve">США </w:t>
      </w:r>
      <w:r w:rsidRPr="00261D28">
        <w:rPr>
          <w:rFonts w:ascii="Times New Roman" w:hAnsi="Times New Roman"/>
          <w:sz w:val="28"/>
          <w:szCs w:val="28"/>
        </w:rPr>
        <w:t>в 2000</w:t>
      </w:r>
      <w:r w:rsidR="0099069F">
        <w:rPr>
          <w:rFonts w:ascii="Times New Roman" w:hAnsi="Times New Roman"/>
          <w:sz w:val="28"/>
          <w:szCs w:val="28"/>
        </w:rPr>
        <w:t> </w:t>
      </w:r>
      <w:r w:rsidRPr="00261D28">
        <w:rPr>
          <w:rFonts w:ascii="Times New Roman" w:hAnsi="Times New Roman"/>
          <w:sz w:val="28"/>
          <w:szCs w:val="28"/>
        </w:rPr>
        <w:t>году до 647 млн долларов</w:t>
      </w:r>
      <w:r w:rsidR="00523CBC">
        <w:rPr>
          <w:rFonts w:ascii="Times New Roman" w:hAnsi="Times New Roman"/>
          <w:sz w:val="28"/>
          <w:szCs w:val="28"/>
        </w:rPr>
        <w:t xml:space="preserve"> США</w:t>
      </w:r>
      <w:r w:rsidRPr="00261D28">
        <w:rPr>
          <w:rFonts w:ascii="Times New Roman" w:hAnsi="Times New Roman"/>
          <w:sz w:val="28"/>
          <w:szCs w:val="28"/>
        </w:rPr>
        <w:t xml:space="preserve"> в 2002 году и 237 млн долларов</w:t>
      </w:r>
      <w:r w:rsidR="00162A58">
        <w:rPr>
          <w:rFonts w:ascii="Times New Roman" w:hAnsi="Times New Roman"/>
          <w:sz w:val="28"/>
          <w:szCs w:val="28"/>
        </w:rPr>
        <w:t xml:space="preserve"> США</w:t>
      </w:r>
      <w:r w:rsidRPr="00261D28">
        <w:rPr>
          <w:rFonts w:ascii="Times New Roman" w:hAnsi="Times New Roman"/>
          <w:sz w:val="28"/>
          <w:szCs w:val="28"/>
        </w:rPr>
        <w:t xml:space="preserve"> в 2003 году. В то же время после 2004 года объем инвестиций значительн</w:t>
      </w:r>
      <w:r w:rsidR="00EE7E9B">
        <w:rPr>
          <w:rFonts w:ascii="Times New Roman" w:hAnsi="Times New Roman"/>
          <w:sz w:val="28"/>
          <w:szCs w:val="28"/>
        </w:rPr>
        <w:t>о</w:t>
      </w:r>
      <w:r w:rsidRPr="00261D28">
        <w:rPr>
          <w:rFonts w:ascii="Times New Roman" w:hAnsi="Times New Roman"/>
          <w:sz w:val="28"/>
          <w:szCs w:val="28"/>
        </w:rPr>
        <w:t xml:space="preserve"> </w:t>
      </w:r>
      <w:r w:rsidR="00EE7E9B">
        <w:rPr>
          <w:rFonts w:ascii="Times New Roman" w:hAnsi="Times New Roman"/>
          <w:sz w:val="28"/>
          <w:szCs w:val="28"/>
        </w:rPr>
        <w:t>увеличился и</w:t>
      </w:r>
      <w:r w:rsidRPr="00261D28">
        <w:rPr>
          <w:rFonts w:ascii="Times New Roman" w:hAnsi="Times New Roman"/>
          <w:sz w:val="28"/>
          <w:szCs w:val="28"/>
        </w:rPr>
        <w:t xml:space="preserve"> в 2007</w:t>
      </w:r>
      <w:r w:rsidR="00993438">
        <w:rPr>
          <w:rFonts w:ascii="Times New Roman" w:hAnsi="Times New Roman"/>
          <w:sz w:val="28"/>
          <w:szCs w:val="28"/>
        </w:rPr>
        <w:t> </w:t>
      </w:r>
      <w:r w:rsidRPr="00261D28">
        <w:rPr>
          <w:rFonts w:ascii="Times New Roman" w:hAnsi="Times New Roman"/>
          <w:sz w:val="28"/>
          <w:szCs w:val="28"/>
        </w:rPr>
        <w:t>году составил 11,6 млрд долларов</w:t>
      </w:r>
      <w:r w:rsidR="00523CBC">
        <w:rPr>
          <w:rFonts w:ascii="Times New Roman" w:hAnsi="Times New Roman"/>
          <w:sz w:val="28"/>
          <w:szCs w:val="28"/>
        </w:rPr>
        <w:t xml:space="preserve"> США</w:t>
      </w:r>
      <w:r w:rsidRPr="00261D28">
        <w:rPr>
          <w:rFonts w:ascii="Times New Roman" w:hAnsi="Times New Roman"/>
          <w:sz w:val="28"/>
          <w:szCs w:val="28"/>
        </w:rPr>
        <w:t xml:space="preserve">. Таким образом, несмотря на определенные потери, в долгосрочной перспективе значительного снижения инвестиционной привлекательности Египта не наблюдалось. </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 xml:space="preserve">Возможность принудительного воздействия государства на недобросовестного правообладателя предусмотрена и международными правовыми актами. </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 xml:space="preserve">Так, согласно статье 31 Соглашения ТРИПС если законодательство члена разрешает иное использование объекта патента без разрешения правообладателя, включая использование государством или третьими лицами, уполномоченными государством, должны соблюдаться в том числе следующие положения: </w:t>
      </w:r>
    </w:p>
    <w:p w:rsidR="0068434D" w:rsidRPr="00261D28" w:rsidRDefault="0068434D" w:rsidP="004D2C9E">
      <w:pPr>
        <w:spacing w:after="0" w:line="240" w:lineRule="auto"/>
        <w:ind w:firstLine="709"/>
        <w:jc w:val="both"/>
        <w:rPr>
          <w:rFonts w:ascii="Times New Roman" w:hAnsi="Times New Roman"/>
          <w:sz w:val="28"/>
          <w:szCs w:val="28"/>
        </w:rPr>
      </w:pPr>
      <w:r w:rsidRPr="00261D28">
        <w:rPr>
          <w:rFonts w:ascii="Times New Roman" w:hAnsi="Times New Roman"/>
          <w:sz w:val="28"/>
          <w:szCs w:val="28"/>
        </w:rPr>
        <w:t xml:space="preserve">разрешение на такое использование должно основываться на индивидуальных характеристиках предмета (подпункт </w:t>
      </w:r>
      <w:r w:rsidR="004D2C9E">
        <w:rPr>
          <w:rFonts w:ascii="Times New Roman" w:hAnsi="Times New Roman"/>
          <w:sz w:val="28"/>
          <w:szCs w:val="28"/>
        </w:rPr>
        <w:t>«</w:t>
      </w:r>
      <w:r w:rsidRPr="00261D28">
        <w:rPr>
          <w:rFonts w:ascii="Times New Roman" w:hAnsi="Times New Roman"/>
          <w:sz w:val="28"/>
          <w:szCs w:val="28"/>
        </w:rPr>
        <w:t>а</w:t>
      </w:r>
      <w:r w:rsidR="004D2C9E">
        <w:rPr>
          <w:rFonts w:ascii="Times New Roman" w:hAnsi="Times New Roman"/>
          <w:sz w:val="28"/>
          <w:szCs w:val="28"/>
        </w:rPr>
        <w:t>»</w:t>
      </w:r>
      <w:r w:rsidRPr="00261D28">
        <w:rPr>
          <w:rFonts w:ascii="Times New Roman" w:hAnsi="Times New Roman"/>
          <w:sz w:val="28"/>
          <w:szCs w:val="28"/>
        </w:rPr>
        <w:t xml:space="preserve"> статьи 31);</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объем и продолжительность такого использования ограничиваются целями, для которых оно было разрешено (подпункт </w:t>
      </w:r>
      <w:r w:rsidR="004D2C9E" w:rsidRPr="000863D3">
        <w:rPr>
          <w:rFonts w:ascii="Times New Roman" w:hAnsi="Times New Roman"/>
          <w:sz w:val="28"/>
          <w:szCs w:val="28"/>
        </w:rPr>
        <w:t>«</w:t>
      </w:r>
      <w:r w:rsidRPr="000863D3">
        <w:rPr>
          <w:rFonts w:ascii="Times New Roman" w:hAnsi="Times New Roman"/>
          <w:sz w:val="28"/>
          <w:szCs w:val="28"/>
        </w:rPr>
        <w:t>с</w:t>
      </w:r>
      <w:r w:rsidR="004D2C9E" w:rsidRPr="000863D3">
        <w:rPr>
          <w:rFonts w:ascii="Times New Roman" w:hAnsi="Times New Roman"/>
          <w:sz w:val="28"/>
          <w:szCs w:val="28"/>
        </w:rPr>
        <w:t>»</w:t>
      </w:r>
      <w:r w:rsidRPr="000863D3">
        <w:rPr>
          <w:rFonts w:ascii="Times New Roman" w:hAnsi="Times New Roman"/>
          <w:sz w:val="28"/>
          <w:szCs w:val="28"/>
        </w:rPr>
        <w:t xml:space="preserve"> статьи 31);</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использование не является исключительным и не подлежит цессии (уступке), кроме как с той частью предприятия или его нематериальных активов, которые осуществляют такое использование (подпункты </w:t>
      </w:r>
      <w:r w:rsidR="004D2C9E" w:rsidRPr="000863D3">
        <w:rPr>
          <w:rFonts w:ascii="Times New Roman" w:hAnsi="Times New Roman"/>
          <w:sz w:val="28"/>
          <w:szCs w:val="28"/>
        </w:rPr>
        <w:t>«</w:t>
      </w:r>
      <w:r w:rsidRPr="000863D3">
        <w:rPr>
          <w:rFonts w:ascii="Times New Roman" w:hAnsi="Times New Roman"/>
          <w:sz w:val="28"/>
          <w:szCs w:val="28"/>
        </w:rPr>
        <w:t>d</w:t>
      </w:r>
      <w:r w:rsidR="004D2C9E" w:rsidRPr="000863D3">
        <w:rPr>
          <w:rFonts w:ascii="Times New Roman" w:hAnsi="Times New Roman"/>
          <w:sz w:val="28"/>
          <w:szCs w:val="28"/>
        </w:rPr>
        <w:t>»</w:t>
      </w:r>
      <w:r w:rsidRPr="000863D3">
        <w:rPr>
          <w:rFonts w:ascii="Times New Roman" w:hAnsi="Times New Roman"/>
          <w:sz w:val="28"/>
          <w:szCs w:val="28"/>
        </w:rPr>
        <w:t xml:space="preserve"> и </w:t>
      </w:r>
      <w:r w:rsidR="004D2C9E" w:rsidRPr="000863D3">
        <w:rPr>
          <w:rFonts w:ascii="Times New Roman" w:hAnsi="Times New Roman"/>
          <w:sz w:val="28"/>
          <w:szCs w:val="28"/>
        </w:rPr>
        <w:t>«</w:t>
      </w:r>
      <w:r w:rsidRPr="000863D3">
        <w:rPr>
          <w:rFonts w:ascii="Times New Roman" w:hAnsi="Times New Roman"/>
          <w:sz w:val="28"/>
          <w:szCs w:val="28"/>
        </w:rPr>
        <w:t>e</w:t>
      </w:r>
      <w:r w:rsidR="004D2C9E" w:rsidRPr="000863D3">
        <w:rPr>
          <w:rFonts w:ascii="Times New Roman" w:hAnsi="Times New Roman"/>
          <w:sz w:val="28"/>
          <w:szCs w:val="28"/>
        </w:rPr>
        <w:t>»</w:t>
      </w:r>
      <w:r w:rsidRPr="000863D3">
        <w:rPr>
          <w:rFonts w:ascii="Times New Roman" w:hAnsi="Times New Roman"/>
          <w:sz w:val="28"/>
          <w:szCs w:val="28"/>
        </w:rPr>
        <w:t xml:space="preserve"> статьи 31);</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любое такое использование разрешается в первую очередь для обеспечения потребностей внутреннего рынка члена, дающего разрешение на такое использование (подпункт </w:t>
      </w:r>
      <w:r w:rsidR="004D2C9E" w:rsidRPr="000863D3">
        <w:rPr>
          <w:rFonts w:ascii="Times New Roman" w:hAnsi="Times New Roman"/>
          <w:sz w:val="28"/>
          <w:szCs w:val="28"/>
        </w:rPr>
        <w:t>«</w:t>
      </w:r>
      <w:r w:rsidRPr="000863D3">
        <w:rPr>
          <w:rFonts w:ascii="Times New Roman" w:hAnsi="Times New Roman"/>
          <w:sz w:val="28"/>
          <w:szCs w:val="28"/>
        </w:rPr>
        <w:t>f</w:t>
      </w:r>
      <w:r w:rsidR="004D2C9E" w:rsidRPr="000863D3">
        <w:rPr>
          <w:rFonts w:ascii="Times New Roman" w:hAnsi="Times New Roman"/>
          <w:sz w:val="28"/>
          <w:szCs w:val="28"/>
        </w:rPr>
        <w:t>»</w:t>
      </w:r>
      <w:r w:rsidRPr="000863D3">
        <w:rPr>
          <w:rFonts w:ascii="Times New Roman" w:hAnsi="Times New Roman"/>
          <w:sz w:val="28"/>
          <w:szCs w:val="28"/>
        </w:rPr>
        <w:t xml:space="preserve"> статьи 31);</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юридическая сила любого решения, относящегося к разрешению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 (подпункт </w:t>
      </w:r>
      <w:r w:rsidR="004D2C9E" w:rsidRPr="000863D3">
        <w:rPr>
          <w:rFonts w:ascii="Times New Roman" w:hAnsi="Times New Roman"/>
          <w:sz w:val="28"/>
          <w:szCs w:val="28"/>
        </w:rPr>
        <w:t>«</w:t>
      </w:r>
      <w:r w:rsidRPr="000863D3">
        <w:rPr>
          <w:rFonts w:ascii="Times New Roman" w:hAnsi="Times New Roman"/>
          <w:sz w:val="28"/>
          <w:szCs w:val="28"/>
        </w:rPr>
        <w:t>i</w:t>
      </w:r>
      <w:r w:rsidR="004D2C9E" w:rsidRPr="000863D3">
        <w:rPr>
          <w:rFonts w:ascii="Times New Roman" w:hAnsi="Times New Roman"/>
          <w:sz w:val="28"/>
          <w:szCs w:val="28"/>
        </w:rPr>
        <w:t>»</w:t>
      </w:r>
      <w:r w:rsidRPr="000863D3">
        <w:rPr>
          <w:rFonts w:ascii="Times New Roman" w:hAnsi="Times New Roman"/>
          <w:sz w:val="28"/>
          <w:szCs w:val="28"/>
        </w:rPr>
        <w:t xml:space="preserve"> статьи 31);</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любое решение, касающееся вознаграждения, предусмотренного в отношении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 (подпункт </w:t>
      </w:r>
      <w:r w:rsidR="004D2C9E" w:rsidRPr="000863D3">
        <w:rPr>
          <w:rFonts w:ascii="Times New Roman" w:hAnsi="Times New Roman"/>
          <w:sz w:val="28"/>
          <w:szCs w:val="28"/>
        </w:rPr>
        <w:t>«</w:t>
      </w:r>
      <w:r w:rsidRPr="000863D3">
        <w:rPr>
          <w:rFonts w:ascii="Times New Roman" w:hAnsi="Times New Roman"/>
          <w:sz w:val="28"/>
          <w:szCs w:val="28"/>
        </w:rPr>
        <w:t>j</w:t>
      </w:r>
      <w:r w:rsidR="004D2C9E" w:rsidRPr="000863D3">
        <w:rPr>
          <w:rFonts w:ascii="Times New Roman" w:hAnsi="Times New Roman"/>
          <w:sz w:val="28"/>
          <w:szCs w:val="28"/>
        </w:rPr>
        <w:t>»</w:t>
      </w:r>
      <w:r w:rsidRPr="000863D3">
        <w:rPr>
          <w:rFonts w:ascii="Times New Roman" w:hAnsi="Times New Roman"/>
          <w:sz w:val="28"/>
          <w:szCs w:val="28"/>
        </w:rPr>
        <w:t xml:space="preserve"> статьи 31).</w:t>
      </w:r>
    </w:p>
    <w:p w:rsidR="0068434D" w:rsidRPr="000863D3" w:rsidRDefault="0068434D" w:rsidP="000863D3">
      <w:pPr>
        <w:pStyle w:val="af8"/>
        <w:spacing w:before="120"/>
      </w:pPr>
      <w:r w:rsidRPr="000863D3">
        <w:t>Таким образом, во-первых, проектируемые в статью 1360 Гражданского кодекса</w:t>
      </w:r>
      <w:r w:rsidR="00523CBC" w:rsidRPr="000863D3">
        <w:t xml:space="preserve"> Российской Федерации изменения</w:t>
      </w:r>
      <w:r w:rsidRPr="000863D3">
        <w:t xml:space="preserve"> создают возможность оперативно восполнить отсутствие или недостаток в стране иностранных запатентованных лекарственных средств или медицинских изделий, которые необходимы для жизни и здоровья населения или отдельных категорий граждан, во-вторых, принятие соответствующих решений Правительством Российской Федерации на основе новой редакции статьи 1360 Гражданского кодекса Российской Федерации будет осуществляться с учетом условий, закрепленных статьей 31 Соглашения ТРИПС и не будет приводить к их нарушению.</w:t>
      </w:r>
    </w:p>
    <w:p w:rsidR="0068434D" w:rsidRPr="000863D3" w:rsidRDefault="00523CBC" w:rsidP="000863D3">
      <w:pPr>
        <w:pStyle w:val="7"/>
      </w:pPr>
      <w:r w:rsidRPr="000863D3">
        <w:t>Опыт</w:t>
      </w:r>
      <w:r w:rsidR="0068434D" w:rsidRPr="000863D3">
        <w:t xml:space="preserve"> Российской Федерации</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В законодательстве Российской Федерации механизм принудительного лицензирования предусмотрен в рамках Гражданского кодекса Российской Федерации. В соответствии со статьей 1239 Гражданского кодекса суд по требованию заинтересованного лица может обязать правообладателя выдать лицензию данному лицу (принудительное лицензирование). В статье 1362 Гражданского кодекса Российской Федерации приведен перечень условий для выдачи принудительной лицензии на изобретение, полезную модель и промышленный образец:</w:t>
      </w:r>
    </w:p>
    <w:p w:rsidR="0068434D" w:rsidRPr="000863D3" w:rsidRDefault="00523CBC"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и</w:t>
      </w:r>
      <w:r w:rsidR="0068434D" w:rsidRPr="000863D3">
        <w:rPr>
          <w:rFonts w:ascii="Times New Roman" w:hAnsi="Times New Roman"/>
          <w:sz w:val="28"/>
          <w:szCs w:val="28"/>
        </w:rPr>
        <w:t>зобретение или промышленный образец не используется либо недостаточно используется патентообладателем в течение 4 лет с</w:t>
      </w:r>
      <w:r w:rsidRPr="000863D3">
        <w:rPr>
          <w:rFonts w:ascii="Times New Roman" w:hAnsi="Times New Roman"/>
          <w:sz w:val="28"/>
          <w:szCs w:val="28"/>
        </w:rPr>
        <w:t xml:space="preserve"> даты</w:t>
      </w:r>
      <w:r w:rsidR="0068434D" w:rsidRPr="000863D3">
        <w:rPr>
          <w:rFonts w:ascii="Times New Roman" w:hAnsi="Times New Roman"/>
          <w:sz w:val="28"/>
          <w:szCs w:val="28"/>
        </w:rPr>
        <w:t xml:space="preserve"> выдачи патента (для полезной модели срок </w:t>
      </w:r>
      <w:r w:rsidR="00993438" w:rsidRPr="000863D3">
        <w:rPr>
          <w:rFonts w:ascii="Times New Roman" w:hAnsi="Times New Roman"/>
          <w:sz w:val="28"/>
          <w:szCs w:val="28"/>
        </w:rPr>
        <w:t>–</w:t>
      </w:r>
      <w:r w:rsidRPr="000863D3">
        <w:rPr>
          <w:rFonts w:ascii="Times New Roman" w:hAnsi="Times New Roman"/>
          <w:sz w:val="28"/>
          <w:szCs w:val="28"/>
        </w:rPr>
        <w:t xml:space="preserve"> 3 года);</w:t>
      </w:r>
    </w:p>
    <w:p w:rsidR="0068434D" w:rsidRPr="000863D3" w:rsidRDefault="00523CBC"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н</w:t>
      </w:r>
      <w:r w:rsidR="0068434D" w:rsidRPr="000863D3">
        <w:rPr>
          <w:rFonts w:ascii="Times New Roman" w:hAnsi="Times New Roman"/>
          <w:sz w:val="28"/>
          <w:szCs w:val="28"/>
        </w:rPr>
        <w:t xml:space="preserve">едостаточное использование РИД приводит к недостаточному предложению соответствующих товаров, работ или услуг </w:t>
      </w:r>
      <w:r w:rsidRPr="000863D3">
        <w:rPr>
          <w:rFonts w:ascii="Times New Roman" w:hAnsi="Times New Roman"/>
          <w:sz w:val="28"/>
          <w:szCs w:val="28"/>
        </w:rPr>
        <w:t>на рынке;</w:t>
      </w:r>
    </w:p>
    <w:p w:rsidR="0068434D" w:rsidRDefault="00523CBC"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п</w:t>
      </w:r>
      <w:r w:rsidR="0068434D" w:rsidRPr="000863D3">
        <w:rPr>
          <w:rFonts w:ascii="Times New Roman" w:hAnsi="Times New Roman"/>
          <w:sz w:val="28"/>
          <w:szCs w:val="28"/>
        </w:rPr>
        <w:t>атентообладатель отказался от заключения с истцом лицензионного договора на условиях, соответствующих установившейся практике.</w:t>
      </w:r>
    </w:p>
    <w:p w:rsidR="0068434D" w:rsidRPr="000863D3" w:rsidRDefault="0068434D" w:rsidP="00483209">
      <w:pPr>
        <w:pStyle w:val="af8"/>
      </w:pPr>
      <w:r w:rsidRPr="000863D3">
        <w:t>Или:</w:t>
      </w:r>
    </w:p>
    <w:p w:rsidR="0068434D" w:rsidRPr="000863D3" w:rsidRDefault="00523CBC"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и</w:t>
      </w:r>
      <w:r w:rsidR="0068434D" w:rsidRPr="000863D3">
        <w:rPr>
          <w:rFonts w:ascii="Times New Roman" w:hAnsi="Times New Roman"/>
          <w:sz w:val="28"/>
          <w:szCs w:val="28"/>
        </w:rPr>
        <w:t>стец не может использовать изобретение, на которое он имеет исключительное право, не нарушая при этом прав обладателя другого патента на изобретение или полезную модель, отказавшегося от за</w:t>
      </w:r>
      <w:r w:rsidRPr="000863D3">
        <w:rPr>
          <w:rFonts w:ascii="Times New Roman" w:hAnsi="Times New Roman"/>
          <w:sz w:val="28"/>
          <w:szCs w:val="28"/>
        </w:rPr>
        <w:t>ключения лицензионного договора;</w:t>
      </w:r>
    </w:p>
    <w:p w:rsidR="0068434D" w:rsidRPr="000863D3" w:rsidRDefault="00523CBC"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и</w:t>
      </w:r>
      <w:r w:rsidR="0068434D" w:rsidRPr="000863D3">
        <w:rPr>
          <w:rFonts w:ascii="Times New Roman" w:hAnsi="Times New Roman"/>
          <w:sz w:val="28"/>
          <w:szCs w:val="28"/>
        </w:rPr>
        <w:t>зобретение истца представляет собой важное техническое достижение и имеет существенные экономические преимущества перед изобретением или полезной</w:t>
      </w:r>
      <w:r w:rsidRPr="000863D3">
        <w:rPr>
          <w:rFonts w:ascii="Times New Roman" w:hAnsi="Times New Roman"/>
          <w:sz w:val="28"/>
          <w:szCs w:val="28"/>
        </w:rPr>
        <w:t xml:space="preserve"> моделью обладателя патента;</w:t>
      </w:r>
    </w:p>
    <w:p w:rsidR="0068434D" w:rsidRPr="000863D3" w:rsidRDefault="00523CBC"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п</w:t>
      </w:r>
      <w:r w:rsidR="0068434D" w:rsidRPr="000863D3">
        <w:rPr>
          <w:rFonts w:ascii="Times New Roman" w:hAnsi="Times New Roman"/>
          <w:sz w:val="28"/>
          <w:szCs w:val="28"/>
        </w:rPr>
        <w:t>атентообладатель отказался от заключения с истцом лицензионного договора на условиях, соответс</w:t>
      </w:r>
      <w:r w:rsidRPr="000863D3">
        <w:rPr>
          <w:rFonts w:ascii="Times New Roman" w:hAnsi="Times New Roman"/>
          <w:sz w:val="28"/>
          <w:szCs w:val="28"/>
        </w:rPr>
        <w:t>твующих установившейся практике.</w:t>
      </w:r>
    </w:p>
    <w:p w:rsidR="0068434D" w:rsidRPr="000863D3" w:rsidRDefault="00523CBC"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М</w:t>
      </w:r>
      <w:r w:rsidR="0068434D" w:rsidRPr="000863D3">
        <w:rPr>
          <w:rFonts w:ascii="Times New Roman" w:hAnsi="Times New Roman"/>
          <w:sz w:val="28"/>
          <w:szCs w:val="28"/>
        </w:rPr>
        <w:t>еханизм принудительного лицензирования предполагает, что правообладателю должна быть выплачена компенсация. При этом суммарный размер платежей устанавливается судом не ниже цены лицензии, определяемо</w:t>
      </w:r>
      <w:r w:rsidRPr="000863D3">
        <w:rPr>
          <w:rFonts w:ascii="Times New Roman" w:hAnsi="Times New Roman"/>
          <w:sz w:val="28"/>
          <w:szCs w:val="28"/>
        </w:rPr>
        <w:t>й при сравнимых обстоятельствах.</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Кроме описанного механизма, в соответствии со статьей 1360 Гражданского кодекса Российской Федерации 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В соответствии с поручением Первого заместителя Председателя Правительства Российской Федерации И.И.Шувалова от 8</w:t>
      </w:r>
      <w:r w:rsidR="00E0415B" w:rsidRPr="000863D3">
        <w:rPr>
          <w:rFonts w:ascii="Times New Roman" w:hAnsi="Times New Roman"/>
          <w:sz w:val="28"/>
          <w:szCs w:val="28"/>
        </w:rPr>
        <w:t xml:space="preserve"> июля </w:t>
      </w:r>
      <w:r w:rsidRPr="000863D3">
        <w:rPr>
          <w:rFonts w:ascii="Times New Roman" w:hAnsi="Times New Roman"/>
          <w:sz w:val="28"/>
          <w:szCs w:val="28"/>
        </w:rPr>
        <w:t>2016</w:t>
      </w:r>
      <w:r w:rsidR="00E0415B" w:rsidRPr="000863D3">
        <w:rPr>
          <w:rFonts w:ascii="Times New Roman" w:hAnsi="Times New Roman"/>
          <w:sz w:val="28"/>
          <w:szCs w:val="28"/>
        </w:rPr>
        <w:t xml:space="preserve"> года</w:t>
      </w:r>
      <w:r w:rsidRPr="000863D3">
        <w:rPr>
          <w:rFonts w:ascii="Times New Roman" w:hAnsi="Times New Roman"/>
          <w:sz w:val="28"/>
          <w:szCs w:val="28"/>
        </w:rPr>
        <w:t xml:space="preserve"> </w:t>
      </w:r>
      <w:r w:rsidR="00E720B2">
        <w:rPr>
          <w:rFonts w:ascii="Times New Roman" w:hAnsi="Times New Roman"/>
          <w:sz w:val="28"/>
          <w:szCs w:val="28"/>
        </w:rPr>
        <w:t>№ </w:t>
      </w:r>
      <w:r w:rsidRPr="000863D3">
        <w:rPr>
          <w:rFonts w:ascii="Times New Roman" w:hAnsi="Times New Roman"/>
          <w:sz w:val="28"/>
          <w:szCs w:val="28"/>
        </w:rPr>
        <w:t xml:space="preserve">ИШ-П12-4131 ФАС России разработан проект </w:t>
      </w:r>
      <w:r w:rsidR="00523CBC" w:rsidRPr="000863D3">
        <w:rPr>
          <w:rFonts w:ascii="Times New Roman" w:hAnsi="Times New Roman"/>
          <w:sz w:val="28"/>
          <w:szCs w:val="28"/>
        </w:rPr>
        <w:t>Ф</w:t>
      </w:r>
      <w:r w:rsidRPr="000863D3">
        <w:rPr>
          <w:rFonts w:ascii="Times New Roman" w:hAnsi="Times New Roman"/>
          <w:sz w:val="28"/>
          <w:szCs w:val="28"/>
        </w:rPr>
        <w:t xml:space="preserve">едерального закона </w:t>
      </w:r>
      <w:r w:rsidR="00993438" w:rsidRPr="000863D3">
        <w:rPr>
          <w:rFonts w:ascii="Times New Roman" w:hAnsi="Times New Roman"/>
          <w:sz w:val="28"/>
          <w:szCs w:val="28"/>
        </w:rPr>
        <w:br/>
      </w:r>
      <w:r w:rsidR="004D2C9E" w:rsidRPr="000863D3">
        <w:rPr>
          <w:rFonts w:ascii="Times New Roman" w:hAnsi="Times New Roman"/>
          <w:sz w:val="28"/>
          <w:szCs w:val="28"/>
        </w:rPr>
        <w:t>«</w:t>
      </w:r>
      <w:r w:rsidRPr="000863D3">
        <w:rPr>
          <w:rFonts w:ascii="Times New Roman" w:hAnsi="Times New Roman"/>
          <w:sz w:val="28"/>
          <w:szCs w:val="28"/>
        </w:rPr>
        <w:t>О внесении изменений в статью 1360 Гражданского кодекса Российской Федерации</w:t>
      </w:r>
      <w:r w:rsidR="004D2C9E" w:rsidRPr="000863D3">
        <w:rPr>
          <w:rFonts w:ascii="Times New Roman" w:hAnsi="Times New Roman"/>
          <w:sz w:val="28"/>
          <w:szCs w:val="28"/>
        </w:rPr>
        <w:t>»</w:t>
      </w:r>
      <w:r w:rsidR="00523CBC" w:rsidRPr="000863D3">
        <w:rPr>
          <w:rFonts w:ascii="Times New Roman" w:hAnsi="Times New Roman"/>
          <w:sz w:val="28"/>
          <w:szCs w:val="28"/>
        </w:rPr>
        <w:t xml:space="preserve"> (далее – проект Федерального закона</w:t>
      </w:r>
      <w:r w:rsidRPr="000863D3">
        <w:rPr>
          <w:rFonts w:ascii="Times New Roman" w:hAnsi="Times New Roman"/>
          <w:sz w:val="28"/>
          <w:szCs w:val="28"/>
        </w:rPr>
        <w:t>).</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Проектом </w:t>
      </w:r>
      <w:r w:rsidR="005458C3" w:rsidRPr="000863D3">
        <w:rPr>
          <w:rFonts w:ascii="Times New Roman" w:hAnsi="Times New Roman"/>
          <w:sz w:val="28"/>
          <w:szCs w:val="28"/>
        </w:rPr>
        <w:t>Ф</w:t>
      </w:r>
      <w:r w:rsidRPr="000863D3">
        <w:rPr>
          <w:rFonts w:ascii="Times New Roman" w:hAnsi="Times New Roman"/>
          <w:sz w:val="28"/>
          <w:szCs w:val="28"/>
        </w:rPr>
        <w:t>едерального закона вводится новая редакция статьи 1360 Гражданского кодекса, которая предусматривает уточнение оснований для выдачи разрешения на использование изобретения, полезной модели или промышленного образца без согласия патентообладателя Правительством Российской Федерации также в интересах защиты жизни и здоровья граждан.</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Кроме того, уточняется, что порядок принятия</w:t>
      </w:r>
      <w:r w:rsidR="005458C3" w:rsidRPr="000863D3">
        <w:t xml:space="preserve"> </w:t>
      </w:r>
      <w:r w:rsidR="005458C3" w:rsidRPr="000863D3">
        <w:rPr>
          <w:rFonts w:ascii="Times New Roman" w:hAnsi="Times New Roman"/>
          <w:sz w:val="28"/>
          <w:szCs w:val="28"/>
        </w:rPr>
        <w:t>решения,</w:t>
      </w:r>
      <w:r w:rsidRPr="000863D3">
        <w:rPr>
          <w:rFonts w:ascii="Times New Roman" w:hAnsi="Times New Roman"/>
          <w:sz w:val="28"/>
          <w:szCs w:val="28"/>
        </w:rPr>
        <w:t xml:space="preserve"> предусмотренного статьей</w:t>
      </w:r>
      <w:r w:rsidR="00993438" w:rsidRPr="000863D3">
        <w:rPr>
          <w:rFonts w:ascii="Times New Roman" w:hAnsi="Times New Roman"/>
          <w:sz w:val="28"/>
          <w:szCs w:val="28"/>
        </w:rPr>
        <w:t> </w:t>
      </w:r>
      <w:r w:rsidRPr="000863D3">
        <w:rPr>
          <w:rFonts w:ascii="Times New Roman" w:hAnsi="Times New Roman"/>
          <w:sz w:val="28"/>
          <w:szCs w:val="28"/>
        </w:rPr>
        <w:t xml:space="preserve">1360 </w:t>
      </w:r>
      <w:r w:rsidR="000863D3" w:rsidRPr="000863D3">
        <w:rPr>
          <w:rFonts w:ascii="Times New Roman" w:hAnsi="Times New Roman"/>
          <w:sz w:val="28"/>
          <w:szCs w:val="28"/>
        </w:rPr>
        <w:t>Гражданского кодекса Российской Федерации</w:t>
      </w:r>
      <w:r w:rsidR="00EE7E9B">
        <w:rPr>
          <w:rFonts w:ascii="Times New Roman" w:hAnsi="Times New Roman"/>
          <w:sz w:val="28"/>
          <w:szCs w:val="28"/>
        </w:rPr>
        <w:t>,</w:t>
      </w:r>
      <w:r w:rsidR="005458C3" w:rsidRPr="000863D3">
        <w:rPr>
          <w:rFonts w:ascii="Times New Roman" w:hAnsi="Times New Roman"/>
          <w:sz w:val="28"/>
          <w:szCs w:val="28"/>
        </w:rPr>
        <w:t xml:space="preserve"> </w:t>
      </w:r>
      <w:r w:rsidRPr="000863D3">
        <w:rPr>
          <w:rFonts w:ascii="Times New Roman" w:hAnsi="Times New Roman"/>
          <w:sz w:val="28"/>
          <w:szCs w:val="28"/>
        </w:rPr>
        <w:t>определяется Правительством Российской Федерации.</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Инициатива ФАС России обусловлена следующими факторами.</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Во-первых, существует риск злоупотребления правообладателем своим доминирующим положением, что, в свою очередь, может приводить к отказу от производства или поставки на территорию Российской Федерации социально необходимых товаров (лекарств</w:t>
      </w:r>
      <w:r w:rsidR="005458C3" w:rsidRPr="000863D3">
        <w:rPr>
          <w:rFonts w:ascii="Times New Roman" w:hAnsi="Times New Roman"/>
          <w:sz w:val="28"/>
          <w:szCs w:val="28"/>
        </w:rPr>
        <w:t>а</w:t>
      </w:r>
      <w:r w:rsidRPr="000863D3">
        <w:rPr>
          <w:rFonts w:ascii="Times New Roman" w:hAnsi="Times New Roman"/>
          <w:sz w:val="28"/>
          <w:szCs w:val="28"/>
        </w:rPr>
        <w:t>, медицински</w:t>
      </w:r>
      <w:r w:rsidR="005458C3" w:rsidRPr="000863D3">
        <w:rPr>
          <w:rFonts w:ascii="Times New Roman" w:hAnsi="Times New Roman"/>
          <w:sz w:val="28"/>
          <w:szCs w:val="28"/>
        </w:rPr>
        <w:t>е</w:t>
      </w:r>
      <w:r w:rsidRPr="000863D3">
        <w:rPr>
          <w:rFonts w:ascii="Times New Roman" w:hAnsi="Times New Roman"/>
          <w:sz w:val="28"/>
          <w:szCs w:val="28"/>
        </w:rPr>
        <w:t xml:space="preserve"> издели</w:t>
      </w:r>
      <w:r w:rsidR="005458C3" w:rsidRPr="000863D3">
        <w:rPr>
          <w:rFonts w:ascii="Times New Roman" w:hAnsi="Times New Roman"/>
          <w:sz w:val="28"/>
          <w:szCs w:val="28"/>
        </w:rPr>
        <w:t>я</w:t>
      </w:r>
      <w:r w:rsidRPr="000863D3">
        <w:rPr>
          <w:rFonts w:ascii="Times New Roman" w:hAnsi="Times New Roman"/>
          <w:sz w:val="28"/>
          <w:szCs w:val="28"/>
        </w:rPr>
        <w:t xml:space="preserve"> и др.). Безусловно, такие действия могут повлечь угрозу жизни и здоровья граждан, а также создают неблагоприятную среду для развития конкуренции.</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Во-вторых, несмотря на наличие в законодательном поле инструмента принудительного лицензирования, в России еще не было прецедента выдачи принудительной лицензии. В сфере фармацевтики это объ</w:t>
      </w:r>
      <w:r w:rsidR="002B30C6">
        <w:rPr>
          <w:rFonts w:ascii="Times New Roman" w:hAnsi="Times New Roman"/>
          <w:sz w:val="28"/>
          <w:szCs w:val="28"/>
        </w:rPr>
        <w:t>ясняется объективными факторами.</w:t>
      </w:r>
      <w:r w:rsidRPr="000863D3">
        <w:rPr>
          <w:rFonts w:ascii="Times New Roman" w:hAnsi="Times New Roman"/>
          <w:sz w:val="28"/>
          <w:szCs w:val="28"/>
        </w:rPr>
        <w:t xml:space="preserve"> </w:t>
      </w:r>
      <w:r w:rsidR="002B30C6">
        <w:rPr>
          <w:rFonts w:ascii="Times New Roman" w:hAnsi="Times New Roman"/>
          <w:sz w:val="28"/>
          <w:szCs w:val="28"/>
        </w:rPr>
        <w:t>С</w:t>
      </w:r>
      <w:r w:rsidRPr="000863D3">
        <w:rPr>
          <w:rFonts w:ascii="Times New Roman" w:hAnsi="Times New Roman"/>
          <w:sz w:val="28"/>
          <w:szCs w:val="28"/>
        </w:rPr>
        <w:t xml:space="preserve">ложность и стоимость регистрации дженерика </w:t>
      </w:r>
      <w:r w:rsidR="00E0415B" w:rsidRPr="000863D3">
        <w:rPr>
          <w:rFonts w:ascii="Times New Roman" w:hAnsi="Times New Roman"/>
          <w:i/>
          <w:sz w:val="28"/>
          <w:szCs w:val="28"/>
        </w:rPr>
        <w:t>(лекарственный препарат, который по своему предназначению может заменить инновационное лекарство, он не имеет патента и выходит в продажу, когда лицензия истекла)</w:t>
      </w:r>
      <w:r w:rsidR="00E0415B" w:rsidRPr="000863D3">
        <w:rPr>
          <w:rFonts w:ascii="Times New Roman" w:hAnsi="Times New Roman"/>
          <w:sz w:val="28"/>
          <w:szCs w:val="28"/>
        </w:rPr>
        <w:t xml:space="preserve"> </w:t>
      </w:r>
      <w:r w:rsidR="005458C3" w:rsidRPr="000863D3">
        <w:rPr>
          <w:rFonts w:ascii="Times New Roman" w:hAnsi="Times New Roman"/>
          <w:sz w:val="28"/>
          <w:szCs w:val="28"/>
        </w:rPr>
        <w:t>во многом завися</w:t>
      </w:r>
      <w:r w:rsidRPr="000863D3">
        <w:rPr>
          <w:rFonts w:ascii="Times New Roman" w:hAnsi="Times New Roman"/>
          <w:sz w:val="28"/>
          <w:szCs w:val="28"/>
        </w:rPr>
        <w:t xml:space="preserve">т от действий обладателя прав на оригинальное лекарственное средство. Так, даже в случае получения лицензии, выданной на принудительной основе по решению суда, лицензиат обязан пройти государственную регистрацию лекарственного средства, что является длительным и дорогостоящим процессом. В то же время для производителей дженериков существует возможность упрощенной процедуры регистрации </w:t>
      </w:r>
      <w:r w:rsidR="005458C3" w:rsidRPr="000863D3">
        <w:rPr>
          <w:rFonts w:ascii="Times New Roman" w:hAnsi="Times New Roman"/>
          <w:sz w:val="28"/>
          <w:szCs w:val="28"/>
        </w:rPr>
        <w:t>лекарственного средства</w:t>
      </w:r>
      <w:r w:rsidRPr="000863D3">
        <w:rPr>
          <w:rFonts w:ascii="Times New Roman" w:hAnsi="Times New Roman"/>
          <w:sz w:val="28"/>
          <w:szCs w:val="28"/>
        </w:rPr>
        <w:t>, однако это возможно при выполнении нескольких условий:</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оригинальное </w:t>
      </w:r>
      <w:r w:rsidR="005458C3" w:rsidRPr="000863D3">
        <w:rPr>
          <w:rFonts w:ascii="Times New Roman" w:hAnsi="Times New Roman"/>
          <w:sz w:val="28"/>
          <w:szCs w:val="28"/>
        </w:rPr>
        <w:t>лекарственное средств</w:t>
      </w:r>
      <w:r w:rsidR="002B30C6">
        <w:rPr>
          <w:rFonts w:ascii="Times New Roman" w:hAnsi="Times New Roman"/>
          <w:sz w:val="28"/>
          <w:szCs w:val="28"/>
        </w:rPr>
        <w:t>о</w:t>
      </w:r>
      <w:r w:rsidRPr="000863D3">
        <w:rPr>
          <w:rFonts w:ascii="Times New Roman" w:hAnsi="Times New Roman"/>
          <w:sz w:val="28"/>
          <w:szCs w:val="28"/>
        </w:rPr>
        <w:t xml:space="preserve"> должно быть зарегистрировано в России; </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должен истечь срок эксклюзивности данных регистрационного досье оригинального </w:t>
      </w:r>
      <w:r w:rsidR="005458C3" w:rsidRPr="000863D3">
        <w:rPr>
          <w:rFonts w:ascii="Times New Roman" w:hAnsi="Times New Roman"/>
          <w:sz w:val="28"/>
          <w:szCs w:val="28"/>
        </w:rPr>
        <w:t>лекарственного средства</w:t>
      </w:r>
      <w:r w:rsidRPr="000863D3">
        <w:rPr>
          <w:rFonts w:ascii="Times New Roman" w:hAnsi="Times New Roman"/>
          <w:sz w:val="28"/>
          <w:szCs w:val="28"/>
        </w:rPr>
        <w:t xml:space="preserve">, который составляет не менее 6 лет с </w:t>
      </w:r>
      <w:r w:rsidR="005458C3" w:rsidRPr="000863D3">
        <w:rPr>
          <w:rFonts w:ascii="Times New Roman" w:hAnsi="Times New Roman"/>
          <w:sz w:val="28"/>
          <w:szCs w:val="28"/>
        </w:rPr>
        <w:t>даты</w:t>
      </w:r>
      <w:r w:rsidRPr="000863D3">
        <w:rPr>
          <w:rFonts w:ascii="Times New Roman" w:hAnsi="Times New Roman"/>
          <w:sz w:val="28"/>
          <w:szCs w:val="28"/>
        </w:rPr>
        <w:t xml:space="preserve"> его регистрации. При этом производитель оригинального </w:t>
      </w:r>
      <w:r w:rsidR="00176A70">
        <w:rPr>
          <w:rFonts w:ascii="Times New Roman" w:hAnsi="Times New Roman"/>
          <w:sz w:val="28"/>
          <w:szCs w:val="28"/>
        </w:rPr>
        <w:t>лекарственного средства</w:t>
      </w:r>
      <w:r w:rsidRPr="000863D3">
        <w:rPr>
          <w:rFonts w:ascii="Times New Roman" w:hAnsi="Times New Roman"/>
          <w:sz w:val="28"/>
          <w:szCs w:val="28"/>
        </w:rPr>
        <w:t xml:space="preserve"> всегда может отозвать регистрационное удостоверение. </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Таким образом, у компаний, производящих дженерики, зачастую отсутствует стимул к получению принудительной лицензии, т</w:t>
      </w:r>
      <w:r w:rsidR="005458C3" w:rsidRPr="000863D3">
        <w:rPr>
          <w:rFonts w:ascii="Times New Roman" w:hAnsi="Times New Roman"/>
          <w:sz w:val="28"/>
          <w:szCs w:val="28"/>
        </w:rPr>
        <w:t>ак</w:t>
      </w:r>
      <w:r w:rsidRPr="000863D3">
        <w:rPr>
          <w:rFonts w:ascii="Times New Roman" w:hAnsi="Times New Roman"/>
          <w:sz w:val="28"/>
          <w:szCs w:val="28"/>
        </w:rPr>
        <w:t xml:space="preserve"> к</w:t>
      </w:r>
      <w:r w:rsidR="005458C3" w:rsidRPr="000863D3">
        <w:rPr>
          <w:rFonts w:ascii="Times New Roman" w:hAnsi="Times New Roman"/>
          <w:sz w:val="28"/>
          <w:szCs w:val="28"/>
        </w:rPr>
        <w:t>ак</w:t>
      </w:r>
      <w:r w:rsidRPr="000863D3">
        <w:rPr>
          <w:rFonts w:ascii="Times New Roman" w:hAnsi="Times New Roman"/>
          <w:sz w:val="28"/>
          <w:szCs w:val="28"/>
        </w:rPr>
        <w:t xml:space="preserve"> перспективы запуска в производство соответствующего </w:t>
      </w:r>
      <w:r w:rsidR="005458C3" w:rsidRPr="000863D3">
        <w:rPr>
          <w:rFonts w:ascii="Times New Roman" w:hAnsi="Times New Roman"/>
          <w:sz w:val="28"/>
          <w:szCs w:val="28"/>
        </w:rPr>
        <w:t>лекарственного средства</w:t>
      </w:r>
      <w:r w:rsidRPr="000863D3">
        <w:rPr>
          <w:rFonts w:ascii="Times New Roman" w:hAnsi="Times New Roman"/>
          <w:sz w:val="28"/>
          <w:szCs w:val="28"/>
        </w:rPr>
        <w:t xml:space="preserve"> без существенных затрат на дополнительные локальные клинические исследования и регистрацию </w:t>
      </w:r>
      <w:r w:rsidR="005458C3" w:rsidRPr="000863D3">
        <w:rPr>
          <w:rFonts w:ascii="Times New Roman" w:hAnsi="Times New Roman"/>
          <w:sz w:val="28"/>
          <w:szCs w:val="28"/>
        </w:rPr>
        <w:t xml:space="preserve">лекарственного средства </w:t>
      </w:r>
      <w:r w:rsidRPr="000863D3">
        <w:rPr>
          <w:rFonts w:ascii="Times New Roman" w:hAnsi="Times New Roman"/>
          <w:sz w:val="28"/>
          <w:szCs w:val="28"/>
        </w:rPr>
        <w:t xml:space="preserve">не по упрощенной схеме сильно зависят в том числе от доброй воли производителя оригинального </w:t>
      </w:r>
      <w:r w:rsidR="005458C3" w:rsidRPr="000863D3">
        <w:rPr>
          <w:rFonts w:ascii="Times New Roman" w:hAnsi="Times New Roman"/>
          <w:sz w:val="28"/>
          <w:szCs w:val="28"/>
        </w:rPr>
        <w:t>лекарственного средства</w:t>
      </w:r>
      <w:r w:rsidRPr="000863D3">
        <w:rPr>
          <w:rFonts w:ascii="Times New Roman" w:hAnsi="Times New Roman"/>
          <w:sz w:val="28"/>
          <w:szCs w:val="28"/>
        </w:rPr>
        <w:t xml:space="preserve">. </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Инициатива ФАС России по внесению изменений в механизм принудительного лицензирования может объясняться в том числе текущей ситуацией в сфере здравоохранения. По официальным данным, в России наблюдается ежегодный рост новых</w:t>
      </w:r>
      <w:r w:rsidR="005458C3" w:rsidRPr="000863D3">
        <w:rPr>
          <w:rFonts w:ascii="Times New Roman" w:hAnsi="Times New Roman"/>
          <w:sz w:val="28"/>
          <w:szCs w:val="28"/>
        </w:rPr>
        <w:t xml:space="preserve"> случаев ВИЧ-инфекции </w:t>
      </w:r>
      <w:r w:rsidRPr="000863D3">
        <w:rPr>
          <w:rFonts w:ascii="Times New Roman" w:hAnsi="Times New Roman"/>
          <w:sz w:val="28"/>
          <w:szCs w:val="28"/>
        </w:rPr>
        <w:t>в среднем на 10</w:t>
      </w:r>
      <w:r w:rsidR="004D2C9E" w:rsidRPr="000863D3">
        <w:rPr>
          <w:rFonts w:ascii="Times New Roman" w:hAnsi="Times New Roman"/>
          <w:sz w:val="28"/>
          <w:szCs w:val="28"/>
        </w:rPr>
        <w:t> %</w:t>
      </w:r>
      <w:r w:rsidRPr="000863D3">
        <w:rPr>
          <w:rFonts w:ascii="Times New Roman" w:hAnsi="Times New Roman"/>
          <w:sz w:val="28"/>
          <w:szCs w:val="28"/>
        </w:rPr>
        <w:t xml:space="preserve"> в год. Также эксперты отмечают угрозу со стороны гепатита С: по оценкам, уже </w:t>
      </w:r>
      <w:r w:rsidR="005458C3" w:rsidRPr="000863D3">
        <w:rPr>
          <w:rFonts w:ascii="Times New Roman" w:hAnsi="Times New Roman"/>
          <w:sz w:val="28"/>
          <w:szCs w:val="28"/>
        </w:rPr>
        <w:t>более</w:t>
      </w:r>
      <w:r w:rsidRPr="000863D3">
        <w:rPr>
          <w:rFonts w:ascii="Times New Roman" w:hAnsi="Times New Roman"/>
          <w:sz w:val="28"/>
          <w:szCs w:val="28"/>
        </w:rPr>
        <w:t xml:space="preserve"> 3,6 млн российских граждан страдают от данной болезни.</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При этом ситуация осложняется отсутствием достаточного предложения и дороговизной препаратов для лечения данных заболеваний, что </w:t>
      </w:r>
      <w:r w:rsidR="005458C3" w:rsidRPr="000863D3">
        <w:rPr>
          <w:rFonts w:ascii="Times New Roman" w:hAnsi="Times New Roman"/>
          <w:sz w:val="28"/>
          <w:szCs w:val="28"/>
        </w:rPr>
        <w:t>также</w:t>
      </w:r>
      <w:r w:rsidRPr="000863D3">
        <w:rPr>
          <w:rFonts w:ascii="Times New Roman" w:hAnsi="Times New Roman"/>
          <w:sz w:val="28"/>
          <w:szCs w:val="28"/>
        </w:rPr>
        <w:t xml:space="preserve"> объясняется монопольным положением фармацевтических компаний, имеющих патент на соответствующие </w:t>
      </w:r>
      <w:r w:rsidR="00E456B0" w:rsidRPr="00E456B0">
        <w:rPr>
          <w:rFonts w:ascii="Times New Roman" w:hAnsi="Times New Roman"/>
          <w:sz w:val="28"/>
          <w:szCs w:val="28"/>
        </w:rPr>
        <w:t>лекарственно</w:t>
      </w:r>
      <w:r w:rsidR="00E456B0">
        <w:rPr>
          <w:rFonts w:ascii="Times New Roman" w:hAnsi="Times New Roman"/>
          <w:sz w:val="28"/>
          <w:szCs w:val="28"/>
        </w:rPr>
        <w:t>е</w:t>
      </w:r>
      <w:r w:rsidR="00E456B0" w:rsidRPr="00E456B0">
        <w:rPr>
          <w:rFonts w:ascii="Times New Roman" w:hAnsi="Times New Roman"/>
          <w:sz w:val="28"/>
          <w:szCs w:val="28"/>
        </w:rPr>
        <w:t xml:space="preserve"> средств</w:t>
      </w:r>
      <w:r w:rsidR="00E456B0">
        <w:rPr>
          <w:rFonts w:ascii="Times New Roman" w:hAnsi="Times New Roman"/>
          <w:sz w:val="28"/>
          <w:szCs w:val="28"/>
        </w:rPr>
        <w:t>о</w:t>
      </w:r>
      <w:r w:rsidRPr="000863D3">
        <w:rPr>
          <w:rFonts w:ascii="Times New Roman" w:hAnsi="Times New Roman"/>
          <w:sz w:val="28"/>
          <w:szCs w:val="28"/>
        </w:rPr>
        <w:t xml:space="preserve">. В частности, стоимость оригинального препарата </w:t>
      </w:r>
      <w:r w:rsidR="004D2C9E" w:rsidRPr="000863D3">
        <w:rPr>
          <w:rFonts w:ascii="Times New Roman" w:hAnsi="Times New Roman"/>
          <w:sz w:val="28"/>
          <w:szCs w:val="28"/>
        </w:rPr>
        <w:t>«</w:t>
      </w:r>
      <w:r w:rsidRPr="000863D3">
        <w:rPr>
          <w:rFonts w:ascii="Times New Roman" w:hAnsi="Times New Roman"/>
          <w:sz w:val="28"/>
          <w:szCs w:val="28"/>
        </w:rPr>
        <w:t>софосбувир</w:t>
      </w:r>
      <w:r w:rsidR="004D2C9E" w:rsidRPr="000863D3">
        <w:rPr>
          <w:rFonts w:ascii="Times New Roman" w:hAnsi="Times New Roman"/>
          <w:sz w:val="28"/>
          <w:szCs w:val="28"/>
        </w:rPr>
        <w:t>»</w:t>
      </w:r>
      <w:r w:rsidRPr="000863D3">
        <w:rPr>
          <w:rFonts w:ascii="Times New Roman" w:hAnsi="Times New Roman"/>
          <w:sz w:val="28"/>
          <w:szCs w:val="28"/>
        </w:rPr>
        <w:t xml:space="preserve">, наиболее эффективного </w:t>
      </w:r>
      <w:r w:rsidR="005458C3" w:rsidRPr="000863D3">
        <w:rPr>
          <w:rFonts w:ascii="Times New Roman" w:hAnsi="Times New Roman"/>
          <w:sz w:val="28"/>
          <w:szCs w:val="28"/>
        </w:rPr>
        <w:t>лекарственного средства</w:t>
      </w:r>
      <w:r w:rsidRPr="000863D3">
        <w:rPr>
          <w:rFonts w:ascii="Times New Roman" w:hAnsi="Times New Roman"/>
          <w:sz w:val="28"/>
          <w:szCs w:val="28"/>
        </w:rPr>
        <w:t xml:space="preserve"> для борьбы с </w:t>
      </w:r>
      <w:r w:rsidR="00EE7E9B">
        <w:rPr>
          <w:rFonts w:ascii="Times New Roman" w:hAnsi="Times New Roman"/>
          <w:sz w:val="28"/>
          <w:szCs w:val="28"/>
        </w:rPr>
        <w:t>г</w:t>
      </w:r>
      <w:r w:rsidRPr="000863D3">
        <w:rPr>
          <w:rFonts w:ascii="Times New Roman" w:hAnsi="Times New Roman"/>
          <w:sz w:val="28"/>
          <w:szCs w:val="28"/>
        </w:rPr>
        <w:t xml:space="preserve">епатитом С, в России в рамках госзакупки в сентябре 2017 года составила более 600 тыс. рублей за курс лечения (в США стоимость курса выше </w:t>
      </w:r>
      <w:r w:rsidR="00F9318B" w:rsidRPr="000863D3">
        <w:rPr>
          <w:rFonts w:ascii="Times New Roman" w:hAnsi="Times New Roman"/>
          <w:sz w:val="28"/>
          <w:szCs w:val="28"/>
        </w:rPr>
        <w:t>–</w:t>
      </w:r>
      <w:r w:rsidRPr="000863D3">
        <w:rPr>
          <w:rFonts w:ascii="Times New Roman" w:hAnsi="Times New Roman"/>
          <w:sz w:val="28"/>
          <w:szCs w:val="28"/>
        </w:rPr>
        <w:t xml:space="preserve"> от 84 тыс. долларов</w:t>
      </w:r>
      <w:r w:rsidR="002B30C6">
        <w:rPr>
          <w:rFonts w:ascii="Times New Roman" w:hAnsi="Times New Roman"/>
          <w:sz w:val="28"/>
          <w:szCs w:val="28"/>
        </w:rPr>
        <w:t xml:space="preserve"> США</w:t>
      </w:r>
      <w:r w:rsidRPr="000863D3">
        <w:rPr>
          <w:rFonts w:ascii="Times New Roman" w:hAnsi="Times New Roman"/>
          <w:sz w:val="28"/>
          <w:szCs w:val="28"/>
        </w:rPr>
        <w:t xml:space="preserve">). Данную закупку называют первым появлением препарата на рынке России. Цена индийского дженерика гораздо ниже </w:t>
      </w:r>
      <w:r w:rsidR="00F9318B" w:rsidRPr="000863D3">
        <w:rPr>
          <w:rFonts w:ascii="Times New Roman" w:hAnsi="Times New Roman"/>
          <w:sz w:val="28"/>
          <w:szCs w:val="28"/>
        </w:rPr>
        <w:t>–</w:t>
      </w:r>
      <w:r w:rsidRPr="000863D3">
        <w:rPr>
          <w:rFonts w:ascii="Times New Roman" w:hAnsi="Times New Roman"/>
          <w:sz w:val="28"/>
          <w:szCs w:val="28"/>
        </w:rPr>
        <w:t xml:space="preserve"> 40</w:t>
      </w:r>
      <w:r w:rsidR="00F9318B" w:rsidRPr="000863D3">
        <w:rPr>
          <w:rFonts w:ascii="Times New Roman" w:hAnsi="Times New Roman"/>
          <w:sz w:val="28"/>
          <w:szCs w:val="28"/>
        </w:rPr>
        <w:t>–</w:t>
      </w:r>
      <w:r w:rsidRPr="000863D3">
        <w:rPr>
          <w:rFonts w:ascii="Times New Roman" w:hAnsi="Times New Roman"/>
          <w:sz w:val="28"/>
          <w:szCs w:val="28"/>
        </w:rPr>
        <w:t xml:space="preserve">60 тыс. рублей, однако правообладатель, американская корпорация </w:t>
      </w:r>
      <w:r w:rsidR="004D2C9E" w:rsidRPr="000863D3">
        <w:rPr>
          <w:rFonts w:ascii="Times New Roman" w:hAnsi="Times New Roman"/>
          <w:sz w:val="28"/>
          <w:szCs w:val="28"/>
        </w:rPr>
        <w:t>«</w:t>
      </w:r>
      <w:r w:rsidRPr="000863D3">
        <w:rPr>
          <w:rFonts w:ascii="Times New Roman" w:hAnsi="Times New Roman"/>
          <w:sz w:val="28"/>
          <w:szCs w:val="28"/>
        </w:rPr>
        <w:t>Gilead</w:t>
      </w:r>
      <w:r w:rsidR="004D2C9E" w:rsidRPr="000863D3">
        <w:rPr>
          <w:rFonts w:ascii="Times New Roman" w:hAnsi="Times New Roman"/>
          <w:sz w:val="28"/>
          <w:szCs w:val="28"/>
        </w:rPr>
        <w:t>»</w:t>
      </w:r>
      <w:r w:rsidRPr="000863D3">
        <w:rPr>
          <w:rFonts w:ascii="Times New Roman" w:hAnsi="Times New Roman"/>
          <w:sz w:val="28"/>
          <w:szCs w:val="28"/>
        </w:rPr>
        <w:t>, ввел запрет на экспорт дженериков в страны с высоким и средним уровнем доход</w:t>
      </w:r>
      <w:r w:rsidR="005458C3" w:rsidRPr="000863D3">
        <w:rPr>
          <w:rFonts w:ascii="Times New Roman" w:hAnsi="Times New Roman"/>
          <w:sz w:val="28"/>
          <w:szCs w:val="28"/>
        </w:rPr>
        <w:t>ов</w:t>
      </w:r>
      <w:r w:rsidRPr="000863D3">
        <w:rPr>
          <w:rFonts w:ascii="Times New Roman" w:hAnsi="Times New Roman"/>
          <w:sz w:val="28"/>
          <w:szCs w:val="28"/>
        </w:rPr>
        <w:t xml:space="preserve">, в том числе в Россию. </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На территории России производство данного препарата также отсутствует, вследствие этого </w:t>
      </w:r>
      <w:r w:rsidR="004D2C9E" w:rsidRPr="000863D3">
        <w:rPr>
          <w:rFonts w:ascii="Times New Roman" w:hAnsi="Times New Roman"/>
          <w:sz w:val="28"/>
          <w:szCs w:val="28"/>
        </w:rPr>
        <w:t>«</w:t>
      </w:r>
      <w:r w:rsidRPr="000863D3">
        <w:rPr>
          <w:rFonts w:ascii="Times New Roman" w:hAnsi="Times New Roman"/>
          <w:sz w:val="28"/>
          <w:szCs w:val="28"/>
        </w:rPr>
        <w:t>Gilead</w:t>
      </w:r>
      <w:r w:rsidR="004D2C9E" w:rsidRPr="000863D3">
        <w:rPr>
          <w:rFonts w:ascii="Times New Roman" w:hAnsi="Times New Roman"/>
          <w:sz w:val="28"/>
          <w:szCs w:val="28"/>
        </w:rPr>
        <w:t>»</w:t>
      </w:r>
      <w:r w:rsidRPr="000863D3">
        <w:rPr>
          <w:rFonts w:ascii="Times New Roman" w:hAnsi="Times New Roman"/>
          <w:sz w:val="28"/>
          <w:szCs w:val="28"/>
        </w:rPr>
        <w:t xml:space="preserve"> в настоящее время является единственным поставщиком препарата </w:t>
      </w:r>
      <w:r w:rsidR="004D2C9E" w:rsidRPr="000863D3">
        <w:rPr>
          <w:rFonts w:ascii="Times New Roman" w:hAnsi="Times New Roman"/>
          <w:sz w:val="28"/>
          <w:szCs w:val="28"/>
        </w:rPr>
        <w:t>«</w:t>
      </w:r>
      <w:r w:rsidRPr="000863D3">
        <w:rPr>
          <w:rFonts w:ascii="Times New Roman" w:hAnsi="Times New Roman"/>
          <w:sz w:val="28"/>
          <w:szCs w:val="28"/>
        </w:rPr>
        <w:t>софосбувир</w:t>
      </w:r>
      <w:r w:rsidR="004D2C9E" w:rsidRPr="000863D3">
        <w:rPr>
          <w:rFonts w:ascii="Times New Roman" w:hAnsi="Times New Roman"/>
          <w:sz w:val="28"/>
          <w:szCs w:val="28"/>
        </w:rPr>
        <w:t>»</w:t>
      </w:r>
      <w:r w:rsidRPr="000863D3">
        <w:rPr>
          <w:rFonts w:ascii="Times New Roman" w:hAnsi="Times New Roman"/>
          <w:sz w:val="28"/>
          <w:szCs w:val="28"/>
        </w:rPr>
        <w:t xml:space="preserve"> на российском рынке.</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Зарубежный опыт показывает, что механизм принудительного лицензирования может быть ограничен сферой государственных закупок. В России значительные бюджетные средства в рамках проведения государственных закупок приходятся на покупку оригинальных препаратов с высокой стоимостью. Так, в количественном выражении оригинальные лекарственные средства в структуре госзакупок занимают 4,6</w:t>
      </w:r>
      <w:r w:rsidR="004D2C9E" w:rsidRPr="000863D3">
        <w:rPr>
          <w:rFonts w:ascii="Times New Roman" w:hAnsi="Times New Roman"/>
          <w:sz w:val="28"/>
          <w:szCs w:val="28"/>
        </w:rPr>
        <w:t> %</w:t>
      </w:r>
      <w:r w:rsidR="000841F2" w:rsidRPr="000863D3">
        <w:rPr>
          <w:rFonts w:ascii="Times New Roman" w:hAnsi="Times New Roman"/>
          <w:sz w:val="28"/>
          <w:szCs w:val="28"/>
        </w:rPr>
        <w:t>,</w:t>
      </w:r>
      <w:r w:rsidRPr="000863D3">
        <w:rPr>
          <w:rFonts w:ascii="Times New Roman" w:hAnsi="Times New Roman"/>
          <w:sz w:val="28"/>
          <w:szCs w:val="28"/>
        </w:rPr>
        <w:t xml:space="preserve"> по данным маркетингового агентства DSM Group за 2016 год, в стоимостном выражении их доля составляет 37,5</w:t>
      </w:r>
      <w:r w:rsidR="004D2C9E" w:rsidRPr="000863D3">
        <w:rPr>
          <w:rFonts w:ascii="Times New Roman" w:hAnsi="Times New Roman"/>
          <w:sz w:val="28"/>
          <w:szCs w:val="28"/>
        </w:rPr>
        <w:t> %</w:t>
      </w:r>
      <w:r w:rsidRPr="000863D3">
        <w:rPr>
          <w:rFonts w:ascii="Times New Roman" w:hAnsi="Times New Roman"/>
          <w:sz w:val="28"/>
          <w:szCs w:val="28"/>
        </w:rPr>
        <w:t>. Всего в 2016 году для больниц было закуплено 882,2</w:t>
      </w:r>
      <w:r w:rsidR="00993438" w:rsidRPr="000863D3">
        <w:rPr>
          <w:rFonts w:ascii="Times New Roman" w:hAnsi="Times New Roman"/>
          <w:sz w:val="28"/>
          <w:szCs w:val="28"/>
        </w:rPr>
        <w:t> </w:t>
      </w:r>
      <w:r w:rsidRPr="000863D3">
        <w:rPr>
          <w:rFonts w:ascii="Times New Roman" w:hAnsi="Times New Roman"/>
          <w:sz w:val="28"/>
          <w:szCs w:val="28"/>
        </w:rPr>
        <w:t>млн упаковок лекарственных средств</w:t>
      </w:r>
      <w:r w:rsidR="002B30C6">
        <w:rPr>
          <w:rFonts w:ascii="Times New Roman" w:hAnsi="Times New Roman"/>
          <w:sz w:val="28"/>
          <w:szCs w:val="28"/>
        </w:rPr>
        <w:t>.</w:t>
      </w:r>
    </w:p>
    <w:p w:rsidR="0068434D" w:rsidRPr="000863D3" w:rsidRDefault="0068434D" w:rsidP="000863D3">
      <w:pPr>
        <w:spacing w:after="0" w:line="240" w:lineRule="auto"/>
        <w:ind w:firstLine="709"/>
        <w:jc w:val="both"/>
        <w:rPr>
          <w:rFonts w:ascii="Times New Roman" w:hAnsi="Times New Roman"/>
          <w:sz w:val="28"/>
          <w:szCs w:val="28"/>
        </w:rPr>
      </w:pPr>
      <w:r w:rsidRPr="000863D3">
        <w:rPr>
          <w:rFonts w:ascii="Times New Roman" w:hAnsi="Times New Roman"/>
          <w:sz w:val="28"/>
          <w:szCs w:val="28"/>
        </w:rPr>
        <w:t xml:space="preserve">Принятие </w:t>
      </w:r>
      <w:r w:rsidR="000841F2" w:rsidRPr="000863D3">
        <w:rPr>
          <w:rFonts w:ascii="Times New Roman" w:hAnsi="Times New Roman"/>
          <w:sz w:val="28"/>
          <w:szCs w:val="28"/>
        </w:rPr>
        <w:t>данного Федерального закона</w:t>
      </w:r>
      <w:r w:rsidRPr="000863D3">
        <w:rPr>
          <w:rFonts w:ascii="Times New Roman" w:hAnsi="Times New Roman"/>
          <w:sz w:val="28"/>
          <w:szCs w:val="28"/>
        </w:rPr>
        <w:t xml:space="preserve"> в России позволит снизить уровень зависимости Российской Федерации от иностранных патентообладателей, что, в свою очередь, повысит уровень экономической безопасности Российской Федерации.</w:t>
      </w:r>
    </w:p>
    <w:p w:rsidR="0068434D" w:rsidRPr="000863D3" w:rsidRDefault="003611BB" w:rsidP="000863D3">
      <w:pPr>
        <w:pStyle w:val="3"/>
        <w:ind w:firstLine="0"/>
        <w:jc w:val="center"/>
      </w:pPr>
      <w:bookmarkStart w:id="18" w:name="_Toc526253888"/>
      <w:r w:rsidRPr="000863D3">
        <w:t>2.</w:t>
      </w:r>
      <w:r w:rsidR="004D2C9E" w:rsidRPr="000863D3">
        <w:t>3.7. </w:t>
      </w:r>
      <w:r w:rsidR="0068434D" w:rsidRPr="000863D3">
        <w:t>Оценка готовности конкурентного законодательства к новым вызовам и необходимости внесения изменений в законодательство</w:t>
      </w:r>
      <w:bookmarkEnd w:id="18"/>
    </w:p>
    <w:p w:rsidR="0068434D" w:rsidRPr="000863D3" w:rsidRDefault="0068434D" w:rsidP="000863D3">
      <w:pPr>
        <w:pStyle w:val="4"/>
      </w:pPr>
      <w:r w:rsidRPr="000863D3">
        <w:t>Республика Беларусь</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Создание системы эффективного развития рынков в условиях цифровой экономики нецеле</w:t>
      </w:r>
      <w:r w:rsidR="000841F2" w:rsidRPr="000863D3">
        <w:rPr>
          <w:rFonts w:ascii="Times New Roman" w:hAnsi="Times New Roman"/>
          <w:color w:val="000000"/>
          <w:sz w:val="28"/>
          <w:szCs w:val="28"/>
        </w:rPr>
        <w:t>сообразно без совершенствования</w:t>
      </w:r>
      <w:r w:rsidRPr="000863D3">
        <w:rPr>
          <w:rFonts w:ascii="Times New Roman" w:hAnsi="Times New Roman"/>
          <w:color w:val="000000"/>
          <w:sz w:val="28"/>
          <w:szCs w:val="28"/>
        </w:rPr>
        <w:t xml:space="preserve"> в том числе антимонопольного законодательства.</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В условиях присутствия международных транснациональных компаний практически на всех цифровых рынках для обеспечения контроля исполнения иностранными хозяйствующими субъектами предписаний за нарушения антимонопольного законодательства необходим достаточный инструментарий, что является важным элементом системы защиты конкуренции на рынках цифровой экономики, в существенно меньшей степени зависящей от государственных границ.</w:t>
      </w:r>
    </w:p>
    <w:p w:rsidR="0068434D" w:rsidRPr="000863D3" w:rsidRDefault="000841F2"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 xml:space="preserve">В связи с этим </w:t>
      </w:r>
      <w:r w:rsidR="0068434D" w:rsidRPr="000863D3">
        <w:rPr>
          <w:rFonts w:ascii="Times New Roman" w:hAnsi="Times New Roman"/>
          <w:color w:val="000000"/>
          <w:sz w:val="28"/>
          <w:szCs w:val="28"/>
        </w:rPr>
        <w:t>необходимо:</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снятие ограничений на действия по осуществлению интеллектуальных прав;</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пересмотр установленной процедуры рассмотрения сделок, в том числе в части увеличения сроков рассмотрения, возможности ознакомления третьих лиц с конфиденциальной информацией на основе обязательств о неразглашении, проведения слушаний по сделке с привлечением заинтересованных лиц и т.д.;</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совершенствование процедур установления доминирующего положения на товарных рынках.</w:t>
      </w:r>
    </w:p>
    <w:p w:rsidR="0068434D" w:rsidRPr="000863D3" w:rsidRDefault="0068434D" w:rsidP="000863D3">
      <w:pPr>
        <w:pStyle w:val="4"/>
      </w:pPr>
      <w:r w:rsidRPr="000863D3">
        <w:t>Российская Федерация</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Учитывая необходимость создания системы эффективного развития рынков в системе координат новой цифровой экономики, очевидно, что существующее антимонопольное законодательство требует совершенствования.</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Антимонопольный орган не имеет действенного инструментария для обеспечения контроля исполнения условий предписаний иностранными хозяйствующими субъектами, что является необходимым элементом сбалансированной системы защиты конкуренции на рынках цифровой экономики, в существенно меньшей степени зависящей от государственных границ.</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В связи с этим, по мнению ФАС России, необходимо:</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снятие ограничений на действия по осуществлению интеллектуальных прав;</w:t>
      </w:r>
    </w:p>
    <w:p w:rsidR="0068434D" w:rsidRPr="000863D3" w:rsidRDefault="0068434D"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пересмотр установленной процедуры рассмотрения сделок, в том числе в части увеличения сроков рассмотрения, возможности ознакомления третьих лиц с конфиденциальной информацией на основе обязательств о неразглашении, проведения слушаний по сделке с привлечением заинтересованных лиц и т.д</w:t>
      </w:r>
      <w:r w:rsidR="00993438" w:rsidRPr="000863D3">
        <w:rPr>
          <w:rFonts w:ascii="Times New Roman" w:hAnsi="Times New Roman"/>
          <w:color w:val="000000"/>
          <w:sz w:val="28"/>
          <w:szCs w:val="28"/>
        </w:rPr>
        <w:t>.</w:t>
      </w:r>
      <w:r w:rsidRPr="000863D3">
        <w:rPr>
          <w:rFonts w:ascii="Times New Roman" w:hAnsi="Times New Roman"/>
          <w:color w:val="000000"/>
          <w:sz w:val="28"/>
          <w:szCs w:val="28"/>
        </w:rPr>
        <w:t>;</w:t>
      </w:r>
    </w:p>
    <w:p w:rsidR="0068434D" w:rsidRPr="000863D3" w:rsidRDefault="00A91471" w:rsidP="000863D3">
      <w:pPr>
        <w:pStyle w:val="a8"/>
        <w:widowControl/>
        <w:shd w:val="clear" w:color="auto" w:fill="FFFFFF"/>
        <w:ind w:firstLine="709"/>
        <w:jc w:val="both"/>
        <w:rPr>
          <w:rFonts w:ascii="Times New Roman" w:hAnsi="Times New Roman"/>
          <w:color w:val="000000"/>
          <w:sz w:val="28"/>
          <w:szCs w:val="28"/>
        </w:rPr>
      </w:pPr>
      <w:r w:rsidRPr="000863D3">
        <w:rPr>
          <w:rFonts w:ascii="Times New Roman" w:hAnsi="Times New Roman"/>
          <w:color w:val="000000"/>
          <w:sz w:val="28"/>
          <w:szCs w:val="28"/>
        </w:rPr>
        <w:t>с</w:t>
      </w:r>
      <w:r w:rsidR="0068434D" w:rsidRPr="000863D3">
        <w:rPr>
          <w:rFonts w:ascii="Times New Roman" w:hAnsi="Times New Roman"/>
          <w:color w:val="000000"/>
          <w:sz w:val="28"/>
          <w:szCs w:val="28"/>
        </w:rPr>
        <w:t>овершенствование процедур анализа состояния конкуренции на товарных рынках, установлени</w:t>
      </w:r>
      <w:r w:rsidR="000841F2" w:rsidRPr="000863D3">
        <w:rPr>
          <w:rFonts w:ascii="Times New Roman" w:hAnsi="Times New Roman"/>
          <w:color w:val="000000"/>
          <w:sz w:val="28"/>
          <w:szCs w:val="28"/>
        </w:rPr>
        <w:t>е</w:t>
      </w:r>
      <w:r w:rsidR="0068434D" w:rsidRPr="000863D3">
        <w:rPr>
          <w:rFonts w:ascii="Times New Roman" w:hAnsi="Times New Roman"/>
          <w:color w:val="000000"/>
          <w:sz w:val="28"/>
          <w:szCs w:val="28"/>
        </w:rPr>
        <w:t xml:space="preserve"> доминирующего положения на товарных рынках в случае существенного влияния </w:t>
      </w:r>
      <w:r w:rsidR="004D2C9E" w:rsidRPr="000863D3">
        <w:rPr>
          <w:rFonts w:ascii="Times New Roman" w:hAnsi="Times New Roman"/>
          <w:color w:val="000000"/>
          <w:sz w:val="28"/>
          <w:szCs w:val="28"/>
        </w:rPr>
        <w:t>«</w:t>
      </w:r>
      <w:r w:rsidR="0068434D" w:rsidRPr="000863D3">
        <w:rPr>
          <w:rFonts w:ascii="Times New Roman" w:hAnsi="Times New Roman"/>
          <w:color w:val="000000"/>
          <w:sz w:val="28"/>
          <w:szCs w:val="28"/>
        </w:rPr>
        <w:t>цифровых факторов</w:t>
      </w:r>
      <w:r w:rsidR="004D2C9E" w:rsidRPr="000863D3">
        <w:rPr>
          <w:rFonts w:ascii="Times New Roman" w:hAnsi="Times New Roman"/>
          <w:color w:val="000000"/>
          <w:sz w:val="28"/>
          <w:szCs w:val="28"/>
        </w:rPr>
        <w:t>»</w:t>
      </w:r>
      <w:r w:rsidR="0068434D" w:rsidRPr="000863D3">
        <w:rPr>
          <w:rFonts w:ascii="Times New Roman" w:hAnsi="Times New Roman"/>
          <w:color w:val="000000"/>
          <w:sz w:val="28"/>
          <w:szCs w:val="28"/>
        </w:rPr>
        <w:t>, таких как сетевые эффекты;</w:t>
      </w:r>
    </w:p>
    <w:p w:rsidR="0068434D" w:rsidRPr="000863D3" w:rsidRDefault="0068434D" w:rsidP="00961BCD">
      <w:pPr>
        <w:pStyle w:val="a8"/>
        <w:widowControl/>
        <w:shd w:val="clear" w:color="auto" w:fill="FFFFFF"/>
        <w:spacing w:line="315" w:lineRule="exact"/>
        <w:ind w:firstLine="709"/>
        <w:jc w:val="both"/>
        <w:rPr>
          <w:rFonts w:ascii="Times New Roman" w:hAnsi="Times New Roman"/>
          <w:color w:val="000000"/>
          <w:sz w:val="28"/>
          <w:szCs w:val="28"/>
        </w:rPr>
      </w:pPr>
      <w:r w:rsidRPr="000863D3">
        <w:rPr>
          <w:rFonts w:ascii="Times New Roman" w:hAnsi="Times New Roman"/>
          <w:color w:val="000000"/>
          <w:sz w:val="28"/>
          <w:szCs w:val="28"/>
        </w:rPr>
        <w:t>в случае неисполнения лицом выданного по результатам рассмотрения ходатайства предписания антимонопольного органа предоставление антимонопольному органу права обратиться в суд о принудительном лицензировании объектов интеллектуальных прав, принадлежащих иностранным хозяйствующим субъектам, не исполняющим выданное при рассмотрении сделки по экономической концентрации предписание антимонопольного органа, без их согласия, на условиях, определенных антимонопольным органом или о запрете оборота товара или товаров на территории Российской Федерации, производимых таким иностранным хозяйствующим субъектом (ограничение доступа к программному обеспечению, товарам и услугам, пр</w:t>
      </w:r>
      <w:r w:rsidR="000841F2" w:rsidRPr="000863D3">
        <w:rPr>
          <w:rFonts w:ascii="Times New Roman" w:hAnsi="Times New Roman"/>
          <w:color w:val="000000"/>
          <w:sz w:val="28"/>
          <w:szCs w:val="28"/>
        </w:rPr>
        <w:t xml:space="preserve">едоставляемым с использованием </w:t>
      </w:r>
      <w:r w:rsidRPr="000863D3">
        <w:rPr>
          <w:rFonts w:ascii="Times New Roman" w:hAnsi="Times New Roman"/>
          <w:color w:val="000000"/>
          <w:sz w:val="28"/>
          <w:szCs w:val="28"/>
        </w:rPr>
        <w:t>Интернет</w:t>
      </w:r>
      <w:r w:rsidR="000841F2" w:rsidRPr="000863D3">
        <w:rPr>
          <w:rFonts w:ascii="Times New Roman" w:hAnsi="Times New Roman"/>
          <w:color w:val="000000"/>
          <w:sz w:val="28"/>
          <w:szCs w:val="28"/>
        </w:rPr>
        <w:t>а</w:t>
      </w:r>
      <w:r w:rsidRPr="000863D3">
        <w:rPr>
          <w:rFonts w:ascii="Times New Roman" w:hAnsi="Times New Roman"/>
          <w:color w:val="000000"/>
          <w:sz w:val="28"/>
          <w:szCs w:val="28"/>
        </w:rPr>
        <w:t xml:space="preserve"> на территории Российской Федерации);</w:t>
      </w:r>
    </w:p>
    <w:p w:rsidR="0068434D" w:rsidRPr="000863D3" w:rsidRDefault="0068434D" w:rsidP="00961BCD">
      <w:pPr>
        <w:pStyle w:val="a8"/>
        <w:widowControl/>
        <w:shd w:val="clear" w:color="auto" w:fill="FFFFFF"/>
        <w:spacing w:line="315" w:lineRule="exact"/>
        <w:ind w:firstLine="709"/>
        <w:jc w:val="both"/>
        <w:rPr>
          <w:rFonts w:ascii="Times New Roman" w:hAnsi="Times New Roman"/>
          <w:color w:val="000000"/>
          <w:sz w:val="28"/>
          <w:szCs w:val="28"/>
        </w:rPr>
      </w:pPr>
      <w:r w:rsidRPr="000863D3">
        <w:rPr>
          <w:rFonts w:ascii="Times New Roman" w:hAnsi="Times New Roman"/>
          <w:color w:val="000000"/>
          <w:sz w:val="28"/>
          <w:szCs w:val="28"/>
        </w:rPr>
        <w:t>ужесточение ответственности за заключение и реализацию антиконкурентных соглашений и осуществление незаконной координации экономической деятельности с использованием программного обеспечения (ценовых алгоритмов и аукционных роботов);</w:t>
      </w:r>
    </w:p>
    <w:p w:rsidR="0068434D" w:rsidRPr="000863D3" w:rsidRDefault="0068434D" w:rsidP="00961BCD">
      <w:pPr>
        <w:pStyle w:val="a8"/>
        <w:widowControl/>
        <w:shd w:val="clear" w:color="auto" w:fill="FFFFFF"/>
        <w:spacing w:line="315" w:lineRule="exact"/>
        <w:ind w:firstLine="709"/>
        <w:jc w:val="both"/>
        <w:rPr>
          <w:rFonts w:ascii="Times New Roman" w:hAnsi="Times New Roman"/>
          <w:color w:val="000000"/>
          <w:sz w:val="28"/>
          <w:szCs w:val="28"/>
        </w:rPr>
      </w:pPr>
      <w:r w:rsidRPr="000863D3">
        <w:rPr>
          <w:rFonts w:ascii="Times New Roman" w:hAnsi="Times New Roman"/>
          <w:color w:val="000000"/>
          <w:sz w:val="28"/>
          <w:szCs w:val="28"/>
        </w:rPr>
        <w:t>введение запрета и установлени</w:t>
      </w:r>
      <w:r w:rsidR="000841F2" w:rsidRPr="000863D3">
        <w:rPr>
          <w:rFonts w:ascii="Times New Roman" w:hAnsi="Times New Roman"/>
          <w:color w:val="000000"/>
          <w:sz w:val="28"/>
          <w:szCs w:val="28"/>
        </w:rPr>
        <w:t>е</w:t>
      </w:r>
      <w:r w:rsidRPr="000863D3">
        <w:rPr>
          <w:rFonts w:ascii="Times New Roman" w:hAnsi="Times New Roman"/>
          <w:color w:val="000000"/>
          <w:sz w:val="28"/>
          <w:szCs w:val="28"/>
        </w:rPr>
        <w:t xml:space="preserve"> ответственности за соучастие в незаконной координации экономической деятельности (пут</w:t>
      </w:r>
      <w:r w:rsidR="000841F2" w:rsidRPr="000863D3">
        <w:rPr>
          <w:rFonts w:ascii="Times New Roman" w:hAnsi="Times New Roman"/>
          <w:color w:val="000000"/>
          <w:sz w:val="28"/>
          <w:szCs w:val="28"/>
        </w:rPr>
        <w:t>е</w:t>
      </w:r>
      <w:r w:rsidRPr="000863D3">
        <w:rPr>
          <w:rFonts w:ascii="Times New Roman" w:hAnsi="Times New Roman"/>
          <w:color w:val="000000"/>
          <w:sz w:val="28"/>
          <w:szCs w:val="28"/>
        </w:rPr>
        <w:t>м использования ценовых алгоритмов для формирования отч</w:t>
      </w:r>
      <w:r w:rsidR="000841F2" w:rsidRPr="000863D3">
        <w:rPr>
          <w:rFonts w:ascii="Times New Roman" w:hAnsi="Times New Roman"/>
          <w:color w:val="000000"/>
          <w:sz w:val="28"/>
          <w:szCs w:val="28"/>
        </w:rPr>
        <w:t>е</w:t>
      </w:r>
      <w:r w:rsidRPr="000863D3">
        <w:rPr>
          <w:rFonts w:ascii="Times New Roman" w:hAnsi="Times New Roman"/>
          <w:color w:val="000000"/>
          <w:sz w:val="28"/>
          <w:szCs w:val="28"/>
        </w:rPr>
        <w:t>тов о ценах на рынке, используемых координатором при контроле за ценами и приведения их к определённому уровню).</w:t>
      </w:r>
    </w:p>
    <w:p w:rsidR="0068434D" w:rsidRPr="000863D3" w:rsidRDefault="0068434D" w:rsidP="00961BCD">
      <w:pPr>
        <w:pStyle w:val="a8"/>
        <w:widowControl/>
        <w:shd w:val="clear" w:color="auto" w:fill="FFFFFF"/>
        <w:spacing w:line="315" w:lineRule="exact"/>
        <w:ind w:firstLine="709"/>
        <w:jc w:val="both"/>
        <w:rPr>
          <w:rFonts w:ascii="Times New Roman" w:hAnsi="Times New Roman"/>
          <w:color w:val="000000"/>
          <w:sz w:val="28"/>
          <w:szCs w:val="28"/>
        </w:rPr>
      </w:pPr>
      <w:r w:rsidRPr="000863D3">
        <w:rPr>
          <w:rFonts w:ascii="Times New Roman" w:hAnsi="Times New Roman"/>
          <w:color w:val="000000"/>
          <w:sz w:val="28"/>
          <w:szCs w:val="28"/>
        </w:rPr>
        <w:t>Безусловно, антимонопольное регулирование должно быть основано на принципах разумности и поощрения инноваций.</w:t>
      </w:r>
    </w:p>
    <w:p w:rsidR="0068434D" w:rsidRDefault="003611BB" w:rsidP="00961BCD">
      <w:pPr>
        <w:pStyle w:val="2"/>
        <w:spacing w:line="315" w:lineRule="exact"/>
      </w:pPr>
      <w:bookmarkStart w:id="19" w:name="_Toc526253889"/>
      <w:r>
        <w:t>2.</w:t>
      </w:r>
      <w:r w:rsidR="004D2C9E">
        <w:t>4. </w:t>
      </w:r>
      <w:r w:rsidR="0068434D" w:rsidRPr="00AB1909">
        <w:t xml:space="preserve">Важные инициативы, которые влияют или могут повлиять </w:t>
      </w:r>
      <w:r w:rsidR="004D2C9E">
        <w:br/>
      </w:r>
      <w:r w:rsidR="0068434D" w:rsidRPr="00AB1909">
        <w:t>на развитие конкуренции, функционирование цифровой экономики, оценка их разработки и реализации</w:t>
      </w:r>
      <w:bookmarkEnd w:id="19"/>
    </w:p>
    <w:p w:rsidR="0068434D" w:rsidRDefault="003611BB" w:rsidP="00961BCD">
      <w:pPr>
        <w:pStyle w:val="3"/>
        <w:spacing w:line="315" w:lineRule="exact"/>
        <w:ind w:firstLine="0"/>
        <w:jc w:val="center"/>
      </w:pPr>
      <w:bookmarkStart w:id="20" w:name="_Toc526253890"/>
      <w:r>
        <w:t>2.</w:t>
      </w:r>
      <w:r w:rsidR="004D2C9E">
        <w:t>4.</w:t>
      </w:r>
      <w:r w:rsidR="0068434D">
        <w:t>1.</w:t>
      </w:r>
      <w:r w:rsidR="004D2C9E">
        <w:t> </w:t>
      </w:r>
      <w:r w:rsidR="0068434D" w:rsidRPr="00222999">
        <w:t xml:space="preserve">Цифровизация государственных процессов </w:t>
      </w:r>
      <w:r w:rsidR="00961BCD">
        <w:br/>
      </w:r>
      <w:r w:rsidR="00961BCD" w:rsidRPr="00222999">
        <w:t xml:space="preserve">предоставления прав </w:t>
      </w:r>
      <w:r w:rsidR="0068434D" w:rsidRPr="00222999">
        <w:t xml:space="preserve">в отношении государственного имущества, </w:t>
      </w:r>
      <w:r w:rsidR="00961BCD">
        <w:br/>
      </w:r>
      <w:r w:rsidR="0068434D" w:rsidRPr="00222999">
        <w:t>имуществ</w:t>
      </w:r>
      <w:r w:rsidR="00A91471">
        <w:t>енных прав и природных ресурсов</w:t>
      </w:r>
      <w:bookmarkEnd w:id="20"/>
    </w:p>
    <w:p w:rsidR="0068434D" w:rsidRPr="00372C37" w:rsidRDefault="0068434D" w:rsidP="00483209">
      <w:pPr>
        <w:pStyle w:val="a8"/>
        <w:widowControl/>
        <w:ind w:firstLine="709"/>
        <w:jc w:val="both"/>
        <w:rPr>
          <w:rFonts w:ascii="Times New Roman" w:hAnsi="Times New Roman"/>
          <w:color w:val="000000"/>
          <w:sz w:val="28"/>
          <w:szCs w:val="28"/>
        </w:rPr>
      </w:pPr>
      <w:r w:rsidRPr="00372C37">
        <w:rPr>
          <w:rFonts w:ascii="Times New Roman" w:hAnsi="Times New Roman"/>
          <w:color w:val="000000"/>
          <w:sz w:val="28"/>
          <w:szCs w:val="28"/>
        </w:rPr>
        <w:t>В мировой практике процедуры закуп</w:t>
      </w:r>
      <w:r w:rsidR="000841F2">
        <w:rPr>
          <w:rFonts w:ascii="Times New Roman" w:hAnsi="Times New Roman"/>
          <w:color w:val="000000"/>
          <w:sz w:val="28"/>
          <w:szCs w:val="28"/>
        </w:rPr>
        <w:t>ок</w:t>
      </w:r>
      <w:r w:rsidRPr="00372C37">
        <w:rPr>
          <w:rFonts w:ascii="Times New Roman" w:hAnsi="Times New Roman"/>
          <w:color w:val="000000"/>
          <w:sz w:val="28"/>
          <w:szCs w:val="28"/>
        </w:rPr>
        <w:t xml:space="preserve"> товаров, работ и услуг</w:t>
      </w:r>
      <w:r w:rsidR="00636F0D">
        <w:rPr>
          <w:rFonts w:ascii="Times New Roman" w:hAnsi="Times New Roman"/>
          <w:color w:val="000000"/>
          <w:sz w:val="28"/>
          <w:szCs w:val="28"/>
        </w:rPr>
        <w:t xml:space="preserve"> </w:t>
      </w:r>
      <w:r w:rsidRPr="00372C37">
        <w:rPr>
          <w:rFonts w:ascii="Times New Roman" w:hAnsi="Times New Roman"/>
          <w:color w:val="000000"/>
          <w:sz w:val="28"/>
          <w:szCs w:val="28"/>
        </w:rPr>
        <w:t>недропользователями, представляющими частный сектор, не относятся к сфере государственного регулирования, поскольку вопросы оправданно</w:t>
      </w:r>
      <w:r w:rsidR="000841F2">
        <w:rPr>
          <w:rFonts w:ascii="Times New Roman" w:hAnsi="Times New Roman"/>
          <w:color w:val="000000"/>
          <w:sz w:val="28"/>
          <w:szCs w:val="28"/>
        </w:rPr>
        <w:t>й</w:t>
      </w:r>
      <w:r w:rsidRPr="00372C37">
        <w:rPr>
          <w:rFonts w:ascii="Times New Roman" w:hAnsi="Times New Roman"/>
          <w:color w:val="000000"/>
          <w:sz w:val="28"/>
          <w:szCs w:val="28"/>
        </w:rPr>
        <w:t xml:space="preserve"> и эффективно</w:t>
      </w:r>
      <w:r w:rsidR="000841F2">
        <w:rPr>
          <w:rFonts w:ascii="Times New Roman" w:hAnsi="Times New Roman"/>
          <w:color w:val="000000"/>
          <w:sz w:val="28"/>
          <w:szCs w:val="28"/>
        </w:rPr>
        <w:t>й</w:t>
      </w:r>
      <w:r w:rsidRPr="00372C37">
        <w:rPr>
          <w:rFonts w:ascii="Times New Roman" w:hAnsi="Times New Roman"/>
          <w:color w:val="000000"/>
          <w:sz w:val="28"/>
          <w:szCs w:val="28"/>
        </w:rPr>
        <w:t xml:space="preserve"> закуп</w:t>
      </w:r>
      <w:r w:rsidR="000841F2">
        <w:rPr>
          <w:rFonts w:ascii="Times New Roman" w:hAnsi="Times New Roman"/>
          <w:color w:val="000000"/>
          <w:sz w:val="28"/>
          <w:szCs w:val="28"/>
        </w:rPr>
        <w:t>ки</w:t>
      </w:r>
      <w:r w:rsidRPr="00372C37">
        <w:rPr>
          <w:rFonts w:ascii="Times New Roman" w:hAnsi="Times New Roman"/>
          <w:color w:val="000000"/>
          <w:sz w:val="28"/>
          <w:szCs w:val="28"/>
        </w:rPr>
        <w:t xml:space="preserve"> являются исключительной сферой интересов и прерогативой недропользователя и его акционеров (участников). Законодательная регламентация данных процедур дает обратный эффект, неоправданно затрудняя повседневную деятельность частных недропользователей, создавая условия для коррупции. Существуют механизмы добровольного регулирования закупок недропользователями в сфере углеводородов. В сфере твердых полезных ископаемых, как правило, регулирование отсутствует.</w:t>
      </w:r>
      <w:r w:rsidR="004D2C9E">
        <w:rPr>
          <w:rFonts w:ascii="Times New Roman" w:hAnsi="Times New Roman"/>
          <w:color w:val="000000"/>
          <w:sz w:val="28"/>
          <w:szCs w:val="28"/>
        </w:rPr>
        <w:t xml:space="preserve"> </w:t>
      </w:r>
    </w:p>
    <w:p w:rsidR="0068434D" w:rsidRPr="00372C37" w:rsidRDefault="000841F2" w:rsidP="00483209">
      <w:pPr>
        <w:pStyle w:val="a8"/>
        <w:widowControl/>
        <w:ind w:firstLine="709"/>
        <w:jc w:val="both"/>
        <w:rPr>
          <w:rFonts w:ascii="Times New Roman" w:hAnsi="Times New Roman"/>
          <w:color w:val="000000"/>
          <w:sz w:val="28"/>
          <w:szCs w:val="28"/>
        </w:rPr>
      </w:pPr>
      <w:r>
        <w:rPr>
          <w:rFonts w:ascii="Times New Roman" w:hAnsi="Times New Roman"/>
          <w:color w:val="000000"/>
          <w:sz w:val="28"/>
          <w:szCs w:val="28"/>
        </w:rPr>
        <w:t>Согласно мнению экспертов ОЭСР</w:t>
      </w:r>
      <w:r w:rsidR="0068434D" w:rsidRPr="00372C37">
        <w:rPr>
          <w:rFonts w:ascii="Times New Roman" w:hAnsi="Times New Roman"/>
          <w:color w:val="000000"/>
          <w:sz w:val="28"/>
          <w:szCs w:val="28"/>
        </w:rPr>
        <w:t xml:space="preserve"> мировая практика стимулирования развития местных производителей </w:t>
      </w:r>
      <w:r>
        <w:rPr>
          <w:rFonts w:ascii="Times New Roman" w:hAnsi="Times New Roman"/>
          <w:color w:val="000000"/>
          <w:sz w:val="28"/>
          <w:szCs w:val="28"/>
        </w:rPr>
        <w:t xml:space="preserve">товаров, работ и услуг </w:t>
      </w:r>
      <w:r w:rsidR="0068434D" w:rsidRPr="00372C37">
        <w:rPr>
          <w:rFonts w:ascii="Times New Roman" w:hAnsi="Times New Roman"/>
          <w:color w:val="000000"/>
          <w:sz w:val="28"/>
          <w:szCs w:val="28"/>
        </w:rPr>
        <w:t xml:space="preserve">и местных кадров основывается не на требованиях, устанавливаемых государством в одностороннем порядке, а на создании предпосылок и условий по производству местными поставщиками качественных </w:t>
      </w:r>
      <w:r w:rsidRPr="000841F2">
        <w:rPr>
          <w:rFonts w:ascii="Times New Roman" w:hAnsi="Times New Roman"/>
          <w:color w:val="000000"/>
          <w:sz w:val="28"/>
          <w:szCs w:val="28"/>
        </w:rPr>
        <w:t>товаров, работ и услуг</w:t>
      </w:r>
      <w:r w:rsidR="00636F0D">
        <w:rPr>
          <w:rFonts w:ascii="Times New Roman" w:hAnsi="Times New Roman"/>
          <w:color w:val="000000"/>
          <w:sz w:val="28"/>
          <w:szCs w:val="28"/>
        </w:rPr>
        <w:t xml:space="preserve"> </w:t>
      </w:r>
      <w:r w:rsidR="0068434D" w:rsidRPr="00372C37">
        <w:rPr>
          <w:rFonts w:ascii="Times New Roman" w:hAnsi="Times New Roman"/>
          <w:color w:val="000000"/>
          <w:sz w:val="28"/>
          <w:szCs w:val="28"/>
        </w:rPr>
        <w:t>и подготовке местных кадров, востребованных в частном секторе. При этом избыточное государственное регулирование в сфере закупок, которое неизбежно происходит при унификации процедур закупок, в средне</w:t>
      </w:r>
      <w:r w:rsidR="00E456B0">
        <w:rPr>
          <w:rFonts w:ascii="Times New Roman" w:hAnsi="Times New Roman"/>
          <w:color w:val="000000"/>
          <w:sz w:val="28"/>
          <w:szCs w:val="28"/>
        </w:rPr>
        <w:t>-</w:t>
      </w:r>
      <w:r w:rsidR="0068434D" w:rsidRPr="00372C37">
        <w:rPr>
          <w:rFonts w:ascii="Times New Roman" w:hAnsi="Times New Roman"/>
          <w:color w:val="000000"/>
          <w:sz w:val="28"/>
          <w:szCs w:val="28"/>
        </w:rPr>
        <w:t xml:space="preserve"> и долгосрочной перспективе негативно влияет не только на недропользователей, но и на поставщиков </w:t>
      </w:r>
      <w:r>
        <w:rPr>
          <w:rFonts w:ascii="Times New Roman" w:hAnsi="Times New Roman"/>
          <w:color w:val="000000"/>
          <w:sz w:val="28"/>
          <w:szCs w:val="28"/>
        </w:rPr>
        <w:t>товаров, работ и услуг</w:t>
      </w:r>
      <w:r w:rsidR="0068434D" w:rsidRPr="00372C37">
        <w:rPr>
          <w:rFonts w:ascii="Times New Roman" w:hAnsi="Times New Roman"/>
          <w:color w:val="000000"/>
          <w:sz w:val="28"/>
          <w:szCs w:val="28"/>
        </w:rPr>
        <w:t xml:space="preserve">, поскольку это ограничивает их возможности по привлечению инвестиций в расширение и модернизацию производств из-за отсутствия гарантии приобретения </w:t>
      </w:r>
      <w:r>
        <w:rPr>
          <w:rFonts w:ascii="Times New Roman" w:hAnsi="Times New Roman"/>
          <w:color w:val="000000"/>
          <w:sz w:val="28"/>
          <w:szCs w:val="28"/>
        </w:rPr>
        <w:t xml:space="preserve">товаров, работ и услуг </w:t>
      </w:r>
      <w:r w:rsidR="0068434D" w:rsidRPr="00372C37">
        <w:rPr>
          <w:rFonts w:ascii="Times New Roman" w:hAnsi="Times New Roman"/>
          <w:color w:val="000000"/>
          <w:sz w:val="28"/>
          <w:szCs w:val="28"/>
        </w:rPr>
        <w:t>в будущем. В мировой практике наиболее эффективно проявили себя инструменты регулирования закупок, основанные на принципах саморегулирования (Кодекс наилучшей практики поставок в Великобритании).</w:t>
      </w:r>
      <w:r w:rsidR="004D2C9E">
        <w:rPr>
          <w:rFonts w:ascii="Times New Roman" w:hAnsi="Times New Roman"/>
          <w:color w:val="000000"/>
          <w:sz w:val="28"/>
          <w:szCs w:val="28"/>
        </w:rPr>
        <w:t xml:space="preserve"> </w:t>
      </w:r>
    </w:p>
    <w:p w:rsidR="0068434D" w:rsidRPr="00372C37" w:rsidRDefault="0068434D" w:rsidP="00961BCD">
      <w:pPr>
        <w:pStyle w:val="4"/>
        <w:spacing w:line="315" w:lineRule="exact"/>
      </w:pPr>
      <w:r w:rsidRPr="00372C37">
        <w:t>Республика Казахстан</w:t>
      </w:r>
    </w:p>
    <w:p w:rsidR="00574481" w:rsidRDefault="000841F2" w:rsidP="00961BCD">
      <w:pPr>
        <w:pStyle w:val="a8"/>
        <w:widowControl/>
        <w:spacing w:line="315"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В целом </w:t>
      </w:r>
      <w:r w:rsidR="00574481" w:rsidRPr="00372C37">
        <w:rPr>
          <w:rFonts w:ascii="Times New Roman" w:hAnsi="Times New Roman"/>
          <w:color w:val="000000"/>
          <w:sz w:val="28"/>
          <w:szCs w:val="28"/>
        </w:rPr>
        <w:t>существующие требования к доле казахстанских производителей товаров, работ и услуг в объеме закупок недропользователей при проведении операций по недропользованию</w:t>
      </w:r>
      <w:r>
        <w:rPr>
          <w:rFonts w:ascii="Times New Roman" w:hAnsi="Times New Roman"/>
          <w:color w:val="000000"/>
          <w:sz w:val="28"/>
          <w:szCs w:val="28"/>
        </w:rPr>
        <w:t>,</w:t>
      </w:r>
      <w:r w:rsidR="00574481" w:rsidRPr="00372C37">
        <w:rPr>
          <w:rFonts w:ascii="Times New Roman" w:hAnsi="Times New Roman"/>
          <w:color w:val="000000"/>
          <w:sz w:val="28"/>
          <w:szCs w:val="28"/>
        </w:rPr>
        <w:t xml:space="preserve"> а также найму казахстанских кадров, которые не противоречат обязательствам, принятым при вступлении Всемирную </w:t>
      </w:r>
      <w:r>
        <w:rPr>
          <w:rFonts w:ascii="Times New Roman" w:hAnsi="Times New Roman"/>
          <w:color w:val="000000"/>
          <w:sz w:val="28"/>
          <w:szCs w:val="28"/>
        </w:rPr>
        <w:t>т</w:t>
      </w:r>
      <w:r w:rsidR="00574481" w:rsidRPr="00372C37">
        <w:rPr>
          <w:rFonts w:ascii="Times New Roman" w:hAnsi="Times New Roman"/>
          <w:color w:val="000000"/>
          <w:sz w:val="28"/>
          <w:szCs w:val="28"/>
        </w:rPr>
        <w:t xml:space="preserve">орговую </w:t>
      </w:r>
      <w:r>
        <w:rPr>
          <w:rFonts w:ascii="Times New Roman" w:hAnsi="Times New Roman"/>
          <w:color w:val="000000"/>
          <w:sz w:val="28"/>
          <w:szCs w:val="28"/>
        </w:rPr>
        <w:t>о</w:t>
      </w:r>
      <w:r w:rsidR="00574481" w:rsidRPr="00372C37">
        <w:rPr>
          <w:rFonts w:ascii="Times New Roman" w:hAnsi="Times New Roman"/>
          <w:color w:val="000000"/>
          <w:sz w:val="28"/>
          <w:szCs w:val="28"/>
        </w:rPr>
        <w:t>рганизацию, а также в связи с вступлением в силу с 1 января 2015</w:t>
      </w:r>
      <w:r w:rsidR="00993438">
        <w:rPr>
          <w:rFonts w:ascii="Times New Roman" w:hAnsi="Times New Roman"/>
          <w:color w:val="000000"/>
          <w:sz w:val="28"/>
          <w:szCs w:val="28"/>
        </w:rPr>
        <w:t> </w:t>
      </w:r>
      <w:r w:rsidR="00574481" w:rsidRPr="00372C37">
        <w:rPr>
          <w:rFonts w:ascii="Times New Roman" w:hAnsi="Times New Roman"/>
          <w:color w:val="000000"/>
          <w:sz w:val="28"/>
          <w:szCs w:val="28"/>
        </w:rPr>
        <w:t>года Договора о Евразийском экономическом союзе, будут сохранят</w:t>
      </w:r>
      <w:r>
        <w:rPr>
          <w:rFonts w:ascii="Times New Roman" w:hAnsi="Times New Roman"/>
          <w:color w:val="000000"/>
          <w:sz w:val="28"/>
          <w:szCs w:val="28"/>
        </w:rPr>
        <w:t>ь</w:t>
      </w:r>
      <w:r w:rsidR="00574481" w:rsidRPr="00372C37">
        <w:rPr>
          <w:rFonts w:ascii="Times New Roman" w:hAnsi="Times New Roman"/>
          <w:color w:val="000000"/>
          <w:sz w:val="28"/>
          <w:szCs w:val="28"/>
        </w:rPr>
        <w:t>ся.</w:t>
      </w:r>
    </w:p>
    <w:p w:rsidR="0068434D" w:rsidRPr="00372C37" w:rsidRDefault="000841F2" w:rsidP="00961BCD">
      <w:pPr>
        <w:pStyle w:val="a8"/>
        <w:widowControl/>
        <w:spacing w:line="315" w:lineRule="exact"/>
        <w:ind w:firstLine="709"/>
        <w:jc w:val="both"/>
        <w:rPr>
          <w:rFonts w:ascii="Times New Roman" w:hAnsi="Times New Roman"/>
          <w:color w:val="000000"/>
          <w:sz w:val="28"/>
          <w:szCs w:val="28"/>
        </w:rPr>
      </w:pPr>
      <w:r>
        <w:rPr>
          <w:rFonts w:ascii="Times New Roman" w:hAnsi="Times New Roman"/>
          <w:color w:val="000000"/>
          <w:sz w:val="28"/>
          <w:szCs w:val="28"/>
        </w:rPr>
        <w:t>В</w:t>
      </w:r>
      <w:r w:rsidR="0068434D" w:rsidRPr="00372C37">
        <w:rPr>
          <w:rFonts w:ascii="Times New Roman" w:hAnsi="Times New Roman"/>
          <w:color w:val="000000"/>
          <w:sz w:val="28"/>
          <w:szCs w:val="28"/>
        </w:rPr>
        <w:t xml:space="preserve"> настоящ</w:t>
      </w:r>
      <w:r>
        <w:rPr>
          <w:rFonts w:ascii="Times New Roman" w:hAnsi="Times New Roman"/>
          <w:color w:val="000000"/>
          <w:sz w:val="28"/>
          <w:szCs w:val="28"/>
        </w:rPr>
        <w:t>ее</w:t>
      </w:r>
      <w:r w:rsidR="0068434D" w:rsidRPr="00372C37">
        <w:rPr>
          <w:rFonts w:ascii="Times New Roman" w:hAnsi="Times New Roman"/>
          <w:color w:val="000000"/>
          <w:sz w:val="28"/>
          <w:szCs w:val="28"/>
        </w:rPr>
        <w:t xml:space="preserve"> </w:t>
      </w:r>
      <w:r>
        <w:rPr>
          <w:rFonts w:ascii="Times New Roman" w:hAnsi="Times New Roman"/>
          <w:color w:val="000000"/>
          <w:sz w:val="28"/>
          <w:szCs w:val="28"/>
        </w:rPr>
        <w:t>время</w:t>
      </w:r>
      <w:r w:rsidR="0068434D" w:rsidRPr="00372C37">
        <w:rPr>
          <w:rFonts w:ascii="Times New Roman" w:hAnsi="Times New Roman"/>
          <w:color w:val="000000"/>
          <w:sz w:val="28"/>
          <w:szCs w:val="28"/>
        </w:rPr>
        <w:t xml:space="preserve"> в Республик</w:t>
      </w:r>
      <w:r>
        <w:rPr>
          <w:rFonts w:ascii="Times New Roman" w:hAnsi="Times New Roman"/>
          <w:color w:val="000000"/>
          <w:sz w:val="28"/>
          <w:szCs w:val="28"/>
        </w:rPr>
        <w:t>е</w:t>
      </w:r>
      <w:r w:rsidR="0068434D" w:rsidRPr="00372C37">
        <w:rPr>
          <w:rFonts w:ascii="Times New Roman" w:hAnsi="Times New Roman"/>
          <w:color w:val="000000"/>
          <w:sz w:val="28"/>
          <w:szCs w:val="28"/>
        </w:rPr>
        <w:t xml:space="preserve"> Казахстан на законодательном уровне не утвержден общий номенклатурный справочник, содержащий коды для товаров, работ и услуг, используемых заказчиками при осуществлении ими закуп</w:t>
      </w:r>
      <w:r w:rsidR="000F72A6">
        <w:rPr>
          <w:rFonts w:ascii="Times New Roman" w:hAnsi="Times New Roman"/>
          <w:color w:val="000000"/>
          <w:sz w:val="28"/>
          <w:szCs w:val="28"/>
        </w:rPr>
        <w:t>ок</w:t>
      </w:r>
      <w:r w:rsidR="0068434D" w:rsidRPr="00372C37">
        <w:rPr>
          <w:rFonts w:ascii="Times New Roman" w:hAnsi="Times New Roman"/>
          <w:color w:val="000000"/>
          <w:sz w:val="28"/>
          <w:szCs w:val="28"/>
        </w:rPr>
        <w:t xml:space="preserve"> товаров, работ и услуг. Так, к приме</w:t>
      </w:r>
      <w:r w:rsidR="0068434D">
        <w:rPr>
          <w:rFonts w:ascii="Times New Roman" w:hAnsi="Times New Roman"/>
          <w:color w:val="000000"/>
          <w:sz w:val="28"/>
          <w:szCs w:val="28"/>
        </w:rPr>
        <w:t>ру, в закупках, производимых на</w:t>
      </w:r>
      <w:r w:rsidR="0068434D" w:rsidRPr="00372C37">
        <w:rPr>
          <w:rFonts w:ascii="Times New Roman" w:hAnsi="Times New Roman"/>
          <w:color w:val="000000"/>
          <w:sz w:val="28"/>
          <w:szCs w:val="28"/>
        </w:rPr>
        <w:t xml:space="preserve"> портале электронных закупок АО </w:t>
      </w:r>
      <w:r w:rsidR="004D2C9E">
        <w:rPr>
          <w:rFonts w:ascii="Times New Roman" w:hAnsi="Times New Roman"/>
          <w:color w:val="000000"/>
          <w:sz w:val="28"/>
          <w:szCs w:val="28"/>
        </w:rPr>
        <w:t>«</w:t>
      </w:r>
      <w:r w:rsidR="0068434D" w:rsidRPr="00372C37">
        <w:rPr>
          <w:rFonts w:ascii="Times New Roman" w:hAnsi="Times New Roman"/>
          <w:color w:val="000000"/>
          <w:sz w:val="28"/>
          <w:szCs w:val="28"/>
        </w:rPr>
        <w:t xml:space="preserve">Фонд национального благосостояния </w:t>
      </w:r>
      <w:r w:rsidR="004D2C9E">
        <w:rPr>
          <w:rFonts w:ascii="Times New Roman" w:hAnsi="Times New Roman"/>
          <w:color w:val="000000"/>
          <w:sz w:val="28"/>
          <w:szCs w:val="28"/>
        </w:rPr>
        <w:t>«</w:t>
      </w:r>
      <w:r w:rsidR="0068434D" w:rsidRPr="00372C37">
        <w:rPr>
          <w:rFonts w:ascii="Times New Roman" w:hAnsi="Times New Roman"/>
          <w:color w:val="000000"/>
          <w:sz w:val="28"/>
          <w:szCs w:val="28"/>
        </w:rPr>
        <w:t>Самрук-Қазына</w:t>
      </w:r>
      <w:r w:rsidR="004D2C9E">
        <w:rPr>
          <w:rFonts w:ascii="Times New Roman" w:hAnsi="Times New Roman"/>
          <w:color w:val="000000"/>
          <w:sz w:val="28"/>
          <w:szCs w:val="28"/>
        </w:rPr>
        <w:t>»</w:t>
      </w:r>
      <w:r>
        <w:rPr>
          <w:rFonts w:ascii="Times New Roman" w:hAnsi="Times New Roman"/>
          <w:color w:val="000000"/>
          <w:sz w:val="28"/>
          <w:szCs w:val="28"/>
        </w:rPr>
        <w:t>,</w:t>
      </w:r>
      <w:r w:rsidR="0068434D" w:rsidRPr="00372C37">
        <w:rPr>
          <w:rFonts w:ascii="Times New Roman" w:hAnsi="Times New Roman"/>
          <w:color w:val="000000"/>
          <w:sz w:val="28"/>
          <w:szCs w:val="28"/>
        </w:rPr>
        <w:t xml:space="preserve"> используется Единый номенклатурный справочник товаров, работ, услуг, утвержденный дочерней</w:t>
      </w:r>
      <w:r w:rsidR="004D2C9E">
        <w:rPr>
          <w:rFonts w:ascii="Times New Roman" w:hAnsi="Times New Roman"/>
          <w:color w:val="000000"/>
          <w:sz w:val="28"/>
          <w:szCs w:val="28"/>
        </w:rPr>
        <w:t xml:space="preserve"> </w:t>
      </w:r>
      <w:r w:rsidR="0068434D" w:rsidRPr="00372C37">
        <w:rPr>
          <w:rFonts w:ascii="Times New Roman" w:hAnsi="Times New Roman"/>
          <w:color w:val="000000"/>
          <w:sz w:val="28"/>
          <w:szCs w:val="28"/>
        </w:rPr>
        <w:t xml:space="preserve">организацией АО </w:t>
      </w:r>
      <w:r w:rsidR="004D2C9E">
        <w:rPr>
          <w:rFonts w:ascii="Times New Roman" w:hAnsi="Times New Roman"/>
          <w:color w:val="000000"/>
          <w:sz w:val="28"/>
          <w:szCs w:val="28"/>
        </w:rPr>
        <w:t>«</w:t>
      </w:r>
      <w:r w:rsidR="0068434D" w:rsidRPr="00372C37">
        <w:rPr>
          <w:rFonts w:ascii="Times New Roman" w:hAnsi="Times New Roman"/>
          <w:color w:val="000000"/>
          <w:sz w:val="28"/>
          <w:szCs w:val="28"/>
        </w:rPr>
        <w:t xml:space="preserve">Фонд национального благосостояния </w:t>
      </w:r>
      <w:r w:rsidR="004D2C9E">
        <w:rPr>
          <w:rFonts w:ascii="Times New Roman" w:hAnsi="Times New Roman"/>
          <w:color w:val="000000"/>
          <w:sz w:val="28"/>
          <w:szCs w:val="28"/>
        </w:rPr>
        <w:t>«</w:t>
      </w:r>
      <w:r w:rsidR="0068434D" w:rsidRPr="00372C37">
        <w:rPr>
          <w:rFonts w:ascii="Times New Roman" w:hAnsi="Times New Roman"/>
          <w:color w:val="000000"/>
          <w:sz w:val="28"/>
          <w:szCs w:val="28"/>
        </w:rPr>
        <w:t>Самрук-Казына</w:t>
      </w:r>
      <w:r w:rsidR="004D2C9E">
        <w:rPr>
          <w:rFonts w:ascii="Times New Roman" w:hAnsi="Times New Roman"/>
          <w:color w:val="000000"/>
          <w:sz w:val="28"/>
          <w:szCs w:val="28"/>
        </w:rPr>
        <w:t>»</w:t>
      </w:r>
      <w:r w:rsidR="0068434D" w:rsidRPr="00372C37">
        <w:rPr>
          <w:rFonts w:ascii="Times New Roman" w:hAnsi="Times New Roman"/>
          <w:color w:val="000000"/>
          <w:sz w:val="28"/>
          <w:szCs w:val="28"/>
        </w:rPr>
        <w:t xml:space="preserve"> ТОО </w:t>
      </w:r>
      <w:r w:rsidR="004D2C9E">
        <w:rPr>
          <w:rFonts w:ascii="Times New Roman" w:hAnsi="Times New Roman"/>
          <w:color w:val="000000"/>
          <w:sz w:val="28"/>
          <w:szCs w:val="28"/>
        </w:rPr>
        <w:t>«</w:t>
      </w:r>
      <w:r w:rsidR="0068434D" w:rsidRPr="00372C37">
        <w:rPr>
          <w:rFonts w:ascii="Times New Roman" w:hAnsi="Times New Roman"/>
          <w:color w:val="000000"/>
          <w:sz w:val="28"/>
          <w:szCs w:val="28"/>
        </w:rPr>
        <w:t>Самрук Казына Контракт</w:t>
      </w:r>
      <w:r w:rsidR="004D2C9E">
        <w:rPr>
          <w:rFonts w:ascii="Times New Roman" w:hAnsi="Times New Roman"/>
          <w:color w:val="000000"/>
          <w:sz w:val="28"/>
          <w:szCs w:val="28"/>
        </w:rPr>
        <w:t>»</w:t>
      </w:r>
      <w:r w:rsidR="0068434D" w:rsidRPr="00372C37">
        <w:rPr>
          <w:rFonts w:ascii="Times New Roman" w:hAnsi="Times New Roman"/>
          <w:color w:val="000000"/>
          <w:sz w:val="28"/>
          <w:szCs w:val="28"/>
        </w:rPr>
        <w:t xml:space="preserve">, актуализация и пользование которым осуществляется на возмездной основе. </w:t>
      </w:r>
    </w:p>
    <w:p w:rsidR="0068434D" w:rsidRPr="00372C37" w:rsidRDefault="0068434D" w:rsidP="00961BCD">
      <w:pPr>
        <w:pStyle w:val="a8"/>
        <w:widowControl/>
        <w:spacing w:line="315" w:lineRule="exact"/>
        <w:ind w:firstLine="709"/>
        <w:jc w:val="both"/>
        <w:rPr>
          <w:rFonts w:ascii="Times New Roman" w:hAnsi="Times New Roman"/>
          <w:color w:val="000000"/>
          <w:sz w:val="28"/>
          <w:szCs w:val="28"/>
        </w:rPr>
      </w:pPr>
      <w:r w:rsidRPr="00372C37">
        <w:rPr>
          <w:rFonts w:ascii="Times New Roman" w:hAnsi="Times New Roman"/>
          <w:color w:val="000000"/>
          <w:sz w:val="28"/>
          <w:szCs w:val="28"/>
        </w:rPr>
        <w:t>Государственные учреждения, содержащиеся за счет республиканского или местного бюджета, при проведении своих закупочных процедур, осуществляемых посредством веб-портала государственных закупок, используют утвержд</w:t>
      </w:r>
      <w:r w:rsidR="000841F2">
        <w:rPr>
          <w:rFonts w:ascii="Times New Roman" w:hAnsi="Times New Roman"/>
          <w:color w:val="000000"/>
          <w:sz w:val="28"/>
          <w:szCs w:val="28"/>
        </w:rPr>
        <w:t>е</w:t>
      </w:r>
      <w:r w:rsidRPr="00372C37">
        <w:rPr>
          <w:rFonts w:ascii="Times New Roman" w:hAnsi="Times New Roman"/>
          <w:color w:val="000000"/>
          <w:sz w:val="28"/>
          <w:szCs w:val="28"/>
        </w:rPr>
        <w:t xml:space="preserve">нный приказом Министра финансов Республики Казахстан от 25 мая 2009 года </w:t>
      </w:r>
      <w:r w:rsidR="00E720B2">
        <w:rPr>
          <w:rFonts w:ascii="Times New Roman" w:hAnsi="Times New Roman"/>
          <w:color w:val="000000"/>
          <w:sz w:val="28"/>
          <w:szCs w:val="28"/>
        </w:rPr>
        <w:t>№ </w:t>
      </w:r>
      <w:r w:rsidRPr="00372C37">
        <w:rPr>
          <w:rFonts w:ascii="Times New Roman" w:hAnsi="Times New Roman"/>
          <w:color w:val="000000"/>
          <w:sz w:val="28"/>
          <w:szCs w:val="28"/>
        </w:rPr>
        <w:t>215 классификатор перечня товаров (работ, услуг), пользование которым для недропользователей и их поставщиков является затруднительным ввиду отсутствия в нем значительного количества номенклатуры и кодов закупаемых ими товаров работ и услуг, используемых непосредственно в сфере недропользования.</w:t>
      </w:r>
    </w:p>
    <w:p w:rsidR="0068434D" w:rsidRPr="00372C37" w:rsidRDefault="0068434D" w:rsidP="00961BCD">
      <w:pPr>
        <w:pStyle w:val="a8"/>
        <w:widowControl/>
        <w:spacing w:line="315" w:lineRule="exact"/>
        <w:ind w:firstLine="709"/>
        <w:jc w:val="both"/>
        <w:rPr>
          <w:rFonts w:ascii="Times New Roman" w:hAnsi="Times New Roman"/>
          <w:color w:val="000000"/>
          <w:sz w:val="28"/>
          <w:szCs w:val="28"/>
        </w:rPr>
      </w:pPr>
      <w:r w:rsidRPr="00372C37">
        <w:rPr>
          <w:rFonts w:ascii="Times New Roman" w:hAnsi="Times New Roman"/>
          <w:color w:val="000000"/>
          <w:sz w:val="28"/>
          <w:szCs w:val="28"/>
        </w:rPr>
        <w:t xml:space="preserve">В государственной информационной системе </w:t>
      </w:r>
      <w:r w:rsidR="004D2C9E">
        <w:rPr>
          <w:rFonts w:ascii="Times New Roman" w:hAnsi="Times New Roman"/>
          <w:color w:val="000000"/>
          <w:sz w:val="28"/>
          <w:szCs w:val="28"/>
        </w:rPr>
        <w:t>«</w:t>
      </w:r>
      <w:r w:rsidRPr="00372C37">
        <w:rPr>
          <w:rFonts w:ascii="Times New Roman" w:hAnsi="Times New Roman"/>
          <w:color w:val="000000"/>
          <w:sz w:val="28"/>
          <w:szCs w:val="28"/>
        </w:rPr>
        <w:t>Реестр товаров, работ и услуг, используемых при проведении операций по недропользованию, и их производителей</w:t>
      </w:r>
      <w:r w:rsidR="004D2C9E">
        <w:rPr>
          <w:rFonts w:ascii="Times New Roman" w:hAnsi="Times New Roman"/>
          <w:color w:val="000000"/>
          <w:sz w:val="28"/>
          <w:szCs w:val="28"/>
        </w:rPr>
        <w:t>»</w:t>
      </w:r>
      <w:r w:rsidRPr="00372C37">
        <w:rPr>
          <w:rFonts w:ascii="Times New Roman" w:hAnsi="Times New Roman"/>
          <w:color w:val="000000"/>
          <w:sz w:val="28"/>
          <w:szCs w:val="28"/>
        </w:rPr>
        <w:t xml:space="preserve"> использу</w:t>
      </w:r>
      <w:r w:rsidR="0074561A">
        <w:rPr>
          <w:rFonts w:ascii="Times New Roman" w:hAnsi="Times New Roman"/>
          <w:color w:val="000000"/>
          <w:sz w:val="28"/>
          <w:szCs w:val="28"/>
        </w:rPr>
        <w:t>е</w:t>
      </w:r>
      <w:r w:rsidRPr="00372C37">
        <w:rPr>
          <w:rFonts w:ascii="Times New Roman" w:hAnsi="Times New Roman"/>
          <w:color w:val="000000"/>
          <w:sz w:val="28"/>
          <w:szCs w:val="28"/>
        </w:rPr>
        <w:t>тся статистический классификатор продукции,</w:t>
      </w:r>
      <w:r>
        <w:rPr>
          <w:rFonts w:ascii="Times New Roman" w:hAnsi="Times New Roman"/>
          <w:color w:val="000000"/>
          <w:sz w:val="28"/>
          <w:szCs w:val="28"/>
        </w:rPr>
        <w:t xml:space="preserve"> содержащий номенклатуру и коды</w:t>
      </w:r>
      <w:r w:rsidRPr="00372C37">
        <w:rPr>
          <w:rFonts w:ascii="Times New Roman" w:hAnsi="Times New Roman"/>
          <w:color w:val="000000"/>
          <w:sz w:val="28"/>
          <w:szCs w:val="28"/>
        </w:rPr>
        <w:t xml:space="preserve"> товаров, работ и услуг, используемых при проведении операций по недропользованию, разработанн</w:t>
      </w:r>
      <w:r w:rsidR="0074561A">
        <w:rPr>
          <w:rFonts w:ascii="Times New Roman" w:hAnsi="Times New Roman"/>
          <w:color w:val="000000"/>
          <w:sz w:val="28"/>
          <w:szCs w:val="28"/>
        </w:rPr>
        <w:t>ый</w:t>
      </w:r>
      <w:r w:rsidRPr="00372C37">
        <w:rPr>
          <w:rFonts w:ascii="Times New Roman" w:hAnsi="Times New Roman"/>
          <w:color w:val="000000"/>
          <w:sz w:val="28"/>
          <w:szCs w:val="28"/>
        </w:rPr>
        <w:t xml:space="preserve"> </w:t>
      </w:r>
      <w:r w:rsidR="0074561A">
        <w:rPr>
          <w:rFonts w:ascii="Times New Roman" w:hAnsi="Times New Roman"/>
          <w:color w:val="000000"/>
          <w:sz w:val="28"/>
          <w:szCs w:val="28"/>
        </w:rPr>
        <w:t>Межгосударственным</w:t>
      </w:r>
      <w:r w:rsidRPr="00372C37">
        <w:rPr>
          <w:rFonts w:ascii="Times New Roman" w:hAnsi="Times New Roman"/>
          <w:color w:val="000000"/>
          <w:sz w:val="28"/>
          <w:szCs w:val="28"/>
        </w:rPr>
        <w:t xml:space="preserve"> статистически</w:t>
      </w:r>
      <w:r w:rsidR="0074561A">
        <w:rPr>
          <w:rFonts w:ascii="Times New Roman" w:hAnsi="Times New Roman"/>
          <w:color w:val="000000"/>
          <w:sz w:val="28"/>
          <w:szCs w:val="28"/>
        </w:rPr>
        <w:t>м</w:t>
      </w:r>
      <w:r w:rsidRPr="00372C37">
        <w:rPr>
          <w:rFonts w:ascii="Times New Roman" w:hAnsi="Times New Roman"/>
          <w:color w:val="000000"/>
          <w:sz w:val="28"/>
          <w:szCs w:val="28"/>
        </w:rPr>
        <w:t xml:space="preserve"> комитетом </w:t>
      </w:r>
      <w:r w:rsidR="00EE7E9B">
        <w:rPr>
          <w:rFonts w:ascii="Times New Roman" w:hAnsi="Times New Roman"/>
          <w:color w:val="000000"/>
          <w:sz w:val="28"/>
          <w:szCs w:val="28"/>
        </w:rPr>
        <w:t>СНГ</w:t>
      </w:r>
      <w:r w:rsidRPr="00372C37">
        <w:rPr>
          <w:rFonts w:ascii="Times New Roman" w:hAnsi="Times New Roman"/>
          <w:color w:val="000000"/>
          <w:sz w:val="28"/>
          <w:szCs w:val="28"/>
        </w:rPr>
        <w:t>, однако не утвержденн</w:t>
      </w:r>
      <w:r w:rsidR="0074561A">
        <w:rPr>
          <w:rFonts w:ascii="Times New Roman" w:hAnsi="Times New Roman"/>
          <w:color w:val="000000"/>
          <w:sz w:val="28"/>
          <w:szCs w:val="28"/>
        </w:rPr>
        <w:t>ый</w:t>
      </w:r>
      <w:r w:rsidRPr="00372C37">
        <w:rPr>
          <w:rFonts w:ascii="Times New Roman" w:hAnsi="Times New Roman"/>
          <w:color w:val="000000"/>
          <w:sz w:val="28"/>
          <w:szCs w:val="28"/>
        </w:rPr>
        <w:t xml:space="preserve"> на законодательном уровне в Республик</w:t>
      </w:r>
      <w:r w:rsidR="0074561A">
        <w:rPr>
          <w:rFonts w:ascii="Times New Roman" w:hAnsi="Times New Roman"/>
          <w:color w:val="000000"/>
          <w:sz w:val="28"/>
          <w:szCs w:val="28"/>
        </w:rPr>
        <w:t>е</w:t>
      </w:r>
      <w:r w:rsidRPr="00372C37">
        <w:rPr>
          <w:rFonts w:ascii="Times New Roman" w:hAnsi="Times New Roman"/>
          <w:color w:val="000000"/>
          <w:sz w:val="28"/>
          <w:szCs w:val="28"/>
        </w:rPr>
        <w:t xml:space="preserve"> Казахстан.</w:t>
      </w:r>
    </w:p>
    <w:p w:rsidR="0068434D" w:rsidRDefault="0068434D" w:rsidP="00961BCD">
      <w:pPr>
        <w:pStyle w:val="a8"/>
        <w:widowControl/>
        <w:spacing w:line="315" w:lineRule="exact"/>
        <w:ind w:firstLine="709"/>
        <w:jc w:val="both"/>
        <w:rPr>
          <w:rFonts w:ascii="Times New Roman" w:hAnsi="Times New Roman"/>
          <w:color w:val="000000"/>
          <w:sz w:val="28"/>
          <w:szCs w:val="28"/>
        </w:rPr>
      </w:pPr>
      <w:r w:rsidRPr="00372C37">
        <w:rPr>
          <w:rFonts w:ascii="Times New Roman" w:hAnsi="Times New Roman"/>
          <w:color w:val="000000"/>
          <w:sz w:val="28"/>
          <w:szCs w:val="28"/>
        </w:rPr>
        <w:t>Отсутствие общего утвержденного в официальном порядке номенклатурного справочника, содержащего коды для товаров, работ и услуг, приводит к такой ситуации, когда заказчиками при проведении закупочных процедур на различных торговых площадках используются различные коды и номенклатура товаров, работ и услуг, что создает определенные сложности при участии потенциальных поставщиков в таких закупках.</w:t>
      </w:r>
    </w:p>
    <w:p w:rsidR="005A0EF5" w:rsidRPr="00901E2C" w:rsidRDefault="005A0EF5" w:rsidP="005A0EF5">
      <w:pPr>
        <w:spacing w:after="0" w:line="240" w:lineRule="auto"/>
        <w:ind w:firstLine="567"/>
        <w:jc w:val="both"/>
        <w:rPr>
          <w:rFonts w:ascii="Times New Roman" w:eastAsia="SimSun" w:hAnsi="Times New Roman"/>
          <w:color w:val="000000"/>
          <w:kern w:val="3"/>
          <w:sz w:val="28"/>
          <w:szCs w:val="28"/>
          <w:lang w:eastAsia="zh-CN" w:bidi="hi-IN"/>
        </w:rPr>
      </w:pPr>
      <w:r w:rsidRPr="00901E2C">
        <w:rPr>
          <w:rFonts w:ascii="Times New Roman" w:eastAsia="Times New Roman" w:hAnsi="Times New Roman"/>
          <w:sz w:val="28"/>
          <w:szCs w:val="28"/>
          <w:lang w:eastAsia="ru-RU"/>
        </w:rPr>
        <w:t>Правительством Республики Казахстан в рамках разработанного Кодекса Республики Казахстан «О недрах и недропользовании» были предусмотрены положения по улучшению инвестиционного климата и привлечению денежных средств в разведку углеводородов путем снижения налоговой нагрузки и освобождени</w:t>
      </w:r>
      <w:r w:rsidR="002C44FB" w:rsidRPr="00901E2C">
        <w:rPr>
          <w:rFonts w:ascii="Times New Roman" w:eastAsia="Times New Roman" w:hAnsi="Times New Roman"/>
          <w:sz w:val="28"/>
          <w:szCs w:val="28"/>
          <w:lang w:eastAsia="ru-RU"/>
        </w:rPr>
        <w:t>я</w:t>
      </w:r>
      <w:r w:rsidRPr="00901E2C">
        <w:rPr>
          <w:rFonts w:ascii="Times New Roman" w:eastAsia="Times New Roman" w:hAnsi="Times New Roman"/>
          <w:sz w:val="28"/>
          <w:szCs w:val="28"/>
          <w:lang w:eastAsia="ru-RU"/>
        </w:rPr>
        <w:t xml:space="preserve"> от избыточного государственного регулирования в сфере закупок по контрактам, находящимся на стадии разведки</w:t>
      </w:r>
      <w:r w:rsidRPr="00901E2C">
        <w:rPr>
          <w:rFonts w:ascii="Times New Roman" w:eastAsia="SimSun" w:hAnsi="Times New Roman"/>
          <w:color w:val="000000"/>
          <w:kern w:val="3"/>
          <w:sz w:val="28"/>
          <w:szCs w:val="28"/>
          <w:lang w:eastAsia="zh-CN" w:bidi="hi-IN"/>
        </w:rPr>
        <w:t>.</w:t>
      </w:r>
    </w:p>
    <w:p w:rsidR="005A0EF5" w:rsidRPr="00901E2C" w:rsidRDefault="005A0EF5" w:rsidP="00483209">
      <w:pPr>
        <w:spacing w:before="120" w:after="0" w:line="240" w:lineRule="auto"/>
        <w:ind w:left="1418" w:hanging="1418"/>
        <w:jc w:val="both"/>
        <w:rPr>
          <w:rFonts w:ascii="Times New Roman" w:eastAsia="Times New Roman" w:hAnsi="Times New Roman"/>
          <w:i/>
          <w:iCs/>
          <w:sz w:val="26"/>
          <w:szCs w:val="26"/>
          <w:lang w:eastAsia="ru-RU"/>
        </w:rPr>
      </w:pPr>
      <w:r w:rsidRPr="00901E2C">
        <w:rPr>
          <w:rFonts w:ascii="Times New Roman" w:eastAsia="Times New Roman" w:hAnsi="Times New Roman"/>
          <w:i/>
          <w:color w:val="000000"/>
          <w:sz w:val="26"/>
          <w:szCs w:val="26"/>
        </w:rPr>
        <w:t>Справочно:</w:t>
      </w:r>
      <w:r w:rsidR="00483209" w:rsidRPr="00901E2C">
        <w:rPr>
          <w:rFonts w:ascii="Times New Roman" w:eastAsia="Times New Roman" w:hAnsi="Times New Roman"/>
          <w:i/>
          <w:color w:val="000000"/>
          <w:sz w:val="26"/>
          <w:szCs w:val="26"/>
        </w:rPr>
        <w:tab/>
      </w:r>
      <w:r w:rsidRPr="00901E2C">
        <w:rPr>
          <w:rFonts w:ascii="Times New Roman" w:eastAsia="Times New Roman" w:hAnsi="Times New Roman"/>
          <w:i/>
          <w:iCs/>
          <w:sz w:val="26"/>
          <w:szCs w:val="26"/>
          <w:lang w:eastAsia="ru-RU"/>
        </w:rPr>
        <w:t>Кодексом Республики Казахстан</w:t>
      </w:r>
      <w:r w:rsidR="002C44FB" w:rsidRPr="00901E2C">
        <w:t xml:space="preserve"> </w:t>
      </w:r>
      <w:r w:rsidR="002C44FB" w:rsidRPr="00901E2C">
        <w:rPr>
          <w:rFonts w:ascii="Times New Roman" w:eastAsia="Times New Roman" w:hAnsi="Times New Roman"/>
          <w:i/>
          <w:iCs/>
          <w:sz w:val="26"/>
          <w:szCs w:val="26"/>
          <w:lang w:eastAsia="ru-RU"/>
        </w:rPr>
        <w:t>от 27 декабря 2017 года № 125-VI ЗРК</w:t>
      </w:r>
      <w:r w:rsidRPr="00901E2C">
        <w:rPr>
          <w:rFonts w:ascii="Times New Roman" w:eastAsia="Times New Roman" w:hAnsi="Times New Roman"/>
          <w:i/>
          <w:iCs/>
          <w:sz w:val="26"/>
          <w:szCs w:val="26"/>
          <w:lang w:eastAsia="ru-RU"/>
        </w:rPr>
        <w:t xml:space="preserve"> «О недрах и недропользовании»</w:t>
      </w:r>
      <w:r w:rsidR="002C44FB" w:rsidRPr="00901E2C">
        <w:rPr>
          <w:rFonts w:ascii="Times New Roman" w:eastAsia="Times New Roman" w:hAnsi="Times New Roman"/>
          <w:i/>
          <w:iCs/>
          <w:sz w:val="26"/>
          <w:szCs w:val="26"/>
          <w:lang w:eastAsia="ru-RU"/>
        </w:rPr>
        <w:t xml:space="preserve"> </w:t>
      </w:r>
      <w:r w:rsidRPr="00901E2C">
        <w:rPr>
          <w:rFonts w:ascii="Times New Roman" w:eastAsia="Times New Roman" w:hAnsi="Times New Roman"/>
          <w:i/>
          <w:iCs/>
          <w:sz w:val="26"/>
          <w:szCs w:val="26"/>
          <w:lang w:eastAsia="ru-RU"/>
        </w:rPr>
        <w:t xml:space="preserve">предусмотрена возможность недропользователям проводить закупки как в государственной информационной системе, так и частной. </w:t>
      </w:r>
    </w:p>
    <w:p w:rsidR="005A0EF5" w:rsidRPr="00901E2C" w:rsidRDefault="005A0EF5" w:rsidP="00C36682">
      <w:pPr>
        <w:spacing w:after="0" w:line="240" w:lineRule="auto"/>
        <w:ind w:left="1418" w:firstLine="567"/>
        <w:jc w:val="both"/>
        <w:rPr>
          <w:rFonts w:ascii="Times New Roman" w:eastAsia="Times New Roman" w:hAnsi="Times New Roman"/>
          <w:i/>
          <w:iCs/>
          <w:sz w:val="26"/>
          <w:szCs w:val="26"/>
          <w:lang w:eastAsia="ru-RU"/>
        </w:rPr>
      </w:pPr>
      <w:r w:rsidRPr="00901E2C">
        <w:rPr>
          <w:rFonts w:ascii="Times New Roman" w:eastAsia="Times New Roman" w:hAnsi="Times New Roman"/>
          <w:i/>
          <w:iCs/>
          <w:sz w:val="26"/>
          <w:szCs w:val="26"/>
          <w:lang w:eastAsia="ru-RU"/>
        </w:rPr>
        <w:t>Критериями для работы в частной системе электронн</w:t>
      </w:r>
      <w:r w:rsidR="00813B85" w:rsidRPr="00901E2C">
        <w:rPr>
          <w:rFonts w:ascii="Times New Roman" w:eastAsia="Times New Roman" w:hAnsi="Times New Roman"/>
          <w:i/>
          <w:iCs/>
          <w:sz w:val="26"/>
          <w:szCs w:val="26"/>
          <w:lang w:eastAsia="ru-RU"/>
        </w:rPr>
        <w:t>ых</w:t>
      </w:r>
      <w:r w:rsidRPr="00901E2C">
        <w:rPr>
          <w:rFonts w:ascii="Times New Roman" w:eastAsia="Times New Roman" w:hAnsi="Times New Roman"/>
          <w:i/>
          <w:iCs/>
          <w:sz w:val="26"/>
          <w:szCs w:val="26"/>
          <w:lang w:eastAsia="ru-RU"/>
        </w:rPr>
        <w:t xml:space="preserve"> закуп</w:t>
      </w:r>
      <w:r w:rsidR="00813B85" w:rsidRPr="00901E2C">
        <w:rPr>
          <w:rFonts w:ascii="Times New Roman" w:eastAsia="Times New Roman" w:hAnsi="Times New Roman"/>
          <w:i/>
          <w:iCs/>
          <w:sz w:val="26"/>
          <w:szCs w:val="26"/>
          <w:lang w:eastAsia="ru-RU"/>
        </w:rPr>
        <w:t>ок</w:t>
      </w:r>
      <w:r w:rsidRPr="00901E2C">
        <w:rPr>
          <w:rFonts w:ascii="Times New Roman" w:eastAsia="Times New Roman" w:hAnsi="Times New Roman"/>
          <w:i/>
          <w:iCs/>
          <w:sz w:val="26"/>
          <w:szCs w:val="26"/>
          <w:lang w:eastAsia="ru-RU"/>
        </w:rPr>
        <w:t xml:space="preserve"> явля</w:t>
      </w:r>
      <w:r w:rsidR="002C44FB" w:rsidRPr="00901E2C">
        <w:rPr>
          <w:rFonts w:ascii="Times New Roman" w:eastAsia="Times New Roman" w:hAnsi="Times New Roman"/>
          <w:i/>
          <w:iCs/>
          <w:sz w:val="26"/>
          <w:szCs w:val="26"/>
          <w:lang w:eastAsia="ru-RU"/>
        </w:rPr>
        <w:t>ю</w:t>
      </w:r>
      <w:r w:rsidRPr="00901E2C">
        <w:rPr>
          <w:rFonts w:ascii="Times New Roman" w:eastAsia="Times New Roman" w:hAnsi="Times New Roman"/>
          <w:i/>
          <w:iCs/>
          <w:sz w:val="26"/>
          <w:szCs w:val="26"/>
          <w:lang w:eastAsia="ru-RU"/>
        </w:rPr>
        <w:t xml:space="preserve">тся ее расположение в казахстанском сегменте </w:t>
      </w:r>
      <w:r w:rsidR="00813B85" w:rsidRPr="00901E2C">
        <w:rPr>
          <w:rFonts w:ascii="Times New Roman" w:eastAsia="Times New Roman" w:hAnsi="Times New Roman"/>
          <w:i/>
          <w:iCs/>
          <w:sz w:val="26"/>
          <w:szCs w:val="26"/>
          <w:lang w:eastAsia="ru-RU"/>
        </w:rPr>
        <w:t>И</w:t>
      </w:r>
      <w:r w:rsidRPr="00901E2C">
        <w:rPr>
          <w:rFonts w:ascii="Times New Roman" w:eastAsia="Times New Roman" w:hAnsi="Times New Roman"/>
          <w:i/>
          <w:iCs/>
          <w:sz w:val="26"/>
          <w:szCs w:val="26"/>
          <w:lang w:eastAsia="ru-RU"/>
        </w:rPr>
        <w:t>нтернета и обязательная ее синхронизаци</w:t>
      </w:r>
      <w:r w:rsidR="00813B85" w:rsidRPr="00901E2C">
        <w:rPr>
          <w:rFonts w:ascii="Times New Roman" w:eastAsia="Times New Roman" w:hAnsi="Times New Roman"/>
          <w:i/>
          <w:iCs/>
          <w:sz w:val="26"/>
          <w:szCs w:val="26"/>
          <w:lang w:eastAsia="ru-RU"/>
        </w:rPr>
        <w:t>я</w:t>
      </w:r>
      <w:r w:rsidRPr="00901E2C">
        <w:rPr>
          <w:rFonts w:ascii="Times New Roman" w:eastAsia="Times New Roman" w:hAnsi="Times New Roman"/>
          <w:i/>
          <w:iCs/>
          <w:sz w:val="26"/>
          <w:szCs w:val="26"/>
          <w:lang w:eastAsia="ru-RU"/>
        </w:rPr>
        <w:t xml:space="preserve"> с работой государственной информационной системы. </w:t>
      </w:r>
    </w:p>
    <w:p w:rsidR="005A0EF5" w:rsidRPr="00901E2C" w:rsidRDefault="005A0EF5" w:rsidP="00C36682">
      <w:pPr>
        <w:spacing w:after="0" w:line="240" w:lineRule="auto"/>
        <w:ind w:left="1418" w:firstLine="567"/>
        <w:jc w:val="both"/>
        <w:rPr>
          <w:rFonts w:ascii="Times New Roman" w:eastAsia="Times New Roman" w:hAnsi="Times New Roman"/>
          <w:i/>
          <w:iCs/>
          <w:sz w:val="26"/>
          <w:szCs w:val="26"/>
          <w:lang w:eastAsia="ru-RU"/>
        </w:rPr>
      </w:pPr>
      <w:r w:rsidRPr="00901E2C">
        <w:rPr>
          <w:rFonts w:ascii="Times New Roman" w:eastAsia="Times New Roman" w:hAnsi="Times New Roman"/>
          <w:i/>
          <w:iCs/>
          <w:sz w:val="26"/>
          <w:szCs w:val="26"/>
          <w:lang w:eastAsia="ru-RU"/>
        </w:rPr>
        <w:t xml:space="preserve">Включение данной нормы в Кодекс направлено на развитие конкурентной среды и стимулирование добросовестной конкуренции, реализацию антимонопольной политики, а именно на исключение монополизации рынка государством, снижение административных барьеров при проведении закупок товаров, работ и услуг недропользователями и их подрядчиками. </w:t>
      </w:r>
    </w:p>
    <w:p w:rsidR="005A0EF5" w:rsidRPr="005A0EF5" w:rsidRDefault="00813B85" w:rsidP="00C36682">
      <w:pPr>
        <w:spacing w:after="0" w:line="240" w:lineRule="auto"/>
        <w:ind w:left="1418" w:firstLine="567"/>
        <w:jc w:val="both"/>
        <w:rPr>
          <w:rFonts w:ascii="Times New Roman" w:eastAsia="Times New Roman" w:hAnsi="Times New Roman"/>
          <w:i/>
          <w:iCs/>
          <w:sz w:val="26"/>
          <w:szCs w:val="26"/>
          <w:lang w:eastAsia="ru-RU"/>
        </w:rPr>
      </w:pPr>
      <w:r w:rsidRPr="00901E2C">
        <w:rPr>
          <w:rFonts w:ascii="Times New Roman" w:eastAsia="Times New Roman" w:hAnsi="Times New Roman"/>
          <w:i/>
          <w:iCs/>
          <w:sz w:val="26"/>
          <w:szCs w:val="26"/>
          <w:lang w:eastAsia="ru-RU"/>
        </w:rPr>
        <w:t>Н</w:t>
      </w:r>
      <w:r w:rsidR="005A0EF5" w:rsidRPr="00901E2C">
        <w:rPr>
          <w:rFonts w:ascii="Times New Roman" w:eastAsia="Times New Roman" w:hAnsi="Times New Roman"/>
          <w:i/>
          <w:iCs/>
          <w:sz w:val="26"/>
          <w:szCs w:val="26"/>
          <w:lang w:eastAsia="ru-RU"/>
        </w:rPr>
        <w:t>аличие у недропользователя собственной системы электронных закупок, синхронизированной с работой реестра товаров, работ и услуг, используемых при проведении операций по недропользованию, и их производителей, позволяет ему оптимизировать процесс приобретения необходимых ему товаров, работ и услуг.</w:t>
      </w:r>
    </w:p>
    <w:p w:rsidR="0068434D" w:rsidRPr="00372C37" w:rsidRDefault="0068434D" w:rsidP="00961BCD">
      <w:pPr>
        <w:pStyle w:val="4"/>
      </w:pPr>
      <w:r w:rsidRPr="00372C37">
        <w:t>Российск</w:t>
      </w:r>
      <w:r w:rsidRPr="004D2C9E">
        <w:rPr>
          <w:rStyle w:val="40"/>
        </w:rPr>
        <w:t>а</w:t>
      </w:r>
      <w:r w:rsidRPr="00372C37">
        <w:t>я Федерация</w:t>
      </w:r>
    </w:p>
    <w:p w:rsidR="0068434D" w:rsidRPr="00B101DE" w:rsidRDefault="0074561A" w:rsidP="00961BCD">
      <w:pPr>
        <w:pStyle w:val="a8"/>
        <w:widowControl/>
        <w:ind w:firstLine="709"/>
        <w:jc w:val="both"/>
        <w:rPr>
          <w:rFonts w:ascii="Times New Roman" w:hAnsi="Times New Roman"/>
          <w:color w:val="000000"/>
          <w:sz w:val="28"/>
          <w:szCs w:val="28"/>
        </w:rPr>
      </w:pPr>
      <w:r>
        <w:rPr>
          <w:rFonts w:ascii="Times New Roman" w:hAnsi="Times New Roman"/>
          <w:color w:val="000000"/>
          <w:sz w:val="28"/>
          <w:szCs w:val="28"/>
        </w:rPr>
        <w:t>П</w:t>
      </w:r>
      <w:r w:rsidR="0068434D" w:rsidRPr="00B101DE">
        <w:rPr>
          <w:rFonts w:ascii="Times New Roman" w:hAnsi="Times New Roman"/>
          <w:color w:val="000000"/>
          <w:sz w:val="28"/>
          <w:szCs w:val="28"/>
        </w:rPr>
        <w:t xml:space="preserve">риоритетом для трансформации в цифровую экономику </w:t>
      </w:r>
      <w:r>
        <w:rPr>
          <w:rFonts w:ascii="Times New Roman" w:hAnsi="Times New Roman"/>
          <w:color w:val="000000"/>
          <w:sz w:val="28"/>
          <w:szCs w:val="28"/>
        </w:rPr>
        <w:t>явля</w:t>
      </w:r>
      <w:r w:rsidR="00EE7E9B">
        <w:rPr>
          <w:rFonts w:ascii="Times New Roman" w:hAnsi="Times New Roman"/>
          <w:color w:val="000000"/>
          <w:sz w:val="28"/>
          <w:szCs w:val="28"/>
        </w:rPr>
        <w:t>ю</w:t>
      </w:r>
      <w:r>
        <w:rPr>
          <w:rFonts w:ascii="Times New Roman" w:hAnsi="Times New Roman"/>
          <w:color w:val="000000"/>
          <w:sz w:val="28"/>
          <w:szCs w:val="28"/>
        </w:rPr>
        <w:t>тся</w:t>
      </w:r>
      <w:r w:rsidR="0068434D" w:rsidRPr="00B101DE">
        <w:rPr>
          <w:rFonts w:ascii="Times New Roman" w:hAnsi="Times New Roman"/>
          <w:color w:val="000000"/>
          <w:sz w:val="28"/>
          <w:szCs w:val="28"/>
        </w:rPr>
        <w:t xml:space="preserve"> технологически прогнозируемые элементы существующей экономической модели.</w:t>
      </w:r>
    </w:p>
    <w:p w:rsidR="0068434D" w:rsidRPr="002F73BA" w:rsidRDefault="0068434D" w:rsidP="00961BCD">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Исходя из реалий сегодняшнего времени</w:t>
      </w:r>
      <w:r w:rsidR="0082392D">
        <w:rPr>
          <w:rFonts w:ascii="Times New Roman" w:hAnsi="Times New Roman"/>
          <w:color w:val="000000"/>
          <w:sz w:val="28"/>
          <w:szCs w:val="28"/>
        </w:rPr>
        <w:t>,</w:t>
      </w:r>
      <w:r w:rsidRPr="002F73BA">
        <w:rPr>
          <w:rFonts w:ascii="Times New Roman" w:hAnsi="Times New Roman"/>
          <w:color w:val="000000"/>
          <w:sz w:val="28"/>
          <w:szCs w:val="28"/>
        </w:rPr>
        <w:t xml:space="preserve"> </w:t>
      </w:r>
      <w:r>
        <w:rPr>
          <w:rFonts w:ascii="Times New Roman" w:hAnsi="Times New Roman"/>
          <w:color w:val="000000"/>
          <w:sz w:val="28"/>
          <w:szCs w:val="28"/>
        </w:rPr>
        <w:t>требуется</w:t>
      </w:r>
      <w:r w:rsidRPr="002F73BA">
        <w:rPr>
          <w:rFonts w:ascii="Times New Roman" w:hAnsi="Times New Roman"/>
          <w:color w:val="000000"/>
          <w:sz w:val="28"/>
          <w:szCs w:val="28"/>
        </w:rPr>
        <w:t xml:space="preserve"> введени</w:t>
      </w:r>
      <w:r>
        <w:rPr>
          <w:rFonts w:ascii="Times New Roman" w:hAnsi="Times New Roman"/>
          <w:color w:val="000000"/>
          <w:sz w:val="28"/>
          <w:szCs w:val="28"/>
        </w:rPr>
        <w:t>е</w:t>
      </w:r>
      <w:r w:rsidRPr="002F73BA">
        <w:rPr>
          <w:rFonts w:ascii="Times New Roman" w:hAnsi="Times New Roman"/>
          <w:color w:val="000000"/>
          <w:sz w:val="28"/>
          <w:szCs w:val="28"/>
        </w:rPr>
        <w:t xml:space="preserve"> электронной формы торгов, способствующей обеспечению равного широкого</w:t>
      </w:r>
      <w:r>
        <w:rPr>
          <w:rFonts w:ascii="Times New Roman" w:hAnsi="Times New Roman"/>
          <w:color w:val="000000"/>
          <w:sz w:val="28"/>
          <w:szCs w:val="28"/>
        </w:rPr>
        <w:t xml:space="preserve"> доступа неограниченного</w:t>
      </w:r>
      <w:r w:rsidRPr="002F73BA">
        <w:rPr>
          <w:rFonts w:ascii="Times New Roman" w:hAnsi="Times New Roman"/>
          <w:color w:val="000000"/>
          <w:sz w:val="28"/>
          <w:szCs w:val="28"/>
        </w:rPr>
        <w:t xml:space="preserve"> круга лиц к получению прав на реализуемые государственные ресурсы на всей территории Российской Федерации.</w:t>
      </w:r>
    </w:p>
    <w:p w:rsidR="0068434D" w:rsidRPr="002F73BA" w:rsidRDefault="0068434D" w:rsidP="00961BCD">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Система электронных торгов представляет собой программные и технологические решения, предназначенные для автоматизации процедур подготовки и проведения электронных аукционов и других видов конкурентных процедур</w:t>
      </w:r>
      <w:r w:rsidR="00F9318B">
        <w:rPr>
          <w:rFonts w:ascii="Times New Roman" w:hAnsi="Times New Roman"/>
          <w:color w:val="000000"/>
          <w:sz w:val="28"/>
          <w:szCs w:val="28"/>
        </w:rPr>
        <w:t xml:space="preserve"> – </w:t>
      </w:r>
      <w:r w:rsidRPr="002F73BA">
        <w:rPr>
          <w:rFonts w:ascii="Times New Roman" w:hAnsi="Times New Roman"/>
          <w:color w:val="000000"/>
          <w:sz w:val="28"/>
          <w:szCs w:val="28"/>
        </w:rPr>
        <w:t>торгов.</w:t>
      </w:r>
    </w:p>
    <w:p w:rsidR="0068434D" w:rsidRPr="002F73BA" w:rsidRDefault="0068434D" w:rsidP="00961BCD">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 xml:space="preserve">В этой связи ФАС России активно проводит работу по увеличению количества видов торгов, проводимых в электронной форме и выступает инициатором введения перехода с </w:t>
      </w:r>
      <w:r w:rsidR="004D2C9E">
        <w:rPr>
          <w:rFonts w:ascii="Times New Roman" w:hAnsi="Times New Roman"/>
          <w:color w:val="000000"/>
          <w:sz w:val="28"/>
          <w:szCs w:val="28"/>
        </w:rPr>
        <w:t>«</w:t>
      </w:r>
      <w:r w:rsidRPr="002F73BA">
        <w:rPr>
          <w:rFonts w:ascii="Times New Roman" w:hAnsi="Times New Roman"/>
          <w:color w:val="000000"/>
          <w:sz w:val="28"/>
          <w:szCs w:val="28"/>
        </w:rPr>
        <w:t>бумажной</w:t>
      </w:r>
      <w:r w:rsidR="004D2C9E">
        <w:rPr>
          <w:rFonts w:ascii="Times New Roman" w:hAnsi="Times New Roman"/>
          <w:color w:val="000000"/>
          <w:sz w:val="28"/>
          <w:szCs w:val="28"/>
        </w:rPr>
        <w:t>»</w:t>
      </w:r>
      <w:r w:rsidRPr="002F73BA">
        <w:rPr>
          <w:rFonts w:ascii="Times New Roman" w:hAnsi="Times New Roman"/>
          <w:color w:val="000000"/>
          <w:sz w:val="28"/>
          <w:szCs w:val="28"/>
        </w:rPr>
        <w:t xml:space="preserve"> формы торгов на электронную.</w:t>
      </w:r>
    </w:p>
    <w:p w:rsidR="0068434D" w:rsidRPr="002F73BA" w:rsidRDefault="0068434D" w:rsidP="00961BCD">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Случаи и порядок проведения торгов в настоящее время регламентируются более чем 50 нормативными правовыми актами Российской Федерации, такими как Гражданский кодекс Росс</w:t>
      </w:r>
      <w:r w:rsidR="00EE7E9B">
        <w:rPr>
          <w:rFonts w:ascii="Times New Roman" w:hAnsi="Times New Roman"/>
          <w:color w:val="000000"/>
          <w:sz w:val="28"/>
          <w:szCs w:val="28"/>
        </w:rPr>
        <w:t>ийской Федерации, Лесн</w:t>
      </w:r>
      <w:r w:rsidRPr="002F73BA">
        <w:rPr>
          <w:rFonts w:ascii="Times New Roman" w:hAnsi="Times New Roman"/>
          <w:color w:val="000000"/>
          <w:sz w:val="28"/>
          <w:szCs w:val="28"/>
        </w:rPr>
        <w:t xml:space="preserve">ой кодекс Российской Федерации, Земельный кодекс Российской Федерации, </w:t>
      </w:r>
      <w:r w:rsidR="00EE7E9B">
        <w:rPr>
          <w:rFonts w:ascii="Times New Roman" w:hAnsi="Times New Roman"/>
          <w:color w:val="000000"/>
          <w:sz w:val="28"/>
          <w:szCs w:val="28"/>
        </w:rPr>
        <w:t>ф</w:t>
      </w:r>
      <w:r w:rsidR="00653241" w:rsidRPr="00653241">
        <w:rPr>
          <w:rFonts w:ascii="Times New Roman" w:hAnsi="Times New Roman"/>
          <w:color w:val="000000"/>
          <w:sz w:val="28"/>
          <w:szCs w:val="28"/>
        </w:rPr>
        <w:t>едеральны</w:t>
      </w:r>
      <w:r w:rsidR="00EE7E9B">
        <w:rPr>
          <w:rFonts w:ascii="Times New Roman" w:hAnsi="Times New Roman"/>
          <w:color w:val="000000"/>
          <w:sz w:val="28"/>
          <w:szCs w:val="28"/>
        </w:rPr>
        <w:t>е</w:t>
      </w:r>
      <w:r w:rsidR="00653241" w:rsidRPr="00653241">
        <w:rPr>
          <w:rFonts w:ascii="Times New Roman" w:hAnsi="Times New Roman"/>
          <w:color w:val="000000"/>
          <w:sz w:val="28"/>
          <w:szCs w:val="28"/>
        </w:rPr>
        <w:t xml:space="preserve"> закон</w:t>
      </w:r>
      <w:r w:rsidR="00EE7E9B">
        <w:rPr>
          <w:rFonts w:ascii="Times New Roman" w:hAnsi="Times New Roman"/>
          <w:color w:val="000000"/>
          <w:sz w:val="28"/>
          <w:szCs w:val="28"/>
        </w:rPr>
        <w:t>ы</w:t>
      </w:r>
      <w:r w:rsidR="00653241" w:rsidRPr="00653241">
        <w:rPr>
          <w:rFonts w:ascii="Times New Roman" w:hAnsi="Times New Roman"/>
          <w:color w:val="000000"/>
          <w:sz w:val="28"/>
          <w:szCs w:val="28"/>
        </w:rPr>
        <w:t xml:space="preserve"> </w:t>
      </w:r>
      <w:r w:rsidR="00EE7E9B">
        <w:rPr>
          <w:rFonts w:ascii="Times New Roman" w:hAnsi="Times New Roman"/>
          <w:color w:val="000000"/>
          <w:sz w:val="28"/>
          <w:szCs w:val="28"/>
        </w:rPr>
        <w:t>«</w:t>
      </w:r>
      <w:r w:rsidR="00653241" w:rsidRPr="00653241">
        <w:rPr>
          <w:rFonts w:ascii="Times New Roman" w:hAnsi="Times New Roman"/>
          <w:color w:val="000000"/>
          <w:sz w:val="28"/>
          <w:szCs w:val="28"/>
        </w:rPr>
        <w:t>О несостоятельности (банкротстве)</w:t>
      </w:r>
      <w:r w:rsidR="00EE7E9B">
        <w:rPr>
          <w:rFonts w:ascii="Times New Roman" w:hAnsi="Times New Roman"/>
          <w:color w:val="000000"/>
          <w:sz w:val="28"/>
          <w:szCs w:val="28"/>
        </w:rPr>
        <w:t>»</w:t>
      </w:r>
      <w:r w:rsidRPr="002F73BA">
        <w:rPr>
          <w:rFonts w:ascii="Times New Roman" w:hAnsi="Times New Roman"/>
          <w:color w:val="000000"/>
          <w:sz w:val="28"/>
          <w:szCs w:val="28"/>
        </w:rPr>
        <w:t xml:space="preserve">, </w:t>
      </w:r>
      <w:r w:rsidR="00EE7E9B">
        <w:rPr>
          <w:rFonts w:ascii="Times New Roman" w:hAnsi="Times New Roman"/>
          <w:color w:val="000000"/>
          <w:sz w:val="28"/>
          <w:szCs w:val="28"/>
        </w:rPr>
        <w:t>«</w:t>
      </w:r>
      <w:r w:rsidR="00653241" w:rsidRPr="00653241">
        <w:rPr>
          <w:rFonts w:ascii="Times New Roman" w:hAnsi="Times New Roman"/>
          <w:color w:val="000000"/>
          <w:sz w:val="28"/>
          <w:szCs w:val="28"/>
        </w:rPr>
        <w:t>О приватизации государственного и муниципального имущества</w:t>
      </w:r>
      <w:r w:rsidR="00EE7E9B">
        <w:rPr>
          <w:rFonts w:ascii="Times New Roman" w:hAnsi="Times New Roman"/>
          <w:color w:val="000000"/>
          <w:sz w:val="28"/>
          <w:szCs w:val="28"/>
        </w:rPr>
        <w:t>»</w:t>
      </w:r>
      <w:r w:rsidRPr="002F73BA">
        <w:rPr>
          <w:rFonts w:ascii="Times New Roman" w:hAnsi="Times New Roman"/>
          <w:color w:val="000000"/>
          <w:sz w:val="28"/>
          <w:szCs w:val="28"/>
        </w:rPr>
        <w:t xml:space="preserve">, </w:t>
      </w:r>
      <w:r w:rsidR="00EE7E9B">
        <w:rPr>
          <w:rFonts w:ascii="Times New Roman" w:hAnsi="Times New Roman"/>
          <w:color w:val="000000"/>
          <w:sz w:val="28"/>
          <w:szCs w:val="28"/>
        </w:rPr>
        <w:t>«</w:t>
      </w:r>
      <w:r w:rsidR="00653241" w:rsidRPr="00653241">
        <w:rPr>
          <w:rFonts w:ascii="Times New Roman" w:hAnsi="Times New Roman"/>
          <w:color w:val="000000"/>
          <w:sz w:val="28"/>
          <w:szCs w:val="28"/>
        </w:rPr>
        <w:t>Об исполнительном производстве</w:t>
      </w:r>
      <w:r w:rsidR="00EE7E9B">
        <w:rPr>
          <w:rFonts w:ascii="Times New Roman" w:hAnsi="Times New Roman"/>
          <w:color w:val="000000"/>
          <w:sz w:val="28"/>
          <w:szCs w:val="28"/>
        </w:rPr>
        <w:t>»</w:t>
      </w:r>
      <w:r w:rsidRPr="002F73BA">
        <w:rPr>
          <w:rFonts w:ascii="Times New Roman" w:hAnsi="Times New Roman"/>
          <w:color w:val="000000"/>
          <w:sz w:val="28"/>
          <w:szCs w:val="28"/>
        </w:rPr>
        <w:t xml:space="preserve">. </w:t>
      </w:r>
    </w:p>
    <w:p w:rsidR="0068434D" w:rsidRPr="002F73BA" w:rsidRDefault="0068434D" w:rsidP="00961BCD">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При этом следует отметить, что такие нормативные</w:t>
      </w:r>
      <w:r w:rsidR="00653241">
        <w:rPr>
          <w:rFonts w:ascii="Times New Roman" w:hAnsi="Times New Roman"/>
          <w:color w:val="000000"/>
          <w:sz w:val="28"/>
          <w:szCs w:val="28"/>
        </w:rPr>
        <w:t xml:space="preserve"> акты предусматривают отдельные</w:t>
      </w:r>
      <w:r w:rsidRPr="002F73BA">
        <w:rPr>
          <w:rFonts w:ascii="Times New Roman" w:hAnsi="Times New Roman"/>
          <w:color w:val="000000"/>
          <w:sz w:val="28"/>
          <w:szCs w:val="28"/>
        </w:rPr>
        <w:t xml:space="preserve"> отличающиеся друг от друга порядки организации и проведения процедур торгов, предусматривающие:</w:t>
      </w:r>
    </w:p>
    <w:p w:rsidR="0068434D" w:rsidRPr="002F73BA" w:rsidRDefault="0068434D" w:rsidP="00961BCD">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определенные способы и сроки информационного обеспечения торгов, например, в различных СМИ или на сайтах в Интернет</w:t>
      </w:r>
      <w:r w:rsidR="00653241">
        <w:rPr>
          <w:rFonts w:ascii="Times New Roman" w:hAnsi="Times New Roman"/>
          <w:color w:val="000000"/>
          <w:sz w:val="28"/>
          <w:szCs w:val="28"/>
        </w:rPr>
        <w:t>е</w:t>
      </w:r>
      <w:r w:rsidRPr="002F73BA">
        <w:rPr>
          <w:rFonts w:ascii="Times New Roman" w:hAnsi="Times New Roman"/>
          <w:color w:val="000000"/>
          <w:sz w:val="28"/>
          <w:szCs w:val="28"/>
        </w:rPr>
        <w:t>;</w:t>
      </w:r>
    </w:p>
    <w:p w:rsidR="0068434D" w:rsidRPr="00961BCD" w:rsidRDefault="0068434D" w:rsidP="00961BCD">
      <w:pPr>
        <w:pStyle w:val="a8"/>
        <w:widowControl/>
        <w:ind w:firstLine="709"/>
        <w:jc w:val="both"/>
        <w:rPr>
          <w:rFonts w:ascii="Times New Roman" w:hAnsi="Times New Roman"/>
          <w:color w:val="000000"/>
          <w:spacing w:val="-4"/>
          <w:sz w:val="28"/>
          <w:szCs w:val="28"/>
        </w:rPr>
      </w:pPr>
      <w:r w:rsidRPr="00961BCD">
        <w:rPr>
          <w:rFonts w:ascii="Times New Roman" w:hAnsi="Times New Roman"/>
          <w:color w:val="000000"/>
          <w:spacing w:val="-4"/>
          <w:sz w:val="28"/>
          <w:szCs w:val="28"/>
        </w:rPr>
        <w:t>специальные порядки подачи заявок на участие в торгах, в том числе предусматривающие различные требования к составу и оформлению документов, представляемых претендентами на участие в торгах при подаче заявок;</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особенности допуска/недопуска к участию в торгах, предполагающие различные требования к участникам торгов, основания для отказа в допуске к торгам;</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 xml:space="preserve">различные порядки заключения договоров по результатам торгов, предполагающие, например, существенно отличающиеся сроки заключения договоров. </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Такое многообразие процедур проведения торгов, а также непрозрачность их проведения негативно сказыва</w:t>
      </w:r>
      <w:r w:rsidR="00653241">
        <w:rPr>
          <w:rFonts w:ascii="Times New Roman" w:hAnsi="Times New Roman"/>
          <w:color w:val="000000"/>
          <w:sz w:val="28"/>
          <w:szCs w:val="28"/>
        </w:rPr>
        <w:t>ю</w:t>
      </w:r>
      <w:r w:rsidRPr="002F73BA">
        <w:rPr>
          <w:rFonts w:ascii="Times New Roman" w:hAnsi="Times New Roman"/>
          <w:color w:val="000000"/>
          <w:sz w:val="28"/>
          <w:szCs w:val="28"/>
        </w:rPr>
        <w:t>тся на развитии конкуренции и эффективности вовлечения в хозяйственный оборот государственного и муниципального имущества, имущественны</w:t>
      </w:r>
      <w:r>
        <w:rPr>
          <w:rFonts w:ascii="Times New Roman" w:hAnsi="Times New Roman"/>
          <w:color w:val="000000"/>
          <w:sz w:val="28"/>
          <w:szCs w:val="28"/>
        </w:rPr>
        <w:t xml:space="preserve">х прав и природных ресурсов и </w:t>
      </w:r>
      <w:r w:rsidRPr="002F73BA">
        <w:rPr>
          <w:rFonts w:ascii="Times New Roman" w:hAnsi="Times New Roman"/>
          <w:color w:val="000000"/>
          <w:sz w:val="28"/>
          <w:szCs w:val="28"/>
        </w:rPr>
        <w:t>способствует развитию коррупции.</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При этом большинство нормативных правовых актов, регулирующих процедуры торгов, не предусматривают их проведени</w:t>
      </w:r>
      <w:r w:rsidR="00653241">
        <w:rPr>
          <w:rFonts w:ascii="Times New Roman" w:hAnsi="Times New Roman"/>
          <w:color w:val="000000"/>
          <w:sz w:val="28"/>
          <w:szCs w:val="28"/>
        </w:rPr>
        <w:t>я</w:t>
      </w:r>
      <w:r w:rsidRPr="002F73BA">
        <w:rPr>
          <w:rFonts w:ascii="Times New Roman" w:hAnsi="Times New Roman"/>
          <w:color w:val="000000"/>
          <w:sz w:val="28"/>
          <w:szCs w:val="28"/>
        </w:rPr>
        <w:t xml:space="preserve"> в электронной форме на электронных площадках, что в существенной степени сужает круг участников торгов в связи с территориальной удаленностью отдельных субъектов Российской Федерации и невозможностью обеспечения доступности прозрачности процедур торгов в масштабах страны. </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 xml:space="preserve">В отдельных случаях нормативными актами, например, в рамках Земельного кодекса Российской Федерации или </w:t>
      </w:r>
      <w:r w:rsidR="00653241" w:rsidRPr="00653241">
        <w:rPr>
          <w:rFonts w:ascii="Times New Roman" w:hAnsi="Times New Roman"/>
          <w:color w:val="000000"/>
          <w:sz w:val="28"/>
          <w:szCs w:val="28"/>
        </w:rPr>
        <w:t>Федеральн</w:t>
      </w:r>
      <w:r w:rsidR="00653241">
        <w:rPr>
          <w:rFonts w:ascii="Times New Roman" w:hAnsi="Times New Roman"/>
          <w:color w:val="000000"/>
          <w:sz w:val="28"/>
          <w:szCs w:val="28"/>
        </w:rPr>
        <w:t>ого</w:t>
      </w:r>
      <w:r w:rsidR="00653241" w:rsidRPr="00653241">
        <w:rPr>
          <w:rFonts w:ascii="Times New Roman" w:hAnsi="Times New Roman"/>
          <w:color w:val="000000"/>
          <w:sz w:val="28"/>
          <w:szCs w:val="28"/>
        </w:rPr>
        <w:t xml:space="preserve"> закон</w:t>
      </w:r>
      <w:r w:rsidR="00653241">
        <w:rPr>
          <w:rFonts w:ascii="Times New Roman" w:hAnsi="Times New Roman"/>
          <w:color w:val="000000"/>
          <w:sz w:val="28"/>
          <w:szCs w:val="28"/>
        </w:rPr>
        <w:t>а</w:t>
      </w:r>
      <w:r w:rsidR="00653241" w:rsidRPr="00653241">
        <w:rPr>
          <w:rFonts w:ascii="Times New Roman" w:hAnsi="Times New Roman"/>
          <w:color w:val="000000"/>
          <w:sz w:val="28"/>
          <w:szCs w:val="28"/>
        </w:rPr>
        <w:t xml:space="preserve"> </w:t>
      </w:r>
      <w:r w:rsidR="00483209">
        <w:rPr>
          <w:rFonts w:ascii="Times New Roman" w:hAnsi="Times New Roman"/>
          <w:color w:val="000000"/>
          <w:sz w:val="28"/>
          <w:szCs w:val="28"/>
        </w:rPr>
        <w:br/>
      </w:r>
      <w:r w:rsidR="00395B4D">
        <w:rPr>
          <w:rFonts w:ascii="Times New Roman" w:hAnsi="Times New Roman"/>
          <w:color w:val="000000"/>
          <w:sz w:val="28"/>
          <w:szCs w:val="28"/>
        </w:rPr>
        <w:t>«</w:t>
      </w:r>
      <w:r w:rsidR="00653241" w:rsidRPr="00653241">
        <w:rPr>
          <w:rFonts w:ascii="Times New Roman" w:hAnsi="Times New Roman"/>
          <w:color w:val="000000"/>
          <w:sz w:val="28"/>
          <w:szCs w:val="28"/>
        </w:rPr>
        <w:t>О несостоятельности (банкротстве)</w:t>
      </w:r>
      <w:r w:rsidR="00395B4D">
        <w:rPr>
          <w:rFonts w:ascii="Times New Roman" w:hAnsi="Times New Roman"/>
          <w:color w:val="000000"/>
          <w:sz w:val="28"/>
          <w:szCs w:val="28"/>
        </w:rPr>
        <w:t>»</w:t>
      </w:r>
      <w:r w:rsidRPr="002F73BA">
        <w:rPr>
          <w:rFonts w:ascii="Times New Roman" w:hAnsi="Times New Roman"/>
          <w:color w:val="000000"/>
          <w:sz w:val="28"/>
          <w:szCs w:val="28"/>
        </w:rPr>
        <w:t xml:space="preserve">, предусмотрена возможность проведения торгов в электронной форме. </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 xml:space="preserve">Вместе с тем наличие такой возможности </w:t>
      </w:r>
      <w:r w:rsidR="00653241">
        <w:rPr>
          <w:rFonts w:ascii="Times New Roman" w:hAnsi="Times New Roman"/>
          <w:color w:val="000000"/>
          <w:sz w:val="28"/>
          <w:szCs w:val="28"/>
        </w:rPr>
        <w:t>при</w:t>
      </w:r>
      <w:r w:rsidRPr="002F73BA">
        <w:rPr>
          <w:rFonts w:ascii="Times New Roman" w:hAnsi="Times New Roman"/>
          <w:color w:val="000000"/>
          <w:sz w:val="28"/>
          <w:szCs w:val="28"/>
        </w:rPr>
        <w:t xml:space="preserve"> отсутстви</w:t>
      </w:r>
      <w:r w:rsidR="00653241">
        <w:rPr>
          <w:rFonts w:ascii="Times New Roman" w:hAnsi="Times New Roman"/>
          <w:color w:val="000000"/>
          <w:sz w:val="28"/>
          <w:szCs w:val="28"/>
        </w:rPr>
        <w:t>и</w:t>
      </w:r>
      <w:r w:rsidRPr="002F73BA">
        <w:rPr>
          <w:rFonts w:ascii="Times New Roman" w:hAnsi="Times New Roman"/>
          <w:color w:val="000000"/>
          <w:sz w:val="28"/>
          <w:szCs w:val="28"/>
        </w:rPr>
        <w:t xml:space="preserve"> единого перечня электронных площадок и требований к их функционированию, в том числе к порядку аккредитации на электронных площадках, подачи заявок на участие в торгах, порядку взаимодействия с организатором торгов, распределения функций по организации и проведению торгов между организатором торгов и оператором электронной площадки, затрудняет доступ значительного числа лиц, заинтересованных в участии в торгах, к процедурам их проведения, а также в отдельных случаях вынуждает организаторов торгов (собственников имущества) отказываться от проведения торгов в электронной форме.</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Более того, отсутствие указанных единых нормативно установленных требований к функционированию электронных площадок приводит к невозможности обеспечения прозрачности проведения процедур обязательных торгов, антиконкурентым действиям операторов электронных площадок,</w:t>
      </w:r>
      <w:r w:rsidR="00636F0D">
        <w:rPr>
          <w:rFonts w:ascii="Times New Roman" w:hAnsi="Times New Roman"/>
          <w:color w:val="000000"/>
          <w:sz w:val="28"/>
          <w:szCs w:val="28"/>
        </w:rPr>
        <w:t xml:space="preserve"> </w:t>
      </w:r>
      <w:r w:rsidRPr="002F73BA">
        <w:rPr>
          <w:rFonts w:ascii="Times New Roman" w:hAnsi="Times New Roman"/>
          <w:color w:val="000000"/>
          <w:sz w:val="28"/>
          <w:szCs w:val="28"/>
        </w:rPr>
        <w:t xml:space="preserve">невозможности осуществления антимонопольным органом полноценного контроля за порядком организации и проведения обязательных в силу законодательства Российской Федерации торгов, пресечения и предупреждения недобросовестных действий операторов электронных площадок в рамках торгов. </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Ввиду наличия указанных проблем ФАС России с 2014 года ведется работа, направленная на устранение препятствий доступа хозяйствующих субъектов к распределяемым государственным ресурсам (государственному имуществу, имущественным правам и природным ресурсам).</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 xml:space="preserve">ФАС России совместно с </w:t>
      </w:r>
      <w:r w:rsidR="00395B4D">
        <w:rPr>
          <w:rFonts w:ascii="Times New Roman" w:hAnsi="Times New Roman"/>
          <w:color w:val="000000"/>
          <w:sz w:val="28"/>
          <w:szCs w:val="28"/>
        </w:rPr>
        <w:t>о</w:t>
      </w:r>
      <w:r w:rsidR="008611D6" w:rsidRPr="008611D6">
        <w:rPr>
          <w:rFonts w:ascii="Times New Roman" w:hAnsi="Times New Roman"/>
          <w:color w:val="000000"/>
          <w:sz w:val="28"/>
          <w:szCs w:val="28"/>
        </w:rPr>
        <w:t>бщероссийской общественной организаци</w:t>
      </w:r>
      <w:r w:rsidR="008611D6">
        <w:rPr>
          <w:rFonts w:ascii="Times New Roman" w:hAnsi="Times New Roman"/>
          <w:color w:val="000000"/>
          <w:sz w:val="28"/>
          <w:szCs w:val="28"/>
        </w:rPr>
        <w:t>ей</w:t>
      </w:r>
      <w:r w:rsidR="008611D6" w:rsidRPr="008611D6">
        <w:rPr>
          <w:rFonts w:ascii="Times New Roman" w:hAnsi="Times New Roman"/>
          <w:color w:val="000000"/>
          <w:sz w:val="28"/>
          <w:szCs w:val="28"/>
        </w:rPr>
        <w:t xml:space="preserve"> малого и среднего предпринимательства «Опора России» </w:t>
      </w:r>
      <w:r w:rsidRPr="002F73BA">
        <w:rPr>
          <w:rFonts w:ascii="Times New Roman" w:hAnsi="Times New Roman"/>
          <w:color w:val="000000"/>
          <w:sz w:val="28"/>
          <w:szCs w:val="28"/>
        </w:rPr>
        <w:t>выступил</w:t>
      </w:r>
      <w:r w:rsidR="00E456B0">
        <w:rPr>
          <w:rFonts w:ascii="Times New Roman" w:hAnsi="Times New Roman"/>
          <w:color w:val="000000"/>
          <w:sz w:val="28"/>
          <w:szCs w:val="28"/>
        </w:rPr>
        <w:t>а</w:t>
      </w:r>
      <w:r w:rsidRPr="002F73BA">
        <w:rPr>
          <w:rFonts w:ascii="Times New Roman" w:hAnsi="Times New Roman"/>
          <w:color w:val="000000"/>
          <w:sz w:val="28"/>
          <w:szCs w:val="28"/>
        </w:rPr>
        <w:t xml:space="preserve"> с инициативой о необходимости унификации процедур обязательных в силу законодательства Российской Федерации торгов и установления единого порядка организации и проведения торгов в электронной форме на едином перечне электронных площадок, функционирующих по единым требованиям.</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Предложение было поддержано Правительством Российской Федерации. В соответствии с протоколом совещания у Первого заместителя Председателя Правительства Российской Федерации И.И.Шувалова принято решение об унификации процедур торгов в отношении государственного (муниципального) имущества, имущественных прав и природных ресурсов в рамках Федерального закона от 5</w:t>
      </w:r>
      <w:r w:rsidR="00A91471">
        <w:rPr>
          <w:rFonts w:ascii="Times New Roman" w:hAnsi="Times New Roman"/>
          <w:color w:val="000000"/>
          <w:sz w:val="28"/>
          <w:szCs w:val="28"/>
        </w:rPr>
        <w:t xml:space="preserve"> апреля </w:t>
      </w:r>
      <w:r w:rsidRPr="002F73BA">
        <w:rPr>
          <w:rFonts w:ascii="Times New Roman" w:hAnsi="Times New Roman"/>
          <w:color w:val="000000"/>
          <w:sz w:val="28"/>
          <w:szCs w:val="28"/>
        </w:rPr>
        <w:t>2013</w:t>
      </w:r>
      <w:r w:rsidR="00A91471">
        <w:rPr>
          <w:rFonts w:ascii="Times New Roman" w:hAnsi="Times New Roman"/>
          <w:color w:val="000000"/>
          <w:sz w:val="28"/>
          <w:szCs w:val="28"/>
        </w:rPr>
        <w:t xml:space="preserve"> года</w:t>
      </w:r>
      <w:r w:rsidRPr="002F73BA">
        <w:rPr>
          <w:rFonts w:ascii="Times New Roman" w:hAnsi="Times New Roman"/>
          <w:color w:val="000000"/>
          <w:sz w:val="28"/>
          <w:szCs w:val="28"/>
        </w:rPr>
        <w:t xml:space="preserve"> </w:t>
      </w:r>
      <w:r w:rsidR="00E720B2">
        <w:rPr>
          <w:rFonts w:ascii="Times New Roman" w:hAnsi="Times New Roman"/>
          <w:color w:val="000000"/>
          <w:sz w:val="28"/>
          <w:szCs w:val="28"/>
        </w:rPr>
        <w:t>№ </w:t>
      </w:r>
      <w:r w:rsidRPr="002F73BA">
        <w:rPr>
          <w:rFonts w:ascii="Times New Roman" w:hAnsi="Times New Roman"/>
          <w:color w:val="000000"/>
          <w:sz w:val="28"/>
          <w:szCs w:val="28"/>
        </w:rPr>
        <w:t xml:space="preserve">44-ФЗ </w:t>
      </w:r>
      <w:r w:rsidR="004D2C9E">
        <w:rPr>
          <w:rFonts w:ascii="Times New Roman" w:hAnsi="Times New Roman"/>
          <w:color w:val="000000"/>
          <w:sz w:val="28"/>
          <w:szCs w:val="28"/>
        </w:rPr>
        <w:t>«</w:t>
      </w:r>
      <w:r w:rsidRPr="002F73BA">
        <w:rPr>
          <w:rFonts w:ascii="Times New Roman" w:hAnsi="Times New Roman"/>
          <w:color w:val="000000"/>
          <w:sz w:val="28"/>
          <w:szCs w:val="28"/>
        </w:rPr>
        <w:t>О контрактной системе в сфере закупок товаров, работ, услуг для обеспечения государственных и муниципальных нужд</w:t>
      </w:r>
      <w:r w:rsidR="004D2C9E">
        <w:rPr>
          <w:rFonts w:ascii="Times New Roman" w:hAnsi="Times New Roman"/>
          <w:color w:val="000000"/>
          <w:sz w:val="28"/>
          <w:szCs w:val="28"/>
        </w:rPr>
        <w:t>»</w:t>
      </w:r>
      <w:r w:rsidR="00395B4D">
        <w:rPr>
          <w:rFonts w:ascii="Times New Roman" w:hAnsi="Times New Roman"/>
          <w:color w:val="000000"/>
          <w:sz w:val="28"/>
          <w:szCs w:val="28"/>
        </w:rPr>
        <w:t xml:space="preserve"> (далее – Закон </w:t>
      </w:r>
      <w:r w:rsidR="00E720B2">
        <w:rPr>
          <w:rFonts w:ascii="Times New Roman" w:hAnsi="Times New Roman"/>
          <w:color w:val="000000"/>
          <w:sz w:val="28"/>
          <w:szCs w:val="28"/>
        </w:rPr>
        <w:t>№ </w:t>
      </w:r>
      <w:r w:rsidR="00395B4D">
        <w:rPr>
          <w:rFonts w:ascii="Times New Roman" w:hAnsi="Times New Roman"/>
          <w:color w:val="000000"/>
          <w:sz w:val="28"/>
          <w:szCs w:val="28"/>
        </w:rPr>
        <w:t>44-ФЗ)</w:t>
      </w:r>
      <w:r w:rsidRPr="002F73BA">
        <w:rPr>
          <w:rFonts w:ascii="Times New Roman" w:hAnsi="Times New Roman"/>
          <w:color w:val="000000"/>
          <w:sz w:val="28"/>
          <w:szCs w:val="28"/>
        </w:rPr>
        <w:t xml:space="preserve"> и необходимости проведения таких торгов в электронной форме на универсальных электронных площадках, отобранных в соответствии </w:t>
      </w:r>
      <w:r w:rsidR="008611D6">
        <w:rPr>
          <w:rFonts w:ascii="Times New Roman" w:hAnsi="Times New Roman"/>
          <w:color w:val="000000"/>
          <w:sz w:val="28"/>
          <w:szCs w:val="28"/>
        </w:rPr>
        <w:t xml:space="preserve">с </w:t>
      </w:r>
      <w:r w:rsidR="00395B4D">
        <w:rPr>
          <w:rFonts w:ascii="Times New Roman" w:hAnsi="Times New Roman"/>
          <w:color w:val="000000"/>
          <w:sz w:val="28"/>
          <w:szCs w:val="28"/>
        </w:rPr>
        <w:t xml:space="preserve">указанным </w:t>
      </w:r>
      <w:r w:rsidR="008611D6" w:rsidRPr="008611D6">
        <w:rPr>
          <w:rFonts w:ascii="Times New Roman" w:hAnsi="Times New Roman"/>
          <w:color w:val="000000"/>
          <w:sz w:val="28"/>
          <w:szCs w:val="28"/>
        </w:rPr>
        <w:t>Федеральны</w:t>
      </w:r>
      <w:r w:rsidR="008611D6">
        <w:rPr>
          <w:rFonts w:ascii="Times New Roman" w:hAnsi="Times New Roman"/>
          <w:color w:val="000000"/>
          <w:sz w:val="28"/>
          <w:szCs w:val="28"/>
        </w:rPr>
        <w:t>м</w:t>
      </w:r>
      <w:r w:rsidR="008611D6" w:rsidRPr="008611D6">
        <w:rPr>
          <w:rFonts w:ascii="Times New Roman" w:hAnsi="Times New Roman"/>
          <w:color w:val="000000"/>
          <w:sz w:val="28"/>
          <w:szCs w:val="28"/>
        </w:rPr>
        <w:t xml:space="preserve"> закон</w:t>
      </w:r>
      <w:r w:rsidR="008611D6">
        <w:rPr>
          <w:rFonts w:ascii="Times New Roman" w:hAnsi="Times New Roman"/>
          <w:color w:val="000000"/>
          <w:sz w:val="28"/>
          <w:szCs w:val="28"/>
        </w:rPr>
        <w:t>ом</w:t>
      </w:r>
      <w:r w:rsidRPr="002F73BA">
        <w:rPr>
          <w:rFonts w:ascii="Times New Roman" w:hAnsi="Times New Roman"/>
          <w:color w:val="000000"/>
          <w:sz w:val="28"/>
          <w:szCs w:val="28"/>
        </w:rPr>
        <w:t>.</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Реализация предлагаемой концепции устранит регуляторные барьеры, обеспечит информационную прозрачность распределения государственных ресурсов, будет способствовать предупреждению антиконкурентных действий органов власти и органов местного самоуправления, оператором электронных площадок, что в совокупности создаст максимально благоприятную инвестиционную среду. Кроме того, установление порядка проведения торгов в электронной форме с применением программно</w:t>
      </w:r>
      <w:r>
        <w:rPr>
          <w:rFonts w:ascii="Times New Roman" w:hAnsi="Times New Roman"/>
          <w:color w:val="000000"/>
          <w:sz w:val="28"/>
          <w:szCs w:val="28"/>
        </w:rPr>
        <w:t>-</w:t>
      </w:r>
      <w:r w:rsidRPr="002F73BA">
        <w:rPr>
          <w:rFonts w:ascii="Times New Roman" w:hAnsi="Times New Roman"/>
          <w:color w:val="000000"/>
          <w:sz w:val="28"/>
          <w:szCs w:val="28"/>
        </w:rPr>
        <w:t xml:space="preserve">аппаратных средств </w:t>
      </w:r>
      <w:r w:rsidR="008611D6">
        <w:rPr>
          <w:rFonts w:ascii="Times New Roman" w:hAnsi="Times New Roman"/>
          <w:color w:val="000000"/>
          <w:sz w:val="28"/>
          <w:szCs w:val="28"/>
        </w:rPr>
        <w:t>э</w:t>
      </w:r>
      <w:r w:rsidR="008611D6" w:rsidRPr="008611D6">
        <w:rPr>
          <w:rFonts w:ascii="Times New Roman" w:hAnsi="Times New Roman"/>
          <w:color w:val="000000"/>
          <w:sz w:val="28"/>
          <w:szCs w:val="28"/>
        </w:rPr>
        <w:t>лектронн</w:t>
      </w:r>
      <w:r w:rsidR="008611D6">
        <w:rPr>
          <w:rFonts w:ascii="Times New Roman" w:hAnsi="Times New Roman"/>
          <w:color w:val="000000"/>
          <w:sz w:val="28"/>
          <w:szCs w:val="28"/>
        </w:rPr>
        <w:t>ой</w:t>
      </w:r>
      <w:r w:rsidR="008611D6" w:rsidRPr="008611D6">
        <w:rPr>
          <w:rFonts w:ascii="Times New Roman" w:hAnsi="Times New Roman"/>
          <w:color w:val="000000"/>
          <w:sz w:val="28"/>
          <w:szCs w:val="28"/>
        </w:rPr>
        <w:t xml:space="preserve"> торгов</w:t>
      </w:r>
      <w:r w:rsidR="008611D6">
        <w:rPr>
          <w:rFonts w:ascii="Times New Roman" w:hAnsi="Times New Roman"/>
          <w:color w:val="000000"/>
          <w:sz w:val="28"/>
          <w:szCs w:val="28"/>
        </w:rPr>
        <w:t>ой</w:t>
      </w:r>
      <w:r w:rsidR="008611D6" w:rsidRPr="008611D6">
        <w:rPr>
          <w:rFonts w:ascii="Times New Roman" w:hAnsi="Times New Roman"/>
          <w:color w:val="000000"/>
          <w:sz w:val="28"/>
          <w:szCs w:val="28"/>
        </w:rPr>
        <w:t xml:space="preserve"> площадк</w:t>
      </w:r>
      <w:r w:rsidR="008611D6">
        <w:rPr>
          <w:rFonts w:ascii="Times New Roman" w:hAnsi="Times New Roman"/>
          <w:color w:val="000000"/>
          <w:sz w:val="28"/>
          <w:szCs w:val="28"/>
        </w:rPr>
        <w:t>и</w:t>
      </w:r>
      <w:r w:rsidRPr="002F73BA">
        <w:rPr>
          <w:rFonts w:ascii="Times New Roman" w:hAnsi="Times New Roman"/>
          <w:color w:val="000000"/>
          <w:sz w:val="28"/>
          <w:szCs w:val="28"/>
        </w:rPr>
        <w:t xml:space="preserve"> позволит повысить конфиденциальность участников закупок, а также минимизировать субъективный фактор при оценке их заявок со стороны организаторов торгов.</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В настоящее время в рамках совершенствования отдельных процедур проведения торгов предложенная ФАС России концепция уже реализована.</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 xml:space="preserve">В частности, </w:t>
      </w:r>
      <w:r w:rsidR="008611D6">
        <w:rPr>
          <w:rFonts w:ascii="Times New Roman" w:hAnsi="Times New Roman"/>
          <w:color w:val="000000"/>
          <w:sz w:val="28"/>
          <w:szCs w:val="28"/>
        </w:rPr>
        <w:t>п</w:t>
      </w:r>
      <w:r w:rsidRPr="002F73BA">
        <w:rPr>
          <w:rFonts w:ascii="Times New Roman" w:hAnsi="Times New Roman"/>
          <w:color w:val="000000"/>
          <w:sz w:val="28"/>
          <w:szCs w:val="28"/>
        </w:rPr>
        <w:t>остановлением Правительства Российской Федерации</w:t>
      </w:r>
      <w:r w:rsidRPr="002F73BA">
        <w:rPr>
          <w:rFonts w:ascii="Times New Roman" w:hAnsi="Times New Roman"/>
          <w:color w:val="000000"/>
          <w:sz w:val="28"/>
          <w:szCs w:val="28"/>
        </w:rPr>
        <w:br/>
        <w:t>от 20</w:t>
      </w:r>
      <w:r w:rsidR="00A91471">
        <w:rPr>
          <w:rFonts w:ascii="Times New Roman" w:hAnsi="Times New Roman"/>
          <w:color w:val="000000"/>
          <w:sz w:val="28"/>
          <w:szCs w:val="28"/>
        </w:rPr>
        <w:t xml:space="preserve"> октября </w:t>
      </w:r>
      <w:r w:rsidRPr="002F73BA">
        <w:rPr>
          <w:rFonts w:ascii="Times New Roman" w:hAnsi="Times New Roman"/>
          <w:color w:val="000000"/>
          <w:sz w:val="28"/>
          <w:szCs w:val="28"/>
        </w:rPr>
        <w:t>2017</w:t>
      </w:r>
      <w:r w:rsidR="00A91471">
        <w:rPr>
          <w:rFonts w:ascii="Times New Roman" w:hAnsi="Times New Roman"/>
          <w:color w:val="000000"/>
          <w:sz w:val="28"/>
          <w:szCs w:val="28"/>
        </w:rPr>
        <w:t xml:space="preserve"> года</w:t>
      </w:r>
      <w:r w:rsidRPr="002F73BA">
        <w:rPr>
          <w:rFonts w:ascii="Times New Roman" w:hAnsi="Times New Roman"/>
          <w:color w:val="000000"/>
          <w:sz w:val="28"/>
          <w:szCs w:val="28"/>
        </w:rPr>
        <w:t xml:space="preserve"> </w:t>
      </w:r>
      <w:r w:rsidR="00E720B2">
        <w:rPr>
          <w:rFonts w:ascii="Times New Roman" w:hAnsi="Times New Roman"/>
          <w:color w:val="000000"/>
          <w:sz w:val="28"/>
          <w:szCs w:val="28"/>
        </w:rPr>
        <w:t>№ </w:t>
      </w:r>
      <w:r w:rsidRPr="002F73BA">
        <w:rPr>
          <w:rFonts w:ascii="Times New Roman" w:hAnsi="Times New Roman"/>
          <w:color w:val="000000"/>
          <w:sz w:val="28"/>
          <w:szCs w:val="28"/>
        </w:rPr>
        <w:t xml:space="preserve">1280 были внесены поправки в </w:t>
      </w:r>
      <w:r w:rsidR="008611D6">
        <w:rPr>
          <w:rFonts w:ascii="Times New Roman" w:hAnsi="Times New Roman"/>
          <w:color w:val="000000"/>
          <w:sz w:val="28"/>
          <w:szCs w:val="28"/>
        </w:rPr>
        <w:t>п</w:t>
      </w:r>
      <w:r w:rsidRPr="002F73BA">
        <w:rPr>
          <w:rFonts w:ascii="Times New Roman" w:hAnsi="Times New Roman"/>
          <w:color w:val="000000"/>
          <w:sz w:val="28"/>
          <w:szCs w:val="28"/>
        </w:rPr>
        <w:t>остановление Правительства Российской Федерации от 3</w:t>
      </w:r>
      <w:r w:rsidR="00993438">
        <w:rPr>
          <w:rFonts w:ascii="Times New Roman" w:hAnsi="Times New Roman"/>
          <w:color w:val="000000"/>
          <w:sz w:val="28"/>
          <w:szCs w:val="28"/>
        </w:rPr>
        <w:t xml:space="preserve"> ноября </w:t>
      </w:r>
      <w:r w:rsidRPr="002F73BA">
        <w:rPr>
          <w:rFonts w:ascii="Times New Roman" w:hAnsi="Times New Roman"/>
          <w:color w:val="000000"/>
          <w:sz w:val="28"/>
          <w:szCs w:val="28"/>
        </w:rPr>
        <w:t>2016</w:t>
      </w:r>
      <w:r w:rsidR="00993438">
        <w:rPr>
          <w:rFonts w:ascii="Times New Roman" w:hAnsi="Times New Roman"/>
          <w:color w:val="000000"/>
          <w:sz w:val="28"/>
          <w:szCs w:val="28"/>
        </w:rPr>
        <w:t> года</w:t>
      </w:r>
      <w:r w:rsidRPr="002F73BA">
        <w:rPr>
          <w:rFonts w:ascii="Times New Roman" w:hAnsi="Times New Roman"/>
          <w:color w:val="000000"/>
          <w:sz w:val="28"/>
          <w:szCs w:val="28"/>
        </w:rPr>
        <w:t xml:space="preserve"> </w:t>
      </w:r>
      <w:r w:rsidR="00E720B2">
        <w:rPr>
          <w:rFonts w:ascii="Times New Roman" w:hAnsi="Times New Roman"/>
          <w:color w:val="000000"/>
          <w:sz w:val="28"/>
          <w:szCs w:val="28"/>
        </w:rPr>
        <w:t>№ </w:t>
      </w:r>
      <w:r w:rsidRPr="002F73BA">
        <w:rPr>
          <w:rFonts w:ascii="Times New Roman" w:hAnsi="Times New Roman"/>
          <w:color w:val="000000"/>
          <w:sz w:val="28"/>
          <w:szCs w:val="28"/>
        </w:rPr>
        <w:t xml:space="preserve">1133 </w:t>
      </w:r>
      <w:r w:rsidR="00993438">
        <w:rPr>
          <w:rFonts w:ascii="Times New Roman" w:hAnsi="Times New Roman"/>
          <w:color w:val="000000"/>
          <w:sz w:val="28"/>
          <w:szCs w:val="28"/>
        </w:rPr>
        <w:br/>
      </w:r>
      <w:r w:rsidR="004D2C9E">
        <w:rPr>
          <w:rFonts w:ascii="Times New Roman" w:hAnsi="Times New Roman"/>
          <w:color w:val="000000"/>
          <w:sz w:val="28"/>
          <w:szCs w:val="28"/>
        </w:rPr>
        <w:t>«</w:t>
      </w:r>
      <w:r w:rsidRPr="002F73BA">
        <w:rPr>
          <w:rFonts w:ascii="Times New Roman" w:hAnsi="Times New Roman"/>
          <w:color w:val="000000"/>
          <w:sz w:val="28"/>
          <w:szCs w:val="28"/>
        </w:rPr>
        <w:t>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r w:rsidR="004D2C9E">
        <w:rPr>
          <w:rFonts w:ascii="Times New Roman" w:hAnsi="Times New Roman"/>
          <w:color w:val="000000"/>
          <w:sz w:val="28"/>
          <w:szCs w:val="28"/>
        </w:rPr>
        <w:t>»</w:t>
      </w:r>
      <w:r w:rsidRPr="002F73BA">
        <w:rPr>
          <w:rFonts w:ascii="Times New Roman" w:hAnsi="Times New Roman"/>
          <w:color w:val="000000"/>
          <w:sz w:val="28"/>
          <w:szCs w:val="28"/>
        </w:rPr>
        <w:t xml:space="preserve">. Данные поправки предусматривают обязательное проведение торгов по выбору поставщика услуг по вывозу мусора для регионального оператора твердых коммунальных отходов посредством аукциона в электронной форме на электронных площадках, функционирующих в соответствии с </w:t>
      </w:r>
      <w:r w:rsidR="003E2967" w:rsidRPr="003E2967">
        <w:rPr>
          <w:rFonts w:ascii="Times New Roman" w:hAnsi="Times New Roman"/>
          <w:color w:val="000000"/>
          <w:sz w:val="28"/>
          <w:szCs w:val="28"/>
        </w:rPr>
        <w:t>Закон</w:t>
      </w:r>
      <w:r w:rsidR="003E2967">
        <w:rPr>
          <w:rFonts w:ascii="Times New Roman" w:hAnsi="Times New Roman"/>
          <w:color w:val="000000"/>
          <w:sz w:val="28"/>
          <w:szCs w:val="28"/>
        </w:rPr>
        <w:t>ом</w:t>
      </w:r>
      <w:r w:rsidR="003E2967" w:rsidRPr="003E2967">
        <w:rPr>
          <w:rFonts w:ascii="Times New Roman" w:hAnsi="Times New Roman"/>
          <w:color w:val="000000"/>
          <w:sz w:val="28"/>
          <w:szCs w:val="28"/>
        </w:rPr>
        <w:t xml:space="preserve"> </w:t>
      </w:r>
      <w:r w:rsidR="00E720B2">
        <w:rPr>
          <w:rFonts w:ascii="Times New Roman" w:hAnsi="Times New Roman"/>
          <w:color w:val="000000"/>
          <w:sz w:val="28"/>
          <w:szCs w:val="28"/>
        </w:rPr>
        <w:t>№ </w:t>
      </w:r>
      <w:r w:rsidR="003E2967" w:rsidRPr="003E2967">
        <w:rPr>
          <w:rFonts w:ascii="Times New Roman" w:hAnsi="Times New Roman"/>
          <w:color w:val="000000"/>
          <w:sz w:val="28"/>
          <w:szCs w:val="28"/>
        </w:rPr>
        <w:t>44-ФЗ</w:t>
      </w:r>
      <w:r w:rsidRPr="002F73BA">
        <w:rPr>
          <w:rFonts w:ascii="Times New Roman" w:hAnsi="Times New Roman"/>
          <w:color w:val="000000"/>
          <w:sz w:val="28"/>
          <w:szCs w:val="28"/>
        </w:rPr>
        <w:t>.</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Также Федеральным законом от 29</w:t>
      </w:r>
      <w:r w:rsidR="00A91471">
        <w:rPr>
          <w:rFonts w:ascii="Times New Roman" w:hAnsi="Times New Roman"/>
          <w:color w:val="000000"/>
          <w:sz w:val="28"/>
          <w:szCs w:val="28"/>
        </w:rPr>
        <w:t xml:space="preserve"> декабря </w:t>
      </w:r>
      <w:r w:rsidRPr="002F73BA">
        <w:rPr>
          <w:rFonts w:ascii="Times New Roman" w:hAnsi="Times New Roman"/>
          <w:color w:val="000000"/>
          <w:sz w:val="28"/>
          <w:szCs w:val="28"/>
        </w:rPr>
        <w:t>2017</w:t>
      </w:r>
      <w:r w:rsidR="00A91471">
        <w:rPr>
          <w:rFonts w:ascii="Times New Roman" w:hAnsi="Times New Roman"/>
          <w:color w:val="000000"/>
          <w:sz w:val="28"/>
          <w:szCs w:val="28"/>
        </w:rPr>
        <w:t xml:space="preserve"> года</w:t>
      </w:r>
      <w:r w:rsidRPr="002F73BA">
        <w:rPr>
          <w:rFonts w:ascii="Times New Roman" w:hAnsi="Times New Roman"/>
          <w:color w:val="000000"/>
          <w:sz w:val="28"/>
          <w:szCs w:val="28"/>
        </w:rPr>
        <w:t xml:space="preserve"> </w:t>
      </w:r>
      <w:r w:rsidR="00E720B2">
        <w:rPr>
          <w:rFonts w:ascii="Times New Roman" w:hAnsi="Times New Roman"/>
          <w:color w:val="000000"/>
          <w:sz w:val="28"/>
          <w:szCs w:val="28"/>
        </w:rPr>
        <w:t>№ </w:t>
      </w:r>
      <w:r w:rsidRPr="002F73BA">
        <w:rPr>
          <w:rFonts w:ascii="Times New Roman" w:hAnsi="Times New Roman"/>
          <w:color w:val="000000"/>
          <w:sz w:val="28"/>
          <w:szCs w:val="28"/>
        </w:rPr>
        <w:t xml:space="preserve">471-ФЗ были внесены изменения в Лесной кодекс Российской Федерации, предусматривающие проведение аукционов на право заключения договоров аренды лесных участков, находящихся в государственной (муниципальной) собственности, либо на право заключения договоров купли-продажи лесных насаждений в определенных законом случаях в электронной форме с использованием электронных площадок, функционирующих в соответствии с </w:t>
      </w:r>
      <w:r w:rsidR="003E2967" w:rsidRPr="003E2967">
        <w:rPr>
          <w:rFonts w:ascii="Times New Roman" w:hAnsi="Times New Roman"/>
          <w:color w:val="000000"/>
          <w:sz w:val="28"/>
          <w:szCs w:val="28"/>
        </w:rPr>
        <w:t>Закон</w:t>
      </w:r>
      <w:r w:rsidR="003E2967">
        <w:rPr>
          <w:rFonts w:ascii="Times New Roman" w:hAnsi="Times New Roman"/>
          <w:color w:val="000000"/>
          <w:sz w:val="28"/>
          <w:szCs w:val="28"/>
        </w:rPr>
        <w:t>ом</w:t>
      </w:r>
      <w:r w:rsidR="003E2967" w:rsidRPr="003E2967">
        <w:rPr>
          <w:rFonts w:ascii="Times New Roman" w:hAnsi="Times New Roman"/>
          <w:color w:val="000000"/>
          <w:sz w:val="28"/>
          <w:szCs w:val="28"/>
        </w:rPr>
        <w:t xml:space="preserve"> </w:t>
      </w:r>
      <w:r w:rsidR="00E720B2">
        <w:rPr>
          <w:rFonts w:ascii="Times New Roman" w:hAnsi="Times New Roman"/>
          <w:color w:val="000000"/>
          <w:sz w:val="28"/>
          <w:szCs w:val="28"/>
        </w:rPr>
        <w:t>№ </w:t>
      </w:r>
      <w:r w:rsidR="003E2967" w:rsidRPr="003E2967">
        <w:rPr>
          <w:rFonts w:ascii="Times New Roman" w:hAnsi="Times New Roman"/>
          <w:color w:val="000000"/>
          <w:sz w:val="28"/>
          <w:szCs w:val="28"/>
        </w:rPr>
        <w:t>44-ФЗ</w:t>
      </w:r>
      <w:r w:rsidRPr="002F73BA">
        <w:rPr>
          <w:rFonts w:ascii="Times New Roman" w:hAnsi="Times New Roman"/>
          <w:color w:val="000000"/>
          <w:sz w:val="28"/>
          <w:szCs w:val="28"/>
        </w:rPr>
        <w:t>.</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Одновременно</w:t>
      </w:r>
      <w:r w:rsidR="00394547">
        <w:rPr>
          <w:rFonts w:ascii="Times New Roman" w:hAnsi="Times New Roman"/>
          <w:color w:val="000000"/>
          <w:sz w:val="28"/>
          <w:szCs w:val="28"/>
        </w:rPr>
        <w:t xml:space="preserve"> </w:t>
      </w:r>
      <w:r w:rsidRPr="002F73BA">
        <w:rPr>
          <w:rFonts w:ascii="Times New Roman" w:hAnsi="Times New Roman"/>
          <w:color w:val="000000"/>
          <w:sz w:val="28"/>
          <w:szCs w:val="28"/>
        </w:rPr>
        <w:t>в ряд проектов законодательных и нормативных правовых актов, в частности в сфере рыбохозяйственного комплекса (рыбоводство и рыболовство)</w:t>
      </w:r>
      <w:r w:rsidR="00394547">
        <w:rPr>
          <w:rFonts w:ascii="Times New Roman" w:hAnsi="Times New Roman"/>
          <w:color w:val="000000"/>
          <w:sz w:val="28"/>
          <w:szCs w:val="28"/>
        </w:rPr>
        <w:t>,</w:t>
      </w:r>
      <w:r w:rsidRPr="002F73BA">
        <w:rPr>
          <w:rFonts w:ascii="Times New Roman" w:hAnsi="Times New Roman"/>
          <w:color w:val="000000"/>
          <w:sz w:val="28"/>
          <w:szCs w:val="28"/>
        </w:rPr>
        <w:t xml:space="preserve"> также включены механизмы, направленные на ускорение, упрощение и прозрачность проведения торгов посредством их проведения в электронной форме на электронных площадках в соответствии с </w:t>
      </w:r>
      <w:r w:rsidR="008222F0" w:rsidRPr="008222F0">
        <w:rPr>
          <w:rFonts w:ascii="Times New Roman" w:hAnsi="Times New Roman"/>
          <w:color w:val="000000"/>
          <w:sz w:val="28"/>
          <w:szCs w:val="28"/>
        </w:rPr>
        <w:t>Закон</w:t>
      </w:r>
      <w:r w:rsidR="008222F0">
        <w:rPr>
          <w:rFonts w:ascii="Times New Roman" w:hAnsi="Times New Roman"/>
          <w:color w:val="000000"/>
          <w:sz w:val="28"/>
          <w:szCs w:val="28"/>
        </w:rPr>
        <w:t>ом</w:t>
      </w:r>
      <w:r w:rsidR="008222F0">
        <w:rPr>
          <w:rFonts w:ascii="Times New Roman" w:hAnsi="Times New Roman"/>
          <w:color w:val="000000"/>
          <w:sz w:val="28"/>
          <w:szCs w:val="28"/>
        </w:rPr>
        <w:br/>
      </w:r>
      <w:r w:rsidR="00E720B2">
        <w:rPr>
          <w:rFonts w:ascii="Times New Roman" w:hAnsi="Times New Roman"/>
          <w:color w:val="000000"/>
          <w:sz w:val="28"/>
          <w:szCs w:val="28"/>
        </w:rPr>
        <w:t>№ </w:t>
      </w:r>
      <w:r w:rsidR="008222F0" w:rsidRPr="008222F0">
        <w:rPr>
          <w:rFonts w:ascii="Times New Roman" w:hAnsi="Times New Roman"/>
          <w:color w:val="000000"/>
          <w:sz w:val="28"/>
          <w:szCs w:val="28"/>
        </w:rPr>
        <w:t>44-ФЗ</w:t>
      </w:r>
      <w:r w:rsidRPr="002F73BA">
        <w:rPr>
          <w:rFonts w:ascii="Times New Roman" w:hAnsi="Times New Roman"/>
          <w:color w:val="000000"/>
          <w:sz w:val="28"/>
          <w:szCs w:val="28"/>
        </w:rPr>
        <w:t>.</w:t>
      </w:r>
    </w:p>
    <w:p w:rsidR="0068434D" w:rsidRPr="002F73BA" w:rsidRDefault="00394547" w:rsidP="004D2C9E">
      <w:pPr>
        <w:pStyle w:val="a8"/>
        <w:widowControl/>
        <w:ind w:firstLine="709"/>
        <w:jc w:val="both"/>
        <w:rPr>
          <w:rFonts w:ascii="Times New Roman" w:hAnsi="Times New Roman"/>
          <w:color w:val="000000"/>
          <w:sz w:val="28"/>
          <w:szCs w:val="28"/>
        </w:rPr>
      </w:pPr>
      <w:r>
        <w:rPr>
          <w:rFonts w:ascii="Times New Roman" w:hAnsi="Times New Roman"/>
          <w:color w:val="000000"/>
          <w:sz w:val="28"/>
          <w:szCs w:val="28"/>
        </w:rPr>
        <w:t>У</w:t>
      </w:r>
      <w:r w:rsidR="0068434D" w:rsidRPr="002F73BA">
        <w:rPr>
          <w:rFonts w:ascii="Times New Roman" w:hAnsi="Times New Roman"/>
          <w:color w:val="000000"/>
          <w:sz w:val="28"/>
          <w:szCs w:val="28"/>
        </w:rPr>
        <w:t>казанные примеры подт</w:t>
      </w:r>
      <w:r>
        <w:rPr>
          <w:rFonts w:ascii="Times New Roman" w:hAnsi="Times New Roman"/>
          <w:color w:val="000000"/>
          <w:sz w:val="28"/>
          <w:szCs w:val="28"/>
        </w:rPr>
        <w:t>верждают возможность реализации</w:t>
      </w:r>
      <w:r w:rsidR="0068434D" w:rsidRPr="002F73BA">
        <w:rPr>
          <w:rFonts w:ascii="Times New Roman" w:hAnsi="Times New Roman"/>
          <w:color w:val="000000"/>
          <w:sz w:val="28"/>
          <w:szCs w:val="28"/>
        </w:rPr>
        <w:t xml:space="preserve"> предложенной ФАС России концепц</w:t>
      </w:r>
      <w:r>
        <w:rPr>
          <w:rFonts w:ascii="Times New Roman" w:hAnsi="Times New Roman"/>
          <w:color w:val="000000"/>
          <w:sz w:val="28"/>
          <w:szCs w:val="28"/>
        </w:rPr>
        <w:t>ии</w:t>
      </w:r>
      <w:r w:rsidR="0068434D" w:rsidRPr="002F73BA">
        <w:rPr>
          <w:rFonts w:ascii="Times New Roman" w:hAnsi="Times New Roman"/>
          <w:color w:val="000000"/>
          <w:sz w:val="28"/>
          <w:szCs w:val="28"/>
        </w:rPr>
        <w:t xml:space="preserve"> перевода процедур обязательных в силу закона торгов в электронную форму в целях расширения доступа к государственным ресурсам неограниченного территориальными границами круга заинтересованных лиц.</w:t>
      </w:r>
    </w:p>
    <w:p w:rsidR="0068434D" w:rsidRPr="002F73BA" w:rsidRDefault="0068434D" w:rsidP="004D2C9E">
      <w:pPr>
        <w:pStyle w:val="a8"/>
        <w:widowControl/>
        <w:ind w:firstLine="709"/>
        <w:jc w:val="both"/>
        <w:rPr>
          <w:rFonts w:ascii="Times New Roman" w:hAnsi="Times New Roman"/>
          <w:color w:val="000000"/>
          <w:sz w:val="28"/>
          <w:szCs w:val="28"/>
        </w:rPr>
      </w:pPr>
      <w:r w:rsidRPr="002F73BA">
        <w:rPr>
          <w:rFonts w:ascii="Times New Roman" w:hAnsi="Times New Roman"/>
          <w:color w:val="000000"/>
          <w:sz w:val="28"/>
          <w:szCs w:val="28"/>
        </w:rPr>
        <w:t>В 2018 году ФАС России планирует продолжить планомерную работу по переводу обязательных в силу законодательства Российской Федерации торгов в электронную форму, установлению единых правил функционирования электронных площадок как в рамках исполнения поручения Правительства Российской Федерации, так и в рамках совершенствования отдельных нормативных правовых актов, регулирующих отдельные процедуры проведения торгов.</w:t>
      </w:r>
    </w:p>
    <w:p w:rsidR="0068434D" w:rsidRDefault="003611BB" w:rsidP="000863D3">
      <w:pPr>
        <w:pStyle w:val="3"/>
        <w:ind w:firstLine="0"/>
        <w:jc w:val="center"/>
      </w:pPr>
      <w:bookmarkStart w:id="21" w:name="_Toc526253891"/>
      <w:r>
        <w:t>2.</w:t>
      </w:r>
      <w:r w:rsidR="004D2C9E">
        <w:t>4.2. </w:t>
      </w:r>
      <w:r w:rsidR="0068434D" w:rsidRPr="00222999">
        <w:t>Цифровизация систем</w:t>
      </w:r>
      <w:r w:rsidR="00704DEE">
        <w:t>ы закупок товаров, работ, услуг</w:t>
      </w:r>
      <w:bookmarkEnd w:id="21"/>
    </w:p>
    <w:p w:rsidR="0068434D" w:rsidRPr="00AC2B52" w:rsidRDefault="0068434D" w:rsidP="000863D3">
      <w:pPr>
        <w:pStyle w:val="a7"/>
        <w:keepNext/>
        <w:spacing w:after="0" w:line="240" w:lineRule="auto"/>
        <w:ind w:left="0"/>
        <w:jc w:val="center"/>
        <w:rPr>
          <w:rFonts w:ascii="Times New Roman" w:hAnsi="Times New Roman"/>
          <w:b/>
          <w:sz w:val="28"/>
          <w:szCs w:val="28"/>
        </w:rPr>
      </w:pPr>
      <w:r w:rsidRPr="00222999">
        <w:rPr>
          <w:rFonts w:ascii="Times New Roman" w:hAnsi="Times New Roman"/>
          <w:b/>
          <w:sz w:val="28"/>
          <w:szCs w:val="28"/>
        </w:rPr>
        <w:t>Внедрение электронных закупок в систему государственного заказа и</w:t>
      </w:r>
      <w:r w:rsidR="00636F0D">
        <w:rPr>
          <w:rFonts w:ascii="Times New Roman" w:hAnsi="Times New Roman"/>
          <w:b/>
          <w:sz w:val="28"/>
          <w:szCs w:val="28"/>
        </w:rPr>
        <w:t xml:space="preserve"> </w:t>
      </w:r>
      <w:r w:rsidRPr="00222999">
        <w:rPr>
          <w:rFonts w:ascii="Times New Roman" w:hAnsi="Times New Roman"/>
          <w:b/>
          <w:sz w:val="28"/>
          <w:szCs w:val="28"/>
        </w:rPr>
        <w:t>систему закупок государственных компаний</w:t>
      </w:r>
    </w:p>
    <w:p w:rsidR="000A2A78" w:rsidRPr="00406670" w:rsidRDefault="000A2A78" w:rsidP="00483209">
      <w:pPr>
        <w:pStyle w:val="4"/>
      </w:pPr>
      <w:r w:rsidRPr="00406670">
        <w:t>Азербайджанская Республика</w:t>
      </w:r>
    </w:p>
    <w:p w:rsidR="000A2A78" w:rsidRPr="00406670" w:rsidRDefault="003914F3"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1.</w:t>
      </w:r>
      <w:r w:rsidR="00483209" w:rsidRPr="00406670">
        <w:rPr>
          <w:rFonts w:ascii="Times New Roman" w:eastAsia="Times New Roman" w:hAnsi="Times New Roman"/>
          <w:i/>
          <w:color w:val="222222"/>
          <w:sz w:val="28"/>
          <w:szCs w:val="28"/>
          <w:lang w:eastAsia="x-none"/>
        </w:rPr>
        <w:t> </w:t>
      </w:r>
      <w:r w:rsidR="000A2A78" w:rsidRPr="00406670">
        <w:rPr>
          <w:rFonts w:ascii="Times New Roman" w:eastAsia="Times New Roman" w:hAnsi="Times New Roman"/>
          <w:i/>
          <w:color w:val="222222"/>
          <w:sz w:val="28"/>
          <w:szCs w:val="28"/>
          <w:lang w:eastAsia="x-none"/>
        </w:rPr>
        <w:t>Служба «АСАН»</w:t>
      </w:r>
      <w:r w:rsidRPr="00406670">
        <w:rPr>
          <w:rFonts w:ascii="Times New Roman" w:eastAsia="Times New Roman" w:hAnsi="Times New Roman"/>
          <w:i/>
          <w:color w:val="222222"/>
          <w:sz w:val="28"/>
          <w:szCs w:val="28"/>
          <w:lang w:eastAsia="x-none"/>
        </w:rPr>
        <w:t xml:space="preserve">. </w:t>
      </w:r>
      <w:r w:rsidR="000A2A78" w:rsidRPr="00406670">
        <w:rPr>
          <w:rFonts w:ascii="Times New Roman" w:eastAsia="Times New Roman" w:hAnsi="Times New Roman"/>
          <w:color w:val="222222"/>
          <w:sz w:val="28"/>
          <w:szCs w:val="28"/>
          <w:lang w:eastAsia="x-none"/>
        </w:rPr>
        <w:t>Согласно Указу Президента Азербайджанской Республики от 13 июля 2012 года №</w:t>
      </w:r>
      <w:r w:rsidR="00483209" w:rsidRPr="00406670">
        <w:rPr>
          <w:rFonts w:ascii="Times New Roman" w:eastAsia="Times New Roman" w:hAnsi="Times New Roman"/>
          <w:color w:val="222222"/>
          <w:sz w:val="28"/>
          <w:szCs w:val="28"/>
          <w:lang w:eastAsia="x-none"/>
        </w:rPr>
        <w:t> </w:t>
      </w:r>
      <w:r w:rsidR="000A2A78" w:rsidRPr="00406670">
        <w:rPr>
          <w:rFonts w:ascii="Times New Roman" w:eastAsia="Times New Roman" w:hAnsi="Times New Roman"/>
          <w:color w:val="222222"/>
          <w:sz w:val="28"/>
          <w:szCs w:val="28"/>
          <w:lang w:eastAsia="x-none"/>
        </w:rPr>
        <w:t xml:space="preserve">685 было создано Государственное </w:t>
      </w:r>
      <w:r w:rsidR="00416EF3" w:rsidRPr="00406670">
        <w:rPr>
          <w:rFonts w:ascii="Times New Roman" w:eastAsia="Times New Roman" w:hAnsi="Times New Roman"/>
          <w:color w:val="222222"/>
          <w:sz w:val="28"/>
          <w:szCs w:val="28"/>
          <w:lang w:eastAsia="x-none"/>
        </w:rPr>
        <w:t>а</w:t>
      </w:r>
      <w:r w:rsidR="000A2A78" w:rsidRPr="00406670">
        <w:rPr>
          <w:rFonts w:ascii="Times New Roman" w:eastAsia="Times New Roman" w:hAnsi="Times New Roman"/>
          <w:color w:val="222222"/>
          <w:sz w:val="28"/>
          <w:szCs w:val="28"/>
          <w:lang w:eastAsia="x-none"/>
        </w:rPr>
        <w:t xml:space="preserve">гентство по оказанию услуг гражданам и социальным инновациям при Президенте Азербайджанской Республики. В соответствии с направлениями деятельности Государственное агентство осуществляет единый порядок управления центрами «АСАН оплата» и «АСАН коммунал», координацию, контроль и оценку деятельности сотрудников органов центральной или местной исполнительной власти, бюджетных организаций, государственных юридических лиц, в том числе созданных от имени государства юридических лиц публичного права, осуществляющих деятельность в центрах обслуживаний, взаимную интеграцию информационных баз государственных структур, ускорение процесса организации электронных услуг, совершенствование системы управления в этой сфере. </w:t>
      </w:r>
    </w:p>
    <w:p w:rsidR="000A2A78" w:rsidRPr="00406670" w:rsidRDefault="000A2A78"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В центрах Службы «АСАН», находящихся в подчинении Государственного агентства, наряду с другими функциональными службами со стороны 11 государственных органов в общем оказывается бол</w:t>
      </w:r>
      <w:r w:rsidR="00416EF3" w:rsidRPr="00406670">
        <w:rPr>
          <w:rFonts w:ascii="Times New Roman" w:eastAsia="Times New Roman" w:hAnsi="Times New Roman"/>
          <w:color w:val="222222"/>
          <w:sz w:val="28"/>
          <w:szCs w:val="28"/>
          <w:lang w:eastAsia="x-none"/>
        </w:rPr>
        <w:t>е</w:t>
      </w:r>
      <w:r w:rsidRPr="00406670">
        <w:rPr>
          <w:rFonts w:ascii="Times New Roman" w:eastAsia="Times New Roman" w:hAnsi="Times New Roman"/>
          <w:color w:val="222222"/>
          <w:sz w:val="28"/>
          <w:szCs w:val="28"/>
          <w:lang w:eastAsia="x-none"/>
        </w:rPr>
        <w:t>е 300 услуг. В центрах созданы необходимые условия для государственных и бизнес</w:t>
      </w:r>
      <w:r w:rsidR="00416EF3"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 xml:space="preserve">структур, а также оказываются государственные и коммерческие услуги по принципу единого пространства. </w:t>
      </w:r>
    </w:p>
    <w:p w:rsidR="000A2A78" w:rsidRPr="00406670" w:rsidRDefault="000A2A78"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 xml:space="preserve">В центрах Службы «АСАН» в целях обеспечения предпринимательской деятельности со стороны Министерства экономики Азербайджанской Республики была обеспечена услуга выдачи лицензий. До 1 ноября 2018 года в центрах Службы «АСАН» была обеспечена выдача лицензий около 50 тыс. субъектам предпринимательской деятельности. </w:t>
      </w:r>
    </w:p>
    <w:p w:rsidR="000A2A78" w:rsidRPr="00406670" w:rsidRDefault="000A2A78"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С целью выдачи разрешений на работу в Азербайджанской Республике иностранцам и лицам, не имеющим гражданства</w:t>
      </w:r>
      <w:r w:rsidR="00416EF3"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 xml:space="preserve"> в центрах Службы «АСАН» была создана миграционная служба.</w:t>
      </w:r>
      <w:r w:rsidR="00636F0D" w:rsidRPr="00406670">
        <w:rPr>
          <w:rFonts w:ascii="Times New Roman" w:eastAsia="Times New Roman" w:hAnsi="Times New Roman"/>
          <w:color w:val="222222"/>
          <w:sz w:val="28"/>
          <w:szCs w:val="28"/>
          <w:lang w:eastAsia="x-none"/>
        </w:rPr>
        <w:t xml:space="preserve"> </w:t>
      </w:r>
      <w:r w:rsidRPr="00406670">
        <w:rPr>
          <w:rFonts w:ascii="Times New Roman" w:eastAsia="Times New Roman" w:hAnsi="Times New Roman"/>
          <w:color w:val="222222"/>
          <w:sz w:val="28"/>
          <w:szCs w:val="28"/>
          <w:lang w:eastAsia="x-none"/>
        </w:rPr>
        <w:t>В миграционную службу поступило 477</w:t>
      </w:r>
      <w:r w:rsidR="00483209" w:rsidRPr="00406670">
        <w:rPr>
          <w:rFonts w:ascii="Times New Roman" w:eastAsia="Times New Roman" w:hAnsi="Times New Roman"/>
          <w:color w:val="222222"/>
          <w:sz w:val="28"/>
          <w:szCs w:val="28"/>
          <w:lang w:eastAsia="x-none"/>
        </w:rPr>
        <w:t> </w:t>
      </w:r>
      <w:r w:rsidRPr="00406670">
        <w:rPr>
          <w:rFonts w:ascii="Times New Roman" w:eastAsia="Times New Roman" w:hAnsi="Times New Roman"/>
          <w:color w:val="222222"/>
          <w:sz w:val="28"/>
          <w:szCs w:val="28"/>
          <w:lang w:eastAsia="x-none"/>
        </w:rPr>
        <w:t>683 запроса. Создание таких условий способствовало занятию предпринимательской деятельностью мигрантами, прибывающими в Азербайджан, а также развитию малого и среднего предпринимательства.</w:t>
      </w:r>
    </w:p>
    <w:p w:rsidR="000A2A78" w:rsidRPr="00406670" w:rsidRDefault="000A2A78"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 xml:space="preserve">Согласно статистике до 1 ноября 2018 года в центры Службы «АСАН» поступило около 25 млн запросов, а </w:t>
      </w:r>
      <w:r w:rsidR="001C5423" w:rsidRPr="00406670">
        <w:rPr>
          <w:rFonts w:ascii="Times New Roman" w:eastAsia="Times New Roman" w:hAnsi="Times New Roman"/>
          <w:color w:val="222222"/>
          <w:sz w:val="28"/>
          <w:szCs w:val="28"/>
          <w:lang w:eastAsia="x-none"/>
        </w:rPr>
        <w:t>обратная связь</w:t>
      </w:r>
      <w:r w:rsidRPr="00406670">
        <w:rPr>
          <w:rFonts w:ascii="Times New Roman" w:eastAsia="Times New Roman" w:hAnsi="Times New Roman"/>
          <w:color w:val="222222"/>
          <w:sz w:val="28"/>
          <w:szCs w:val="28"/>
          <w:lang w:eastAsia="x-none"/>
        </w:rPr>
        <w:t xml:space="preserve"> по этим запросам составила 95</w:t>
      </w:r>
      <w:r w:rsidR="00483209" w:rsidRPr="00406670">
        <w:rPr>
          <w:rFonts w:ascii="Times New Roman" w:eastAsia="Times New Roman" w:hAnsi="Times New Roman"/>
          <w:color w:val="222222"/>
          <w:sz w:val="28"/>
          <w:szCs w:val="28"/>
          <w:lang w:eastAsia="x-none"/>
        </w:rPr>
        <w:t> </w:t>
      </w:r>
      <w:r w:rsidRPr="00406670">
        <w:rPr>
          <w:rFonts w:ascii="Times New Roman" w:eastAsia="Times New Roman" w:hAnsi="Times New Roman"/>
          <w:color w:val="222222"/>
          <w:sz w:val="28"/>
          <w:szCs w:val="28"/>
          <w:lang w:eastAsia="x-none"/>
        </w:rPr>
        <w:t>%.</w:t>
      </w:r>
      <w:r w:rsidR="00636F0D" w:rsidRPr="00406670">
        <w:rPr>
          <w:rFonts w:ascii="Times New Roman" w:eastAsia="Times New Roman" w:hAnsi="Times New Roman"/>
          <w:color w:val="222222"/>
          <w:sz w:val="28"/>
          <w:szCs w:val="28"/>
          <w:lang w:eastAsia="x-none"/>
        </w:rPr>
        <w:t xml:space="preserve"> </w:t>
      </w:r>
    </w:p>
    <w:p w:rsidR="000A2A78" w:rsidRPr="00406670" w:rsidRDefault="000A2A78"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i/>
          <w:color w:val="222222"/>
          <w:sz w:val="28"/>
          <w:szCs w:val="28"/>
          <w:lang w:eastAsia="x-none"/>
        </w:rPr>
        <w:t>«АСАН Коммунал»</w:t>
      </w:r>
      <w:r w:rsidR="00C26CFC" w:rsidRPr="00406670">
        <w:rPr>
          <w:rFonts w:ascii="Times New Roman" w:eastAsia="Times New Roman" w:hAnsi="Times New Roman"/>
          <w:i/>
          <w:color w:val="222222"/>
          <w:sz w:val="28"/>
          <w:szCs w:val="28"/>
          <w:lang w:eastAsia="x-none"/>
        </w:rPr>
        <w:t xml:space="preserve">. </w:t>
      </w:r>
      <w:r w:rsidR="001C5423" w:rsidRPr="00406670">
        <w:rPr>
          <w:rFonts w:ascii="Times New Roman" w:eastAsia="Times New Roman" w:hAnsi="Times New Roman"/>
          <w:color w:val="222222"/>
          <w:sz w:val="28"/>
          <w:szCs w:val="28"/>
          <w:lang w:eastAsia="x-none"/>
        </w:rPr>
        <w:t>В целях</w:t>
      </w:r>
      <w:r w:rsidRPr="00406670">
        <w:rPr>
          <w:rFonts w:ascii="Times New Roman" w:eastAsia="Times New Roman" w:hAnsi="Times New Roman"/>
          <w:color w:val="222222"/>
          <w:sz w:val="28"/>
          <w:szCs w:val="28"/>
          <w:lang w:eastAsia="x-none"/>
        </w:rPr>
        <w:t xml:space="preserve"> обеспечения доступа населения и бизнес</w:t>
      </w:r>
      <w:r w:rsidR="007C0140"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 xml:space="preserve"> субъектов к услугам </w:t>
      </w:r>
      <w:r w:rsidR="001C5423" w:rsidRPr="00406670">
        <w:rPr>
          <w:rFonts w:ascii="Times New Roman" w:eastAsia="Times New Roman" w:hAnsi="Times New Roman"/>
          <w:color w:val="222222"/>
          <w:sz w:val="28"/>
          <w:szCs w:val="28"/>
          <w:lang w:eastAsia="x-none"/>
        </w:rPr>
        <w:t xml:space="preserve">жилищно-коммунального хозяйства </w:t>
      </w:r>
      <w:r w:rsidRPr="00406670">
        <w:rPr>
          <w:rFonts w:ascii="Times New Roman" w:eastAsia="Times New Roman" w:hAnsi="Times New Roman"/>
          <w:color w:val="222222"/>
          <w:sz w:val="28"/>
          <w:szCs w:val="28"/>
          <w:lang w:eastAsia="x-none"/>
        </w:rPr>
        <w:t xml:space="preserve">в начале 2017 года в </w:t>
      </w:r>
      <w:r w:rsidR="00C26CFC" w:rsidRPr="00406670">
        <w:rPr>
          <w:rFonts w:ascii="Times New Roman" w:eastAsia="Times New Roman" w:hAnsi="Times New Roman"/>
          <w:color w:val="222222"/>
          <w:sz w:val="28"/>
          <w:szCs w:val="28"/>
          <w:lang w:eastAsia="x-none"/>
        </w:rPr>
        <w:t xml:space="preserve">рамках </w:t>
      </w:r>
      <w:r w:rsidRPr="00406670">
        <w:rPr>
          <w:rFonts w:ascii="Times New Roman" w:eastAsia="Times New Roman" w:hAnsi="Times New Roman"/>
          <w:color w:val="222222"/>
          <w:sz w:val="28"/>
          <w:szCs w:val="28"/>
          <w:lang w:eastAsia="x-none"/>
        </w:rPr>
        <w:t xml:space="preserve">Государственного </w:t>
      </w:r>
      <w:r w:rsidR="001C5423" w:rsidRPr="00406670">
        <w:rPr>
          <w:rFonts w:ascii="Times New Roman" w:eastAsia="Times New Roman" w:hAnsi="Times New Roman"/>
          <w:color w:val="222222"/>
          <w:sz w:val="28"/>
          <w:szCs w:val="28"/>
          <w:lang w:eastAsia="x-none"/>
        </w:rPr>
        <w:t>а</w:t>
      </w:r>
      <w:r w:rsidRPr="00406670">
        <w:rPr>
          <w:rFonts w:ascii="Times New Roman" w:eastAsia="Times New Roman" w:hAnsi="Times New Roman"/>
          <w:color w:val="222222"/>
          <w:sz w:val="28"/>
          <w:szCs w:val="28"/>
          <w:lang w:eastAsia="x-none"/>
        </w:rPr>
        <w:t xml:space="preserve">гентства по оказанию услуг гражданам и социальным инновациям при Президенте Азербайджанской Республики были созданы центры </w:t>
      </w:r>
      <w:r w:rsidR="00C26CFC"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АСАН Коммунал</w:t>
      </w:r>
      <w:r w:rsidR="00C26CFC"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w:t>
      </w:r>
      <w:r w:rsidR="00636F0D" w:rsidRPr="00406670">
        <w:rPr>
          <w:rFonts w:ascii="Times New Roman" w:eastAsia="Times New Roman" w:hAnsi="Times New Roman"/>
          <w:color w:val="222222"/>
          <w:sz w:val="28"/>
          <w:szCs w:val="28"/>
          <w:lang w:eastAsia="x-none"/>
        </w:rPr>
        <w:t xml:space="preserve"> </w:t>
      </w:r>
    </w:p>
    <w:p w:rsidR="000A2A78" w:rsidRPr="00406670" w:rsidRDefault="000A2A78"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В настоящее время функциониру</w:t>
      </w:r>
      <w:r w:rsidR="007C0140" w:rsidRPr="00406670">
        <w:rPr>
          <w:rFonts w:ascii="Times New Roman" w:eastAsia="Times New Roman" w:hAnsi="Times New Roman"/>
          <w:color w:val="222222"/>
          <w:sz w:val="28"/>
          <w:szCs w:val="28"/>
          <w:lang w:eastAsia="x-none"/>
        </w:rPr>
        <w:t>ю</w:t>
      </w:r>
      <w:r w:rsidRPr="00406670">
        <w:rPr>
          <w:rFonts w:ascii="Times New Roman" w:eastAsia="Times New Roman" w:hAnsi="Times New Roman"/>
          <w:color w:val="222222"/>
          <w:sz w:val="28"/>
          <w:szCs w:val="28"/>
          <w:lang w:eastAsia="x-none"/>
        </w:rPr>
        <w:t xml:space="preserve">т </w:t>
      </w:r>
      <w:r w:rsidR="007C0140" w:rsidRPr="00406670">
        <w:rPr>
          <w:rFonts w:ascii="Times New Roman" w:eastAsia="Times New Roman" w:hAnsi="Times New Roman"/>
          <w:color w:val="222222"/>
          <w:sz w:val="28"/>
          <w:szCs w:val="28"/>
          <w:lang w:eastAsia="x-none"/>
        </w:rPr>
        <w:t>два</w:t>
      </w:r>
      <w:r w:rsidRPr="00406670">
        <w:rPr>
          <w:rFonts w:ascii="Times New Roman" w:eastAsia="Times New Roman" w:hAnsi="Times New Roman"/>
          <w:color w:val="222222"/>
          <w:sz w:val="28"/>
          <w:szCs w:val="28"/>
          <w:lang w:eastAsia="x-none"/>
        </w:rPr>
        <w:t xml:space="preserve"> центра </w:t>
      </w:r>
      <w:r w:rsidR="00C26CFC"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АСАН Коммунал</w:t>
      </w:r>
      <w:r w:rsidR="00C26CFC" w:rsidRPr="00406670">
        <w:rPr>
          <w:rFonts w:ascii="Times New Roman" w:eastAsia="Times New Roman" w:hAnsi="Times New Roman"/>
          <w:color w:val="222222"/>
          <w:sz w:val="28"/>
          <w:szCs w:val="28"/>
          <w:lang w:eastAsia="x-none"/>
        </w:rPr>
        <w:t>»</w:t>
      </w:r>
      <w:r w:rsidR="001C5423"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 xml:space="preserve"> </w:t>
      </w:r>
      <w:r w:rsidR="001C5423" w:rsidRPr="00406670">
        <w:rPr>
          <w:rFonts w:ascii="Times New Roman" w:eastAsia="Times New Roman" w:hAnsi="Times New Roman"/>
          <w:color w:val="222222"/>
          <w:sz w:val="28"/>
          <w:szCs w:val="28"/>
          <w:lang w:eastAsia="x-none"/>
        </w:rPr>
        <w:t>В</w:t>
      </w:r>
      <w:r w:rsidRPr="00406670">
        <w:rPr>
          <w:rFonts w:ascii="Times New Roman" w:eastAsia="Times New Roman" w:hAnsi="Times New Roman"/>
          <w:color w:val="222222"/>
          <w:sz w:val="28"/>
          <w:szCs w:val="28"/>
          <w:lang w:eastAsia="x-none"/>
        </w:rPr>
        <w:t xml:space="preserve"> этих центрах структур</w:t>
      </w:r>
      <w:r w:rsidR="001C5423" w:rsidRPr="00406670">
        <w:rPr>
          <w:rFonts w:ascii="Times New Roman" w:eastAsia="Times New Roman" w:hAnsi="Times New Roman"/>
          <w:color w:val="222222"/>
          <w:sz w:val="28"/>
          <w:szCs w:val="28"/>
          <w:lang w:eastAsia="x-none"/>
        </w:rPr>
        <w:t>ы</w:t>
      </w:r>
      <w:r w:rsidRPr="00406670">
        <w:rPr>
          <w:rFonts w:ascii="Times New Roman" w:eastAsia="Times New Roman" w:hAnsi="Times New Roman"/>
          <w:color w:val="222222"/>
          <w:sz w:val="28"/>
          <w:szCs w:val="28"/>
          <w:lang w:eastAsia="x-none"/>
        </w:rPr>
        <w:t xml:space="preserve"> «АЗЕРИГАЗ», «АЗЕРСУ»</w:t>
      </w:r>
      <w:r w:rsidR="003E145B"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 xml:space="preserve"> «АЗЕРИШЫГ» и други</w:t>
      </w:r>
      <w:r w:rsidR="001C5423" w:rsidRPr="00406670">
        <w:rPr>
          <w:rFonts w:ascii="Times New Roman" w:eastAsia="Times New Roman" w:hAnsi="Times New Roman"/>
          <w:color w:val="222222"/>
          <w:sz w:val="28"/>
          <w:szCs w:val="28"/>
          <w:lang w:eastAsia="x-none"/>
        </w:rPr>
        <w:t>е</w:t>
      </w:r>
      <w:r w:rsidRPr="00406670">
        <w:rPr>
          <w:rFonts w:ascii="Times New Roman" w:eastAsia="Times New Roman" w:hAnsi="Times New Roman"/>
          <w:color w:val="222222"/>
          <w:sz w:val="28"/>
          <w:szCs w:val="28"/>
          <w:lang w:eastAsia="x-none"/>
        </w:rPr>
        <w:t xml:space="preserve"> функциональны</w:t>
      </w:r>
      <w:r w:rsidR="001C5423" w:rsidRPr="00406670">
        <w:rPr>
          <w:rFonts w:ascii="Times New Roman" w:eastAsia="Times New Roman" w:hAnsi="Times New Roman"/>
          <w:color w:val="222222"/>
          <w:sz w:val="28"/>
          <w:szCs w:val="28"/>
          <w:lang w:eastAsia="x-none"/>
        </w:rPr>
        <w:t>е</w:t>
      </w:r>
      <w:r w:rsidRPr="00406670">
        <w:rPr>
          <w:rFonts w:ascii="Times New Roman" w:eastAsia="Times New Roman" w:hAnsi="Times New Roman"/>
          <w:color w:val="222222"/>
          <w:sz w:val="28"/>
          <w:szCs w:val="28"/>
          <w:lang w:eastAsia="x-none"/>
        </w:rPr>
        <w:t xml:space="preserve"> служб</w:t>
      </w:r>
      <w:r w:rsidR="001C5423" w:rsidRPr="00406670">
        <w:rPr>
          <w:rFonts w:ascii="Times New Roman" w:eastAsia="Times New Roman" w:hAnsi="Times New Roman"/>
          <w:color w:val="222222"/>
          <w:sz w:val="28"/>
          <w:szCs w:val="28"/>
          <w:lang w:eastAsia="x-none"/>
        </w:rPr>
        <w:t>ы</w:t>
      </w:r>
      <w:r w:rsidRPr="00406670">
        <w:rPr>
          <w:rFonts w:ascii="Times New Roman" w:eastAsia="Times New Roman" w:hAnsi="Times New Roman"/>
          <w:color w:val="222222"/>
          <w:sz w:val="28"/>
          <w:szCs w:val="28"/>
          <w:lang w:eastAsia="x-none"/>
        </w:rPr>
        <w:t xml:space="preserve"> оказывают</w:t>
      </w:r>
      <w:r w:rsidR="001C5423" w:rsidRPr="00406670">
        <w:rPr>
          <w:rFonts w:ascii="Times New Roman" w:eastAsia="Times New Roman" w:hAnsi="Times New Roman"/>
          <w:color w:val="222222"/>
          <w:sz w:val="28"/>
          <w:szCs w:val="28"/>
          <w:lang w:eastAsia="x-none"/>
        </w:rPr>
        <w:t xml:space="preserve"> </w:t>
      </w:r>
      <w:r w:rsidR="003E145B" w:rsidRPr="00406670">
        <w:rPr>
          <w:rFonts w:ascii="Times New Roman" w:eastAsia="Times New Roman" w:hAnsi="Times New Roman"/>
          <w:color w:val="222222"/>
          <w:sz w:val="28"/>
          <w:szCs w:val="28"/>
          <w:lang w:eastAsia="x-none"/>
        </w:rPr>
        <w:t>более</w:t>
      </w:r>
      <w:r w:rsidR="001C5423" w:rsidRPr="00406670">
        <w:rPr>
          <w:rFonts w:ascii="Times New Roman" w:eastAsia="Times New Roman" w:hAnsi="Times New Roman"/>
          <w:color w:val="222222"/>
          <w:sz w:val="28"/>
          <w:szCs w:val="28"/>
          <w:lang w:eastAsia="x-none"/>
        </w:rPr>
        <w:t xml:space="preserve"> 145</w:t>
      </w:r>
      <w:r w:rsidRPr="00406670">
        <w:rPr>
          <w:rFonts w:ascii="Times New Roman" w:eastAsia="Times New Roman" w:hAnsi="Times New Roman"/>
          <w:color w:val="222222"/>
          <w:sz w:val="28"/>
          <w:szCs w:val="28"/>
          <w:lang w:eastAsia="x-none"/>
        </w:rPr>
        <w:t xml:space="preserve"> услуг</w:t>
      </w:r>
      <w:r w:rsidR="001C5423"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 xml:space="preserve"> </w:t>
      </w:r>
    </w:p>
    <w:p w:rsidR="000A2A78" w:rsidRPr="00406670" w:rsidRDefault="001C5423"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В</w:t>
      </w:r>
      <w:r w:rsidR="000A2A78" w:rsidRPr="00406670">
        <w:rPr>
          <w:rFonts w:ascii="Times New Roman" w:eastAsia="Times New Roman" w:hAnsi="Times New Roman"/>
          <w:color w:val="222222"/>
          <w:sz w:val="28"/>
          <w:szCs w:val="28"/>
          <w:lang w:eastAsia="x-none"/>
        </w:rPr>
        <w:t xml:space="preserve"> центрах </w:t>
      </w:r>
      <w:r w:rsidR="00C26CFC" w:rsidRPr="00406670">
        <w:rPr>
          <w:rFonts w:ascii="Times New Roman" w:eastAsia="Times New Roman" w:hAnsi="Times New Roman"/>
          <w:color w:val="222222"/>
          <w:sz w:val="28"/>
          <w:szCs w:val="28"/>
          <w:lang w:eastAsia="x-none"/>
        </w:rPr>
        <w:t>«</w:t>
      </w:r>
      <w:r w:rsidR="000A2A78" w:rsidRPr="00406670">
        <w:rPr>
          <w:rFonts w:ascii="Times New Roman" w:eastAsia="Times New Roman" w:hAnsi="Times New Roman"/>
          <w:color w:val="222222"/>
          <w:sz w:val="28"/>
          <w:szCs w:val="28"/>
          <w:lang w:eastAsia="x-none"/>
        </w:rPr>
        <w:t>АСАН Коммунал</w:t>
      </w:r>
      <w:r w:rsidR="00C26CFC" w:rsidRPr="00406670">
        <w:rPr>
          <w:rFonts w:ascii="Times New Roman" w:eastAsia="Times New Roman" w:hAnsi="Times New Roman"/>
          <w:color w:val="222222"/>
          <w:sz w:val="28"/>
          <w:szCs w:val="28"/>
          <w:lang w:eastAsia="x-none"/>
        </w:rPr>
        <w:t>»</w:t>
      </w:r>
      <w:r w:rsidR="000A2A78" w:rsidRPr="00406670">
        <w:rPr>
          <w:rFonts w:ascii="Times New Roman" w:eastAsia="Times New Roman" w:hAnsi="Times New Roman"/>
          <w:color w:val="222222"/>
          <w:sz w:val="28"/>
          <w:szCs w:val="28"/>
          <w:lang w:eastAsia="x-none"/>
        </w:rPr>
        <w:t xml:space="preserve"> субъектам предпринимательства оказываются услуги страховых компаний, банков, кредитных организаций, не являющихся банками, организаций по оказанию таможенных услуг, нотариусов, туристических компаний, услуги по льготным квартирам, услуги по загруженности движимого имущества и прочие услуги. </w:t>
      </w:r>
    </w:p>
    <w:p w:rsidR="000A2A78" w:rsidRPr="00406670" w:rsidRDefault="000A2A78"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 xml:space="preserve">С </w:t>
      </w:r>
      <w:r w:rsidR="001C5423" w:rsidRPr="00406670">
        <w:rPr>
          <w:rFonts w:ascii="Times New Roman" w:eastAsia="Times New Roman" w:hAnsi="Times New Roman"/>
          <w:color w:val="222222"/>
          <w:sz w:val="28"/>
          <w:szCs w:val="28"/>
          <w:lang w:eastAsia="x-none"/>
        </w:rPr>
        <w:t xml:space="preserve">начала </w:t>
      </w:r>
      <w:r w:rsidRPr="00406670">
        <w:rPr>
          <w:rFonts w:ascii="Times New Roman" w:eastAsia="Times New Roman" w:hAnsi="Times New Roman"/>
          <w:color w:val="222222"/>
          <w:sz w:val="28"/>
          <w:szCs w:val="28"/>
          <w:lang w:eastAsia="x-none"/>
        </w:rPr>
        <w:t xml:space="preserve">функционирования в центры </w:t>
      </w:r>
      <w:r w:rsidR="00C26CFC"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АСАН Коммунал</w:t>
      </w:r>
      <w:r w:rsidR="00C26CFC"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 xml:space="preserve"> поступило около 800 </w:t>
      </w:r>
      <w:r w:rsidR="001C5423" w:rsidRPr="00406670">
        <w:rPr>
          <w:rFonts w:ascii="Times New Roman" w:eastAsia="Times New Roman" w:hAnsi="Times New Roman"/>
          <w:color w:val="222222"/>
          <w:sz w:val="28"/>
          <w:szCs w:val="28"/>
          <w:lang w:eastAsia="x-none"/>
        </w:rPr>
        <w:t>тыс. запросов. Обратная связь</w:t>
      </w:r>
      <w:r w:rsidRPr="00406670">
        <w:rPr>
          <w:rFonts w:ascii="Times New Roman" w:eastAsia="Times New Roman" w:hAnsi="Times New Roman"/>
          <w:color w:val="222222"/>
          <w:sz w:val="28"/>
          <w:szCs w:val="28"/>
          <w:lang w:eastAsia="x-none"/>
        </w:rPr>
        <w:t xml:space="preserve"> по этим запросам была свыше 90</w:t>
      </w:r>
      <w:r w:rsidR="00483209" w:rsidRPr="00406670">
        <w:rPr>
          <w:rFonts w:ascii="Times New Roman" w:eastAsia="Times New Roman" w:hAnsi="Times New Roman"/>
          <w:color w:val="222222"/>
          <w:sz w:val="28"/>
          <w:szCs w:val="28"/>
          <w:lang w:eastAsia="x-none"/>
        </w:rPr>
        <w:t> </w:t>
      </w:r>
      <w:r w:rsidRPr="00406670">
        <w:rPr>
          <w:rFonts w:ascii="Times New Roman" w:eastAsia="Times New Roman" w:hAnsi="Times New Roman"/>
          <w:color w:val="222222"/>
          <w:sz w:val="28"/>
          <w:szCs w:val="28"/>
          <w:lang w:eastAsia="x-none"/>
        </w:rPr>
        <w:t xml:space="preserve">%. </w:t>
      </w:r>
    </w:p>
    <w:p w:rsidR="000A2A78" w:rsidRPr="00406670" w:rsidRDefault="002E19D2"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i/>
          <w:color w:val="222222"/>
          <w:sz w:val="28"/>
          <w:szCs w:val="28"/>
          <w:lang w:eastAsia="x-none"/>
        </w:rPr>
        <w:t>«</w:t>
      </w:r>
      <w:r w:rsidR="000A2A78" w:rsidRPr="00406670">
        <w:rPr>
          <w:rFonts w:ascii="Times New Roman" w:eastAsia="Times New Roman" w:hAnsi="Times New Roman"/>
          <w:i/>
          <w:color w:val="222222"/>
          <w:sz w:val="28"/>
          <w:szCs w:val="28"/>
          <w:lang w:eastAsia="x-none"/>
        </w:rPr>
        <w:t>АСАН Виза</w:t>
      </w:r>
      <w:r w:rsidRPr="00406670">
        <w:rPr>
          <w:rFonts w:ascii="Times New Roman" w:eastAsia="Times New Roman" w:hAnsi="Times New Roman"/>
          <w:i/>
          <w:color w:val="222222"/>
          <w:sz w:val="28"/>
          <w:szCs w:val="28"/>
          <w:lang w:eastAsia="x-none"/>
        </w:rPr>
        <w:t xml:space="preserve">». </w:t>
      </w:r>
      <w:r w:rsidR="000A2A78" w:rsidRPr="00406670">
        <w:rPr>
          <w:rFonts w:ascii="Times New Roman" w:eastAsia="Times New Roman" w:hAnsi="Times New Roman"/>
          <w:color w:val="222222"/>
          <w:sz w:val="28"/>
          <w:szCs w:val="28"/>
          <w:lang w:eastAsia="x-none"/>
        </w:rPr>
        <w:t>В соответствии с Указом Президента Азербайджанской Республики от 1</w:t>
      </w:r>
      <w:r w:rsidR="00C57FAA" w:rsidRPr="00406670">
        <w:rPr>
          <w:rFonts w:ascii="Times New Roman" w:eastAsia="Times New Roman" w:hAnsi="Times New Roman"/>
          <w:color w:val="222222"/>
          <w:sz w:val="28"/>
          <w:szCs w:val="28"/>
          <w:lang w:eastAsia="x-none"/>
        </w:rPr>
        <w:t xml:space="preserve"> июня </w:t>
      </w:r>
      <w:r w:rsidR="000A2A78" w:rsidRPr="00406670">
        <w:rPr>
          <w:rFonts w:ascii="Times New Roman" w:eastAsia="Times New Roman" w:hAnsi="Times New Roman"/>
          <w:color w:val="222222"/>
          <w:sz w:val="28"/>
          <w:szCs w:val="28"/>
          <w:lang w:eastAsia="x-none"/>
        </w:rPr>
        <w:t>2016 г</w:t>
      </w:r>
      <w:r w:rsidR="00C57FAA" w:rsidRPr="00406670">
        <w:rPr>
          <w:rFonts w:ascii="Times New Roman" w:eastAsia="Times New Roman" w:hAnsi="Times New Roman"/>
          <w:color w:val="222222"/>
          <w:sz w:val="28"/>
          <w:szCs w:val="28"/>
          <w:lang w:eastAsia="x-none"/>
        </w:rPr>
        <w:t>ода</w:t>
      </w:r>
      <w:r w:rsidR="000A2A78" w:rsidRPr="00406670">
        <w:rPr>
          <w:rFonts w:ascii="Times New Roman" w:eastAsia="Times New Roman" w:hAnsi="Times New Roman"/>
          <w:color w:val="222222"/>
          <w:sz w:val="28"/>
          <w:szCs w:val="28"/>
          <w:lang w:eastAsia="x-none"/>
        </w:rPr>
        <w:t xml:space="preserve"> №</w:t>
      </w:r>
      <w:r w:rsidR="00483209" w:rsidRPr="00406670">
        <w:rPr>
          <w:rFonts w:ascii="Times New Roman" w:eastAsia="Times New Roman" w:hAnsi="Times New Roman"/>
          <w:color w:val="222222"/>
          <w:sz w:val="28"/>
          <w:szCs w:val="28"/>
          <w:lang w:eastAsia="x-none"/>
        </w:rPr>
        <w:t> </w:t>
      </w:r>
      <w:r w:rsidR="000A2A78" w:rsidRPr="00406670">
        <w:rPr>
          <w:rFonts w:ascii="Times New Roman" w:eastAsia="Times New Roman" w:hAnsi="Times New Roman"/>
          <w:color w:val="222222"/>
          <w:sz w:val="28"/>
          <w:szCs w:val="28"/>
          <w:lang w:eastAsia="x-none"/>
        </w:rPr>
        <w:t>923 «Об упрощении выдачи электронных виз и создании системы «АСАН Виза»</w:t>
      </w:r>
      <w:r w:rsidR="00C57FAA" w:rsidRPr="00406670">
        <w:rPr>
          <w:rFonts w:ascii="Times New Roman" w:eastAsia="Times New Roman" w:hAnsi="Times New Roman"/>
          <w:color w:val="222222"/>
          <w:sz w:val="28"/>
          <w:szCs w:val="28"/>
          <w:lang w:eastAsia="x-none"/>
        </w:rPr>
        <w:t>»</w:t>
      </w:r>
      <w:r w:rsidR="000A2A78" w:rsidRPr="00406670">
        <w:rPr>
          <w:rFonts w:ascii="Times New Roman" w:eastAsia="Times New Roman" w:hAnsi="Times New Roman"/>
          <w:color w:val="222222"/>
          <w:sz w:val="28"/>
          <w:szCs w:val="28"/>
          <w:lang w:eastAsia="x-none"/>
        </w:rPr>
        <w:t xml:space="preserve"> в результате совместной деятельности Государственного Агентства по оказанию услуг гражданам и социальным инновациям при Президенте Азербайджанской Республики и соответствующих агентств, с 10 января 2009 года было обеспечено создание системы «АСАН Виза». Система «АСАН Виза» позволяет иностранцам и лицам без гражданства получать электронную визу в течение 3 часов в ускоренном порядке и 3</w:t>
      </w:r>
      <w:r w:rsidR="00483209" w:rsidRPr="00406670">
        <w:rPr>
          <w:rFonts w:ascii="Times New Roman" w:eastAsia="Times New Roman" w:hAnsi="Times New Roman"/>
          <w:color w:val="222222"/>
          <w:sz w:val="28"/>
          <w:szCs w:val="28"/>
          <w:lang w:eastAsia="x-none"/>
        </w:rPr>
        <w:t> </w:t>
      </w:r>
      <w:r w:rsidR="000A2A78" w:rsidRPr="00406670">
        <w:rPr>
          <w:rFonts w:ascii="Times New Roman" w:eastAsia="Times New Roman" w:hAnsi="Times New Roman"/>
          <w:color w:val="222222"/>
          <w:sz w:val="28"/>
          <w:szCs w:val="28"/>
          <w:lang w:eastAsia="x-none"/>
        </w:rPr>
        <w:t>рабочих дней в стандартном режиме. В результате применения системы «АСАН Виза» количество посетителей в стране увеличилось. С первого дня функционирования данной системы до 1 ноября 2018 года с помощью системы было выдано 850</w:t>
      </w:r>
      <w:r w:rsidR="00483209" w:rsidRPr="00406670">
        <w:rPr>
          <w:rFonts w:ascii="Times New Roman" w:eastAsia="Times New Roman" w:hAnsi="Times New Roman"/>
          <w:color w:val="222222"/>
          <w:sz w:val="28"/>
          <w:szCs w:val="28"/>
          <w:lang w:eastAsia="x-none"/>
        </w:rPr>
        <w:t> </w:t>
      </w:r>
      <w:r w:rsidR="000A2A78" w:rsidRPr="00406670">
        <w:rPr>
          <w:rFonts w:ascii="Times New Roman" w:eastAsia="Times New Roman" w:hAnsi="Times New Roman"/>
          <w:color w:val="222222"/>
          <w:sz w:val="28"/>
          <w:szCs w:val="28"/>
          <w:lang w:eastAsia="x-none"/>
        </w:rPr>
        <w:t xml:space="preserve">908 виз. </w:t>
      </w:r>
      <w:r w:rsidR="00C57FAA" w:rsidRPr="00406670">
        <w:rPr>
          <w:rFonts w:ascii="Times New Roman" w:eastAsia="Times New Roman" w:hAnsi="Times New Roman"/>
          <w:color w:val="222222"/>
          <w:sz w:val="28"/>
          <w:szCs w:val="28"/>
          <w:lang w:eastAsia="x-none"/>
        </w:rPr>
        <w:t>В</w:t>
      </w:r>
      <w:r w:rsidR="000A2A78" w:rsidRPr="00406670">
        <w:rPr>
          <w:rFonts w:ascii="Times New Roman" w:eastAsia="Times New Roman" w:hAnsi="Times New Roman"/>
          <w:color w:val="222222"/>
          <w:sz w:val="28"/>
          <w:szCs w:val="28"/>
          <w:lang w:eastAsia="x-none"/>
        </w:rPr>
        <w:t>ыдача виз посредством системы «АСАН Виза» в упрощенной форме в международных аэропортах Азербайджанской Республики обеспечила более легкое осуществление этого процесса.</w:t>
      </w:r>
      <w:r w:rsidR="00636F0D" w:rsidRPr="00406670">
        <w:rPr>
          <w:rFonts w:ascii="Times New Roman" w:eastAsia="Times New Roman" w:hAnsi="Times New Roman"/>
          <w:color w:val="222222"/>
          <w:sz w:val="28"/>
          <w:szCs w:val="28"/>
          <w:lang w:eastAsia="x-none"/>
        </w:rPr>
        <w:t xml:space="preserve"> </w:t>
      </w:r>
    </w:p>
    <w:p w:rsidR="000A2A78" w:rsidRPr="00406670" w:rsidRDefault="002E19D2"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i/>
          <w:color w:val="222222"/>
          <w:sz w:val="28"/>
          <w:szCs w:val="28"/>
          <w:lang w:eastAsia="x-none"/>
        </w:rPr>
        <w:t>«</w:t>
      </w:r>
      <w:r w:rsidR="000A2A78" w:rsidRPr="00406670">
        <w:rPr>
          <w:rFonts w:ascii="Times New Roman" w:eastAsia="Times New Roman" w:hAnsi="Times New Roman"/>
          <w:i/>
          <w:color w:val="222222"/>
          <w:sz w:val="28"/>
          <w:szCs w:val="28"/>
          <w:lang w:eastAsia="x-none"/>
        </w:rPr>
        <w:t>АСАН оплата</w:t>
      </w:r>
      <w:r w:rsidRPr="00406670">
        <w:rPr>
          <w:rFonts w:ascii="Times New Roman" w:eastAsia="Times New Roman" w:hAnsi="Times New Roman"/>
          <w:i/>
          <w:color w:val="222222"/>
          <w:sz w:val="28"/>
          <w:szCs w:val="28"/>
          <w:lang w:eastAsia="x-none"/>
        </w:rPr>
        <w:t>».</w:t>
      </w:r>
      <w:r w:rsidRPr="00406670">
        <w:rPr>
          <w:rFonts w:ascii="Times New Roman" w:eastAsia="Times New Roman" w:hAnsi="Times New Roman"/>
          <w:color w:val="222222"/>
          <w:sz w:val="28"/>
          <w:szCs w:val="28"/>
          <w:lang w:eastAsia="x-none"/>
        </w:rPr>
        <w:t xml:space="preserve"> </w:t>
      </w:r>
      <w:r w:rsidR="000A2A78" w:rsidRPr="00406670">
        <w:rPr>
          <w:rFonts w:ascii="Times New Roman" w:eastAsia="Times New Roman" w:hAnsi="Times New Roman"/>
          <w:sz w:val="28"/>
          <w:szCs w:val="28"/>
          <w:lang w:eastAsia="x-none"/>
        </w:rPr>
        <w:t>Направление решений</w:t>
      </w:r>
      <w:r w:rsidR="000A2A78" w:rsidRPr="00406670">
        <w:rPr>
          <w:rFonts w:ascii="Times New Roman" w:eastAsia="Times New Roman" w:hAnsi="Times New Roman"/>
          <w:color w:val="222222"/>
          <w:sz w:val="28"/>
          <w:szCs w:val="28"/>
          <w:lang w:eastAsia="x-none"/>
        </w:rPr>
        <w:t xml:space="preserve"> о применении административных взысканий в виде административного штрафа и фото-видео</w:t>
      </w:r>
      <w:r w:rsidR="00C57FAA" w:rsidRPr="00406670">
        <w:rPr>
          <w:rFonts w:ascii="Times New Roman" w:eastAsia="Times New Roman" w:hAnsi="Times New Roman"/>
          <w:color w:val="222222"/>
          <w:sz w:val="28"/>
          <w:szCs w:val="28"/>
          <w:lang w:eastAsia="x-none"/>
        </w:rPr>
        <w:t>кадров</w:t>
      </w:r>
      <w:r w:rsidR="000A2A78" w:rsidRPr="00406670">
        <w:rPr>
          <w:rFonts w:ascii="Times New Roman" w:eastAsia="Times New Roman" w:hAnsi="Times New Roman"/>
          <w:color w:val="222222"/>
          <w:sz w:val="28"/>
          <w:szCs w:val="28"/>
          <w:lang w:eastAsia="x-none"/>
        </w:rPr>
        <w:t xml:space="preserve"> о совершении административных нарушений правил дорожного движения, выявленных при помощи специальных технических средств, в электронной форме на электронные адреса и номера мобильных телефонов граждан, контроль срока исполнения решений о применении административных взысканий в виде административного штрафа и информирование об истечении сроков, а также оплата административных штрафов в электронной форме посредством мобильных </w:t>
      </w:r>
      <w:r w:rsidR="007C0140" w:rsidRPr="00406670">
        <w:rPr>
          <w:rFonts w:ascii="Times New Roman" w:eastAsia="Times New Roman" w:hAnsi="Times New Roman"/>
          <w:color w:val="222222"/>
          <w:sz w:val="28"/>
          <w:szCs w:val="28"/>
          <w:lang w:eastAsia="x-none"/>
        </w:rPr>
        <w:t>телефонных аппаратов обеспечиваю</w:t>
      </w:r>
      <w:r w:rsidR="000A2A78" w:rsidRPr="00406670">
        <w:rPr>
          <w:rFonts w:ascii="Times New Roman" w:eastAsia="Times New Roman" w:hAnsi="Times New Roman"/>
          <w:color w:val="222222"/>
          <w:sz w:val="28"/>
          <w:szCs w:val="28"/>
          <w:lang w:eastAsia="x-none"/>
        </w:rPr>
        <w:t xml:space="preserve">тся </w:t>
      </w:r>
      <w:r w:rsidR="00C57FAA" w:rsidRPr="00406670">
        <w:rPr>
          <w:rFonts w:ascii="Times New Roman" w:eastAsia="Times New Roman" w:hAnsi="Times New Roman"/>
          <w:color w:val="222222"/>
          <w:sz w:val="28"/>
          <w:szCs w:val="28"/>
          <w:lang w:eastAsia="x-none"/>
        </w:rPr>
        <w:t>через</w:t>
      </w:r>
      <w:r w:rsidR="000A2A78" w:rsidRPr="00406670">
        <w:rPr>
          <w:rFonts w:ascii="Times New Roman" w:eastAsia="Times New Roman" w:hAnsi="Times New Roman"/>
          <w:color w:val="222222"/>
          <w:sz w:val="28"/>
          <w:szCs w:val="28"/>
          <w:lang w:eastAsia="x-none"/>
        </w:rPr>
        <w:t xml:space="preserve"> многофункциональн</w:t>
      </w:r>
      <w:r w:rsidR="00C57FAA" w:rsidRPr="00406670">
        <w:rPr>
          <w:rFonts w:ascii="Times New Roman" w:eastAsia="Times New Roman" w:hAnsi="Times New Roman"/>
          <w:color w:val="222222"/>
          <w:sz w:val="28"/>
          <w:szCs w:val="28"/>
          <w:lang w:eastAsia="x-none"/>
        </w:rPr>
        <w:t>ую</w:t>
      </w:r>
      <w:r w:rsidR="000A2A78" w:rsidRPr="00406670">
        <w:rPr>
          <w:rFonts w:ascii="Times New Roman" w:eastAsia="Times New Roman" w:hAnsi="Times New Roman"/>
          <w:color w:val="222222"/>
          <w:sz w:val="28"/>
          <w:szCs w:val="28"/>
          <w:lang w:eastAsia="x-none"/>
        </w:rPr>
        <w:t xml:space="preserve"> систем</w:t>
      </w:r>
      <w:r w:rsidR="00C57FAA" w:rsidRPr="00406670">
        <w:rPr>
          <w:rFonts w:ascii="Times New Roman" w:eastAsia="Times New Roman" w:hAnsi="Times New Roman"/>
          <w:color w:val="222222"/>
          <w:sz w:val="28"/>
          <w:szCs w:val="28"/>
          <w:lang w:eastAsia="x-none"/>
        </w:rPr>
        <w:t>у</w:t>
      </w:r>
      <w:r w:rsidR="000A2A78" w:rsidRPr="00406670">
        <w:rPr>
          <w:rFonts w:ascii="Times New Roman" w:eastAsia="Times New Roman" w:hAnsi="Times New Roman"/>
          <w:color w:val="222222"/>
          <w:sz w:val="28"/>
          <w:szCs w:val="28"/>
          <w:lang w:eastAsia="x-none"/>
        </w:rPr>
        <w:t xml:space="preserve"> «АСАН оплата», созданн</w:t>
      </w:r>
      <w:r w:rsidR="00C57FAA" w:rsidRPr="00406670">
        <w:rPr>
          <w:rFonts w:ascii="Times New Roman" w:eastAsia="Times New Roman" w:hAnsi="Times New Roman"/>
          <w:color w:val="222222"/>
          <w:sz w:val="28"/>
          <w:szCs w:val="28"/>
          <w:lang w:eastAsia="x-none"/>
        </w:rPr>
        <w:t>ую</w:t>
      </w:r>
      <w:r w:rsidR="000A2A78" w:rsidRPr="00406670">
        <w:rPr>
          <w:rFonts w:ascii="Times New Roman" w:eastAsia="Times New Roman" w:hAnsi="Times New Roman"/>
          <w:color w:val="222222"/>
          <w:sz w:val="28"/>
          <w:szCs w:val="28"/>
          <w:lang w:eastAsia="x-none"/>
        </w:rPr>
        <w:t xml:space="preserve"> </w:t>
      </w:r>
      <w:r w:rsidR="00C57FAA" w:rsidRPr="00406670">
        <w:rPr>
          <w:rFonts w:ascii="Times New Roman" w:eastAsia="Times New Roman" w:hAnsi="Times New Roman"/>
          <w:color w:val="222222"/>
          <w:sz w:val="28"/>
          <w:szCs w:val="28"/>
          <w:lang w:eastAsia="x-none"/>
        </w:rPr>
        <w:t>в соответствии с</w:t>
      </w:r>
      <w:r w:rsidR="000A2A78" w:rsidRPr="00406670">
        <w:rPr>
          <w:rFonts w:ascii="Times New Roman" w:eastAsia="Times New Roman" w:hAnsi="Times New Roman"/>
          <w:color w:val="222222"/>
          <w:sz w:val="28"/>
          <w:szCs w:val="28"/>
          <w:lang w:eastAsia="x-none"/>
        </w:rPr>
        <w:t xml:space="preserve"> Указ</w:t>
      </w:r>
      <w:r w:rsidR="00C57FAA" w:rsidRPr="00406670">
        <w:rPr>
          <w:rFonts w:ascii="Times New Roman" w:eastAsia="Times New Roman" w:hAnsi="Times New Roman"/>
          <w:color w:val="222222"/>
          <w:sz w:val="28"/>
          <w:szCs w:val="28"/>
          <w:lang w:eastAsia="x-none"/>
        </w:rPr>
        <w:t>ом</w:t>
      </w:r>
      <w:r w:rsidR="000A2A78" w:rsidRPr="00406670">
        <w:rPr>
          <w:rFonts w:ascii="Times New Roman" w:eastAsia="Times New Roman" w:hAnsi="Times New Roman"/>
          <w:color w:val="222222"/>
          <w:sz w:val="28"/>
          <w:szCs w:val="28"/>
          <w:lang w:eastAsia="x-none"/>
        </w:rPr>
        <w:t xml:space="preserve"> Президента Азербайджанской Республики от 11</w:t>
      </w:r>
      <w:r w:rsidR="00C57FAA" w:rsidRPr="00406670">
        <w:rPr>
          <w:rFonts w:ascii="Times New Roman" w:eastAsia="Times New Roman" w:hAnsi="Times New Roman"/>
          <w:color w:val="222222"/>
          <w:sz w:val="28"/>
          <w:szCs w:val="28"/>
          <w:lang w:eastAsia="x-none"/>
        </w:rPr>
        <w:t xml:space="preserve"> февраля </w:t>
      </w:r>
      <w:r w:rsidR="000A2A78" w:rsidRPr="00406670">
        <w:rPr>
          <w:rFonts w:ascii="Times New Roman" w:eastAsia="Times New Roman" w:hAnsi="Times New Roman"/>
          <w:color w:val="222222"/>
          <w:sz w:val="28"/>
          <w:szCs w:val="28"/>
          <w:lang w:eastAsia="x-none"/>
        </w:rPr>
        <w:t>2014 г</w:t>
      </w:r>
      <w:r w:rsidR="00C57FAA" w:rsidRPr="00406670">
        <w:rPr>
          <w:rFonts w:ascii="Times New Roman" w:eastAsia="Times New Roman" w:hAnsi="Times New Roman"/>
          <w:color w:val="222222"/>
          <w:sz w:val="28"/>
          <w:szCs w:val="28"/>
          <w:lang w:eastAsia="x-none"/>
        </w:rPr>
        <w:t>ода</w:t>
      </w:r>
      <w:r w:rsidRPr="00406670">
        <w:rPr>
          <w:rFonts w:ascii="Times New Roman" w:eastAsia="Times New Roman" w:hAnsi="Times New Roman"/>
          <w:color w:val="222222"/>
          <w:sz w:val="28"/>
          <w:szCs w:val="28"/>
          <w:lang w:eastAsia="x-none"/>
        </w:rPr>
        <w:t xml:space="preserve"> </w:t>
      </w:r>
      <w:r w:rsidR="000A2A78" w:rsidRPr="00406670">
        <w:rPr>
          <w:rFonts w:ascii="Times New Roman" w:eastAsia="Times New Roman" w:hAnsi="Times New Roman"/>
          <w:color w:val="222222"/>
          <w:sz w:val="28"/>
          <w:szCs w:val="28"/>
          <w:lang w:eastAsia="x-none"/>
        </w:rPr>
        <w:t>№</w:t>
      </w:r>
      <w:r w:rsidR="00483209" w:rsidRPr="00406670">
        <w:rPr>
          <w:rFonts w:ascii="Times New Roman" w:eastAsia="Times New Roman" w:hAnsi="Times New Roman"/>
          <w:color w:val="222222"/>
          <w:sz w:val="28"/>
          <w:szCs w:val="28"/>
          <w:lang w:eastAsia="x-none"/>
        </w:rPr>
        <w:t> </w:t>
      </w:r>
      <w:r w:rsidR="000A2A78" w:rsidRPr="00406670">
        <w:rPr>
          <w:rFonts w:ascii="Times New Roman" w:eastAsia="Times New Roman" w:hAnsi="Times New Roman"/>
          <w:color w:val="222222"/>
          <w:sz w:val="28"/>
          <w:szCs w:val="28"/>
          <w:lang w:eastAsia="x-none"/>
        </w:rPr>
        <w:t xml:space="preserve">110. </w:t>
      </w:r>
    </w:p>
    <w:p w:rsidR="000A2A78" w:rsidRPr="00406670" w:rsidRDefault="000A2A78"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«АСАН оплата» является цент</w:t>
      </w:r>
      <w:r w:rsidR="00816482" w:rsidRPr="00406670">
        <w:rPr>
          <w:rFonts w:ascii="Times New Roman" w:eastAsia="Times New Roman" w:hAnsi="Times New Roman"/>
          <w:color w:val="222222"/>
          <w:sz w:val="28"/>
          <w:szCs w:val="28"/>
          <w:lang w:eastAsia="x-none"/>
        </w:rPr>
        <w:t>ральной информационной системой,</w:t>
      </w:r>
      <w:r w:rsidRPr="00406670">
        <w:rPr>
          <w:rFonts w:ascii="Times New Roman" w:eastAsia="Times New Roman" w:hAnsi="Times New Roman"/>
          <w:color w:val="222222"/>
          <w:sz w:val="28"/>
          <w:szCs w:val="28"/>
          <w:lang w:eastAsia="x-none"/>
        </w:rPr>
        <w:t xml:space="preserve"> в которой связаны все другие поставщики платежных услуг в </w:t>
      </w:r>
      <w:r w:rsidR="00816482" w:rsidRPr="00406670">
        <w:rPr>
          <w:rFonts w:ascii="Times New Roman" w:eastAsia="Times New Roman" w:hAnsi="Times New Roman"/>
          <w:color w:val="222222"/>
          <w:sz w:val="28"/>
          <w:szCs w:val="28"/>
          <w:lang w:eastAsia="x-none"/>
        </w:rPr>
        <w:t>Азербайджане</w:t>
      </w:r>
      <w:r w:rsidRPr="00406670">
        <w:rPr>
          <w:rFonts w:ascii="Times New Roman" w:eastAsia="Times New Roman" w:hAnsi="Times New Roman"/>
          <w:color w:val="222222"/>
          <w:sz w:val="28"/>
          <w:szCs w:val="28"/>
          <w:lang w:eastAsia="x-none"/>
        </w:rPr>
        <w:t>. Посредством системы для поставщиков платежных услуг создана возможность оплаты административных штрафов, коммунальных платежей и государственных лизинговых платежей. Субъекты предпринимательс</w:t>
      </w:r>
      <w:r w:rsidR="00816482" w:rsidRPr="00406670">
        <w:rPr>
          <w:rFonts w:ascii="Times New Roman" w:eastAsia="Times New Roman" w:hAnsi="Times New Roman"/>
          <w:color w:val="222222"/>
          <w:sz w:val="28"/>
          <w:szCs w:val="28"/>
          <w:lang w:eastAsia="x-none"/>
        </w:rPr>
        <w:t>кой деятельности</w:t>
      </w:r>
      <w:r w:rsidRPr="00406670">
        <w:rPr>
          <w:rFonts w:ascii="Times New Roman" w:eastAsia="Times New Roman" w:hAnsi="Times New Roman"/>
          <w:color w:val="222222"/>
          <w:sz w:val="28"/>
          <w:szCs w:val="28"/>
          <w:lang w:eastAsia="x-none"/>
        </w:rPr>
        <w:t xml:space="preserve"> могут получать доступ к государственным информационным системам в рамках возможностей системы через любую платежную организацию. </w:t>
      </w:r>
    </w:p>
    <w:p w:rsidR="000A2A78" w:rsidRPr="00406670" w:rsidRDefault="000A2A78" w:rsidP="00483209">
      <w:pPr>
        <w:spacing w:after="0" w:line="240" w:lineRule="auto"/>
        <w:ind w:firstLine="709"/>
        <w:jc w:val="both"/>
        <w:rPr>
          <w:rFonts w:ascii="Times New Roman" w:eastAsia="Times New Roman" w:hAnsi="Times New Roman"/>
          <w:b/>
          <w:color w:val="222222"/>
          <w:sz w:val="28"/>
          <w:szCs w:val="28"/>
          <w:lang w:eastAsia="x-none"/>
        </w:rPr>
      </w:pPr>
      <w:r w:rsidRPr="00406670">
        <w:rPr>
          <w:rFonts w:ascii="Times New Roman" w:eastAsia="Times New Roman" w:hAnsi="Times New Roman"/>
          <w:color w:val="222222"/>
          <w:sz w:val="28"/>
          <w:szCs w:val="28"/>
          <w:lang w:eastAsia="x-none"/>
        </w:rPr>
        <w:t>Оповещение лиц об электронном протоколе по административному нарушению правил дорожного движения или о решении по делу об административном правонарушении в установленном законом порядке осуществляется через систему «АСАН оплата». Система «АСАН оплата» служит для автоматического получения из единой системы информации о протоколах по административным правонарушениям, создаваемых в информационных системах государственных органов. В настоящее время оплаты 118 государственных учреждений, в том числе 30 органов центральной исполнительной власти, 79 органов местной исполнительной власти и 5</w:t>
      </w:r>
      <w:r w:rsidR="00483209" w:rsidRPr="00406670">
        <w:rPr>
          <w:rFonts w:ascii="Times New Roman" w:eastAsia="Times New Roman" w:hAnsi="Times New Roman"/>
          <w:color w:val="222222"/>
          <w:sz w:val="28"/>
          <w:szCs w:val="28"/>
          <w:lang w:eastAsia="x-none"/>
        </w:rPr>
        <w:t> </w:t>
      </w:r>
      <w:r w:rsidRPr="00406670">
        <w:rPr>
          <w:rFonts w:ascii="Times New Roman" w:eastAsia="Times New Roman" w:hAnsi="Times New Roman"/>
          <w:color w:val="222222"/>
          <w:sz w:val="28"/>
          <w:szCs w:val="28"/>
          <w:lang w:eastAsia="x-none"/>
        </w:rPr>
        <w:t>юридических лиц публичного права, 4 юридических лиц</w:t>
      </w:r>
      <w:r w:rsidR="007C0140" w:rsidRPr="00406670">
        <w:rPr>
          <w:rFonts w:ascii="Times New Roman" w:eastAsia="Times New Roman" w:hAnsi="Times New Roman"/>
          <w:color w:val="222222"/>
          <w:sz w:val="28"/>
          <w:szCs w:val="28"/>
          <w:lang w:eastAsia="x-none"/>
        </w:rPr>
        <w:t>а</w:t>
      </w:r>
      <w:r w:rsidRPr="00406670">
        <w:rPr>
          <w:rFonts w:ascii="Times New Roman" w:eastAsia="Times New Roman" w:hAnsi="Times New Roman"/>
          <w:color w:val="222222"/>
          <w:sz w:val="28"/>
          <w:szCs w:val="28"/>
          <w:lang w:eastAsia="x-none"/>
        </w:rPr>
        <w:t xml:space="preserve">, чей контрольный пакет акций принадлежит государству, </w:t>
      </w:r>
      <w:r w:rsidR="007C0140" w:rsidRPr="00406670">
        <w:rPr>
          <w:rFonts w:ascii="Times New Roman" w:eastAsia="Times New Roman" w:hAnsi="Times New Roman"/>
          <w:color w:val="222222"/>
          <w:sz w:val="28"/>
          <w:szCs w:val="28"/>
          <w:lang w:eastAsia="x-none"/>
        </w:rPr>
        <w:t>обеспечиваются</w:t>
      </w:r>
      <w:r w:rsidRPr="00406670">
        <w:rPr>
          <w:rFonts w:ascii="Times New Roman" w:eastAsia="Times New Roman" w:hAnsi="Times New Roman"/>
          <w:color w:val="222222"/>
          <w:sz w:val="28"/>
          <w:szCs w:val="28"/>
          <w:lang w:eastAsia="x-none"/>
        </w:rPr>
        <w:t xml:space="preserve"> различным</w:t>
      </w:r>
      <w:r w:rsidR="007C0140" w:rsidRPr="00406670">
        <w:rPr>
          <w:rFonts w:ascii="Times New Roman" w:eastAsia="Times New Roman" w:hAnsi="Times New Roman"/>
          <w:color w:val="222222"/>
          <w:sz w:val="28"/>
          <w:szCs w:val="28"/>
          <w:lang w:eastAsia="x-none"/>
        </w:rPr>
        <w:t>и</w:t>
      </w:r>
      <w:r w:rsidRPr="00406670">
        <w:rPr>
          <w:rFonts w:ascii="Times New Roman" w:eastAsia="Times New Roman" w:hAnsi="Times New Roman"/>
          <w:color w:val="222222"/>
          <w:sz w:val="28"/>
          <w:szCs w:val="28"/>
          <w:lang w:eastAsia="x-none"/>
        </w:rPr>
        <w:t xml:space="preserve"> услугам</w:t>
      </w:r>
      <w:r w:rsidR="007C0140" w:rsidRPr="00406670">
        <w:rPr>
          <w:rFonts w:ascii="Times New Roman" w:eastAsia="Times New Roman" w:hAnsi="Times New Roman"/>
          <w:color w:val="222222"/>
          <w:sz w:val="28"/>
          <w:szCs w:val="28"/>
          <w:lang w:eastAsia="x-none"/>
        </w:rPr>
        <w:t>и</w:t>
      </w:r>
      <w:r w:rsidRPr="00406670">
        <w:rPr>
          <w:rFonts w:ascii="Times New Roman" w:eastAsia="Times New Roman" w:hAnsi="Times New Roman"/>
          <w:color w:val="222222"/>
          <w:sz w:val="28"/>
          <w:szCs w:val="28"/>
          <w:lang w:eastAsia="x-none"/>
        </w:rPr>
        <w:t xml:space="preserve"> через платежный портал www.asanpay.az и терминалы государственной информационной системы «АСАН оплата», портал «</w:t>
      </w:r>
      <w:r w:rsidR="00816482" w:rsidRPr="00406670">
        <w:rPr>
          <w:rFonts w:ascii="Times New Roman" w:eastAsia="Times New Roman" w:hAnsi="Times New Roman"/>
          <w:color w:val="222222"/>
          <w:sz w:val="28"/>
          <w:szCs w:val="28"/>
          <w:lang w:eastAsia="x-none"/>
        </w:rPr>
        <w:t>э</w:t>
      </w:r>
      <w:r w:rsidRPr="00406670">
        <w:rPr>
          <w:rFonts w:ascii="Times New Roman" w:eastAsia="Times New Roman" w:hAnsi="Times New Roman"/>
          <w:color w:val="222222"/>
          <w:sz w:val="28"/>
          <w:szCs w:val="28"/>
          <w:lang w:eastAsia="x-none"/>
        </w:rPr>
        <w:t xml:space="preserve">лектронное </w:t>
      </w:r>
      <w:r w:rsidR="00816482" w:rsidRPr="00406670">
        <w:rPr>
          <w:rFonts w:ascii="Times New Roman" w:eastAsia="Times New Roman" w:hAnsi="Times New Roman"/>
          <w:color w:val="222222"/>
          <w:sz w:val="28"/>
          <w:szCs w:val="28"/>
          <w:lang w:eastAsia="x-none"/>
        </w:rPr>
        <w:t>п</w:t>
      </w:r>
      <w:r w:rsidRPr="00406670">
        <w:rPr>
          <w:rFonts w:ascii="Times New Roman" w:eastAsia="Times New Roman" w:hAnsi="Times New Roman"/>
          <w:color w:val="222222"/>
          <w:sz w:val="28"/>
          <w:szCs w:val="28"/>
          <w:lang w:eastAsia="x-none"/>
        </w:rPr>
        <w:t>равительство», а также интегрированные в систему платежные порталы www.hesab.az, www.e-pul.az, www.portmanat.az, платежны</w:t>
      </w:r>
      <w:r w:rsidR="00816482" w:rsidRPr="00406670">
        <w:rPr>
          <w:rFonts w:ascii="Times New Roman" w:eastAsia="Times New Roman" w:hAnsi="Times New Roman"/>
          <w:color w:val="222222"/>
          <w:sz w:val="28"/>
          <w:szCs w:val="28"/>
          <w:lang w:eastAsia="x-none"/>
        </w:rPr>
        <w:t>е</w:t>
      </w:r>
      <w:r w:rsidRPr="00406670">
        <w:rPr>
          <w:rFonts w:ascii="Times New Roman" w:eastAsia="Times New Roman" w:hAnsi="Times New Roman"/>
          <w:color w:val="222222"/>
          <w:sz w:val="28"/>
          <w:szCs w:val="28"/>
          <w:lang w:eastAsia="x-none"/>
        </w:rPr>
        <w:t xml:space="preserve"> терминал</w:t>
      </w:r>
      <w:r w:rsidR="00816482" w:rsidRPr="00406670">
        <w:rPr>
          <w:rFonts w:ascii="Times New Roman" w:eastAsia="Times New Roman" w:hAnsi="Times New Roman"/>
          <w:color w:val="222222"/>
          <w:sz w:val="28"/>
          <w:szCs w:val="28"/>
          <w:lang w:eastAsia="x-none"/>
        </w:rPr>
        <w:t>ы</w:t>
      </w:r>
      <w:r w:rsidRPr="00406670">
        <w:rPr>
          <w:rFonts w:ascii="Times New Roman" w:eastAsia="Times New Roman" w:hAnsi="Times New Roman"/>
          <w:color w:val="222222"/>
          <w:sz w:val="28"/>
          <w:szCs w:val="28"/>
          <w:lang w:eastAsia="x-none"/>
        </w:rPr>
        <w:t xml:space="preserve"> «e-Manat» и «Milli Ön», почтовые отделения и отделения банк</w:t>
      </w:r>
      <w:r w:rsidR="007C0140" w:rsidRPr="00406670">
        <w:rPr>
          <w:rFonts w:ascii="Times New Roman" w:eastAsia="Times New Roman" w:hAnsi="Times New Roman"/>
          <w:color w:val="222222"/>
          <w:sz w:val="28"/>
          <w:szCs w:val="28"/>
          <w:lang w:eastAsia="x-none"/>
        </w:rPr>
        <w:t>ов</w:t>
      </w:r>
      <w:r w:rsidRPr="00406670">
        <w:rPr>
          <w:rFonts w:ascii="Times New Roman" w:eastAsia="Times New Roman" w:hAnsi="Times New Roman"/>
          <w:color w:val="222222"/>
          <w:sz w:val="28"/>
          <w:szCs w:val="28"/>
          <w:lang w:eastAsia="x-none"/>
        </w:rPr>
        <w:t>.</w:t>
      </w:r>
    </w:p>
    <w:p w:rsidR="002E19D2" w:rsidRPr="00406670" w:rsidRDefault="00483209"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2</w:t>
      </w:r>
      <w:r w:rsidR="002E19D2" w:rsidRPr="00406670">
        <w:rPr>
          <w:rFonts w:ascii="Times New Roman" w:eastAsia="Times New Roman" w:hAnsi="Times New Roman"/>
          <w:color w:val="222222"/>
          <w:sz w:val="28"/>
          <w:szCs w:val="28"/>
          <w:lang w:eastAsia="x-none"/>
        </w:rPr>
        <w:t>.</w:t>
      </w:r>
      <w:r w:rsidRPr="00406670">
        <w:rPr>
          <w:rFonts w:ascii="Times New Roman" w:eastAsia="Times New Roman" w:hAnsi="Times New Roman"/>
          <w:i/>
          <w:color w:val="222222"/>
          <w:sz w:val="28"/>
          <w:szCs w:val="28"/>
          <w:lang w:eastAsia="x-none"/>
        </w:rPr>
        <w:t> </w:t>
      </w:r>
      <w:r w:rsidR="002E19D2" w:rsidRPr="00406670">
        <w:rPr>
          <w:rFonts w:ascii="Times New Roman" w:eastAsia="Times New Roman" w:hAnsi="Times New Roman"/>
          <w:i/>
          <w:color w:val="222222"/>
          <w:sz w:val="28"/>
          <w:szCs w:val="28"/>
          <w:lang w:eastAsia="x-none"/>
        </w:rPr>
        <w:t xml:space="preserve">Портал </w:t>
      </w:r>
      <w:r w:rsidR="007C0140" w:rsidRPr="00406670">
        <w:rPr>
          <w:rFonts w:ascii="Times New Roman" w:eastAsia="Times New Roman" w:hAnsi="Times New Roman"/>
          <w:i/>
          <w:color w:val="222222"/>
          <w:sz w:val="28"/>
          <w:szCs w:val="28"/>
          <w:lang w:eastAsia="x-none"/>
        </w:rPr>
        <w:t>«Э</w:t>
      </w:r>
      <w:r w:rsidR="002E19D2" w:rsidRPr="00406670">
        <w:rPr>
          <w:rFonts w:ascii="Times New Roman" w:eastAsia="Times New Roman" w:hAnsi="Times New Roman"/>
          <w:i/>
          <w:color w:val="222222"/>
          <w:sz w:val="28"/>
          <w:szCs w:val="28"/>
          <w:lang w:eastAsia="x-none"/>
        </w:rPr>
        <w:t>лектронного правительства</w:t>
      </w:r>
      <w:r w:rsidR="007C0140" w:rsidRPr="00406670">
        <w:rPr>
          <w:rFonts w:ascii="Times New Roman" w:eastAsia="Times New Roman" w:hAnsi="Times New Roman"/>
          <w:i/>
          <w:color w:val="222222"/>
          <w:sz w:val="28"/>
          <w:szCs w:val="28"/>
          <w:lang w:eastAsia="x-none"/>
        </w:rPr>
        <w:t>»</w:t>
      </w:r>
      <w:r w:rsidR="002E19D2" w:rsidRPr="00406670">
        <w:rPr>
          <w:rFonts w:ascii="Times New Roman" w:eastAsia="Times New Roman" w:hAnsi="Times New Roman"/>
          <w:i/>
          <w:color w:val="222222"/>
          <w:sz w:val="28"/>
          <w:szCs w:val="28"/>
          <w:lang w:eastAsia="x-none"/>
        </w:rPr>
        <w:t xml:space="preserve">. </w:t>
      </w:r>
      <w:r w:rsidR="002E19D2" w:rsidRPr="00406670">
        <w:rPr>
          <w:rFonts w:ascii="Times New Roman" w:eastAsia="Times New Roman" w:hAnsi="Times New Roman"/>
          <w:color w:val="222222"/>
          <w:sz w:val="28"/>
          <w:szCs w:val="28"/>
          <w:lang w:eastAsia="x-none"/>
        </w:rPr>
        <w:t>В соответствии с Указом Президента Азербайджанской Республики от 14 марта 2018 года №</w:t>
      </w:r>
      <w:r w:rsidRPr="00406670">
        <w:rPr>
          <w:rFonts w:ascii="Times New Roman" w:eastAsia="Times New Roman" w:hAnsi="Times New Roman"/>
          <w:color w:val="222222"/>
          <w:sz w:val="28"/>
          <w:szCs w:val="28"/>
          <w:lang w:eastAsia="x-none"/>
        </w:rPr>
        <w:t> </w:t>
      </w:r>
      <w:r w:rsidR="002E19D2" w:rsidRPr="00406670">
        <w:rPr>
          <w:rFonts w:ascii="Times New Roman" w:eastAsia="Times New Roman" w:hAnsi="Times New Roman"/>
          <w:color w:val="222222"/>
          <w:sz w:val="28"/>
          <w:szCs w:val="28"/>
          <w:lang w:eastAsia="x-none"/>
        </w:rPr>
        <w:t xml:space="preserve">1885 </w:t>
      </w:r>
      <w:r w:rsidRPr="00406670">
        <w:rPr>
          <w:rFonts w:ascii="Times New Roman" w:eastAsia="Times New Roman" w:hAnsi="Times New Roman"/>
          <w:color w:val="222222"/>
          <w:sz w:val="28"/>
          <w:szCs w:val="28"/>
          <w:lang w:eastAsia="x-none"/>
        </w:rPr>
        <w:br/>
      </w:r>
      <w:r w:rsidR="002E19D2" w:rsidRPr="00406670">
        <w:rPr>
          <w:rFonts w:ascii="Times New Roman" w:eastAsia="Times New Roman" w:hAnsi="Times New Roman"/>
          <w:color w:val="222222"/>
          <w:sz w:val="28"/>
          <w:szCs w:val="28"/>
          <w:lang w:eastAsia="x-none"/>
        </w:rPr>
        <w:t>«О развитии электронного правительства и переходе к цифровому правительству», Государственным агентством по оказанию услуг гражданам и социальным инновациям при Президенте Азербайджанской Республики и другими учреждениями проводятся соответствующие работы.</w:t>
      </w:r>
      <w:r w:rsidR="00636F0D" w:rsidRPr="00406670">
        <w:rPr>
          <w:rFonts w:ascii="Times New Roman" w:eastAsia="Times New Roman" w:hAnsi="Times New Roman"/>
          <w:color w:val="222222"/>
          <w:sz w:val="28"/>
          <w:szCs w:val="28"/>
          <w:lang w:eastAsia="x-none"/>
        </w:rPr>
        <w:t xml:space="preserve"> </w:t>
      </w:r>
    </w:p>
    <w:p w:rsidR="002E19D2" w:rsidRPr="00406670" w:rsidRDefault="002E19D2" w:rsidP="00483209">
      <w:pPr>
        <w:spacing w:after="0" w:line="240" w:lineRule="auto"/>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sz w:val="28"/>
          <w:szCs w:val="28"/>
          <w:lang w:eastAsia="x-none"/>
        </w:rPr>
        <w:t>Подготовлены проекты, связанные с организацией обмена информацией между информационными системами и структурами государственных органов посредством портала «Электронное правительство», в том числе в рамках развития электронных услуг «государство</w:t>
      </w:r>
      <w:r w:rsidR="007C0140" w:rsidRPr="00406670">
        <w:rPr>
          <w:rFonts w:ascii="Times New Roman" w:eastAsia="Times New Roman" w:hAnsi="Times New Roman"/>
          <w:sz w:val="28"/>
          <w:szCs w:val="28"/>
          <w:lang w:eastAsia="x-none"/>
        </w:rPr>
        <w:t xml:space="preserve"> – </w:t>
      </w:r>
      <w:r w:rsidRPr="00406670">
        <w:rPr>
          <w:rFonts w:ascii="Times New Roman" w:eastAsia="Times New Roman" w:hAnsi="Times New Roman"/>
          <w:sz w:val="28"/>
          <w:szCs w:val="28"/>
          <w:lang w:eastAsia="x-none"/>
        </w:rPr>
        <w:t>бизнес, бизнес</w:t>
      </w:r>
      <w:r w:rsidR="007C0140" w:rsidRPr="00406670">
        <w:rPr>
          <w:rFonts w:ascii="Times New Roman" w:eastAsia="Times New Roman" w:hAnsi="Times New Roman"/>
          <w:sz w:val="28"/>
          <w:szCs w:val="28"/>
          <w:lang w:eastAsia="x-none"/>
        </w:rPr>
        <w:t xml:space="preserve"> – </w:t>
      </w:r>
      <w:r w:rsidRPr="00406670">
        <w:rPr>
          <w:rFonts w:ascii="Times New Roman" w:eastAsia="Times New Roman" w:hAnsi="Times New Roman"/>
          <w:sz w:val="28"/>
          <w:szCs w:val="28"/>
          <w:lang w:eastAsia="x-none"/>
        </w:rPr>
        <w:t>государство».</w:t>
      </w:r>
      <w:r w:rsidRPr="00406670">
        <w:rPr>
          <w:rFonts w:ascii="Times New Roman" w:eastAsia="Times New Roman" w:hAnsi="Times New Roman"/>
          <w:color w:val="222222"/>
          <w:sz w:val="28"/>
          <w:szCs w:val="28"/>
          <w:lang w:eastAsia="x-none"/>
        </w:rPr>
        <w:t xml:space="preserve"> Портал «Электронное правительство» предоставляет физическим и юридическим лицам, а также иностранцам и лицам без гражданства доступ к государственным услугам. Услуги, документы (свидетельства, сертификаты</w:t>
      </w:r>
      <w:r w:rsidR="00636F0D" w:rsidRPr="00406670">
        <w:rPr>
          <w:rFonts w:ascii="Times New Roman" w:eastAsia="Times New Roman" w:hAnsi="Times New Roman"/>
          <w:color w:val="222222"/>
          <w:sz w:val="28"/>
          <w:szCs w:val="28"/>
          <w:lang w:eastAsia="x-none"/>
        </w:rPr>
        <w:t xml:space="preserve"> </w:t>
      </w:r>
      <w:r w:rsidRPr="00406670">
        <w:rPr>
          <w:rFonts w:ascii="Times New Roman" w:eastAsia="Times New Roman" w:hAnsi="Times New Roman"/>
          <w:color w:val="222222"/>
          <w:sz w:val="28"/>
          <w:szCs w:val="28"/>
          <w:lang w:eastAsia="x-none"/>
        </w:rPr>
        <w:t xml:space="preserve">и т.д.), полученные через портал «Электронное правительство», могут быть использованы в качестве правовой основы в других службах, что дает предприятиям возможность прямого электронного доступа к государственным услугам. В настоящее время ведутся работы по оказанию электронных услуг через мобильные телефоны в рамках перенесения имеющихся на портале «Электронное правительство» услуг на мобильную основу. </w:t>
      </w:r>
    </w:p>
    <w:p w:rsidR="002E19D2" w:rsidRPr="00406670" w:rsidRDefault="002E19D2" w:rsidP="00222C11">
      <w:pPr>
        <w:spacing w:after="0" w:line="340" w:lineRule="exact"/>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Через портал «Электронное правительство» предоставляются услуги по социальной защите, социальному обеспечению, образованию, медицине, связи, онлайн-платежам, таможне, праву, налогам и т.д. В настоящее время через портал «</w:t>
      </w:r>
      <w:r w:rsidR="0062779A" w:rsidRPr="00406670">
        <w:rPr>
          <w:rFonts w:ascii="Times New Roman" w:eastAsia="Times New Roman" w:hAnsi="Times New Roman"/>
          <w:color w:val="222222"/>
          <w:sz w:val="28"/>
          <w:szCs w:val="28"/>
          <w:lang w:eastAsia="x-none"/>
        </w:rPr>
        <w:t>Э</w:t>
      </w:r>
      <w:r w:rsidRPr="00406670">
        <w:rPr>
          <w:rFonts w:ascii="Times New Roman" w:eastAsia="Times New Roman" w:hAnsi="Times New Roman"/>
          <w:color w:val="222222"/>
          <w:sz w:val="28"/>
          <w:szCs w:val="28"/>
          <w:lang w:eastAsia="x-none"/>
        </w:rPr>
        <w:t xml:space="preserve">лектронное правительство» предоставляется более 500 услуг. </w:t>
      </w:r>
    </w:p>
    <w:p w:rsidR="002E19D2" w:rsidRPr="00406670" w:rsidRDefault="00483209" w:rsidP="00222C11">
      <w:pPr>
        <w:spacing w:after="0" w:line="340" w:lineRule="exact"/>
        <w:ind w:firstLine="709"/>
        <w:jc w:val="both"/>
        <w:rPr>
          <w:rFonts w:ascii="Times New Roman" w:eastAsia="Times New Roman" w:hAnsi="Times New Roman"/>
          <w:color w:val="222222"/>
          <w:sz w:val="28"/>
          <w:szCs w:val="28"/>
          <w:lang w:eastAsia="x-none"/>
        </w:rPr>
      </w:pPr>
      <w:r w:rsidRPr="00406670">
        <w:rPr>
          <w:rFonts w:ascii="Times New Roman" w:eastAsia="Times New Roman" w:hAnsi="Times New Roman"/>
          <w:color w:val="222222"/>
          <w:sz w:val="28"/>
          <w:szCs w:val="28"/>
          <w:lang w:eastAsia="x-none"/>
        </w:rPr>
        <w:t>3</w:t>
      </w:r>
      <w:r w:rsidR="002E19D2" w:rsidRPr="00406670">
        <w:rPr>
          <w:rFonts w:ascii="Times New Roman" w:eastAsia="Times New Roman" w:hAnsi="Times New Roman"/>
          <w:color w:val="222222"/>
          <w:sz w:val="28"/>
          <w:szCs w:val="28"/>
          <w:lang w:eastAsia="x-none"/>
        </w:rPr>
        <w:t>.</w:t>
      </w:r>
      <w:r w:rsidRPr="00406670">
        <w:rPr>
          <w:rFonts w:ascii="Times New Roman" w:eastAsia="Times New Roman" w:hAnsi="Times New Roman"/>
          <w:i/>
          <w:color w:val="222222"/>
          <w:sz w:val="28"/>
          <w:szCs w:val="28"/>
          <w:lang w:eastAsia="x-none"/>
        </w:rPr>
        <w:t> </w:t>
      </w:r>
      <w:r w:rsidR="002E19D2" w:rsidRPr="00406670">
        <w:rPr>
          <w:rFonts w:ascii="Times New Roman" w:eastAsia="Times New Roman" w:hAnsi="Times New Roman"/>
          <w:i/>
          <w:color w:val="222222"/>
          <w:sz w:val="28"/>
          <w:szCs w:val="28"/>
          <w:lang w:eastAsia="x-none"/>
        </w:rPr>
        <w:t>Портал «Лицензии и разрешения».</w:t>
      </w:r>
      <w:r w:rsidR="002E19D2" w:rsidRPr="00406670">
        <w:rPr>
          <w:rFonts w:ascii="Times New Roman" w:eastAsia="Times New Roman" w:hAnsi="Times New Roman"/>
          <w:color w:val="222222"/>
          <w:sz w:val="28"/>
          <w:szCs w:val="28"/>
          <w:lang w:eastAsia="x-none"/>
        </w:rPr>
        <w:t xml:space="preserve"> В целях исполнения Указа Президента Азербайджанской Республики от 21 января 2017 года </w:t>
      </w:r>
      <w:r w:rsidRPr="00406670">
        <w:rPr>
          <w:rFonts w:ascii="Times New Roman" w:eastAsia="Times New Roman" w:hAnsi="Times New Roman"/>
          <w:color w:val="222222"/>
          <w:sz w:val="28"/>
          <w:szCs w:val="28"/>
          <w:lang w:eastAsia="x-none"/>
        </w:rPr>
        <w:br/>
      </w:r>
      <w:r w:rsidR="002E19D2" w:rsidRPr="00406670">
        <w:rPr>
          <w:rFonts w:ascii="Times New Roman" w:eastAsia="Times New Roman" w:hAnsi="Times New Roman"/>
          <w:color w:val="222222"/>
          <w:sz w:val="28"/>
          <w:szCs w:val="28"/>
          <w:lang w:eastAsia="x-none"/>
        </w:rPr>
        <w:t xml:space="preserve">«Об утверждении Положения портала «Лицензии и разрешения» Государственным Агентством по оказанию услуг гражданам и социальным инновациям при Президенте Азербайджанской Республики совместно с Министерством экономики был создан соответствующий портал, который запущен в тестовом режиме с начала 2018 года. </w:t>
      </w:r>
    </w:p>
    <w:p w:rsidR="002E19D2" w:rsidRPr="00816482" w:rsidRDefault="002E19D2" w:rsidP="00222C11">
      <w:pPr>
        <w:spacing w:after="0" w:line="340" w:lineRule="exact"/>
        <w:ind w:firstLine="709"/>
        <w:jc w:val="both"/>
        <w:rPr>
          <w:rFonts w:ascii="Times New Roman" w:eastAsia="Times New Roman" w:hAnsi="Times New Roman"/>
          <w:color w:val="222222"/>
          <w:sz w:val="28"/>
          <w:szCs w:val="28"/>
          <w:highlight w:val="lightGray"/>
          <w:lang w:eastAsia="x-none"/>
        </w:rPr>
      </w:pPr>
      <w:r w:rsidRPr="00406670">
        <w:rPr>
          <w:rFonts w:ascii="Times New Roman" w:eastAsia="Times New Roman" w:hAnsi="Times New Roman"/>
          <w:color w:val="222222"/>
          <w:sz w:val="28"/>
          <w:szCs w:val="28"/>
          <w:lang w:eastAsia="x-none"/>
        </w:rPr>
        <w:t>Портал «Лицензии и разрешения» обеспечивает выдачу необходимых для предпринимательской деятельности лицензий и разрешений через единую платформу в электронной форме, переведение отношений между субъектами предпринимательства и учреждениями в электронную среду. Через портал бизнес</w:t>
      </w:r>
      <w:r w:rsidR="0062779A" w:rsidRPr="00406670">
        <w:rPr>
          <w:rFonts w:ascii="Times New Roman" w:eastAsia="Times New Roman" w:hAnsi="Times New Roman"/>
          <w:color w:val="222222"/>
          <w:sz w:val="28"/>
          <w:szCs w:val="28"/>
          <w:lang w:eastAsia="x-none"/>
        </w:rPr>
        <w:t>-</w:t>
      </w:r>
      <w:r w:rsidRPr="00406670">
        <w:rPr>
          <w:rFonts w:ascii="Times New Roman" w:eastAsia="Times New Roman" w:hAnsi="Times New Roman"/>
          <w:color w:val="222222"/>
          <w:sz w:val="28"/>
          <w:szCs w:val="28"/>
          <w:lang w:eastAsia="x-none"/>
        </w:rPr>
        <w:t>субъекты могут получать лицензии, разрешения, сертификаты в электронном виде. С начала функционирования портала до 1 ноября 2018 года была обеспечена выдача лицензий около 500 субъектам предпринимательства. В дополнение к новой заявке на получение лицензии была обеспечена подача запроса для отмены, приостановления, продления и переоформления лицензий, полученных через портал. Была создана возможность цифровизации лицензий, выданных в бумажной форме и их дальнейшая регистрация на портале. Также была создана возможность получения новых дополнений к выданным лицензиям, аннулирования, приостановления, восстановления выданных дополнений, а также был записан отчетный модуль для операторного органа. В настоящее время подготавливается новая версия портала «Лицензи</w:t>
      </w:r>
      <w:r w:rsidR="0062779A" w:rsidRPr="00406670">
        <w:rPr>
          <w:rFonts w:ascii="Times New Roman" w:eastAsia="Times New Roman" w:hAnsi="Times New Roman"/>
          <w:color w:val="222222"/>
          <w:sz w:val="28"/>
          <w:szCs w:val="28"/>
          <w:lang w:eastAsia="x-none"/>
        </w:rPr>
        <w:t>и</w:t>
      </w:r>
      <w:r w:rsidRPr="00406670">
        <w:rPr>
          <w:rFonts w:ascii="Times New Roman" w:eastAsia="Times New Roman" w:hAnsi="Times New Roman"/>
          <w:color w:val="222222"/>
          <w:sz w:val="28"/>
          <w:szCs w:val="28"/>
          <w:lang w:eastAsia="x-none"/>
        </w:rPr>
        <w:t xml:space="preserve"> и разрешени</w:t>
      </w:r>
      <w:r w:rsidR="0062779A" w:rsidRPr="00406670">
        <w:rPr>
          <w:rFonts w:ascii="Times New Roman" w:eastAsia="Times New Roman" w:hAnsi="Times New Roman"/>
          <w:color w:val="222222"/>
          <w:sz w:val="28"/>
          <w:szCs w:val="28"/>
          <w:lang w:eastAsia="x-none"/>
        </w:rPr>
        <w:t>я</w:t>
      </w:r>
      <w:r w:rsidRPr="00406670">
        <w:rPr>
          <w:rFonts w:ascii="Times New Roman" w:eastAsia="Times New Roman" w:hAnsi="Times New Roman"/>
          <w:color w:val="222222"/>
          <w:sz w:val="28"/>
          <w:szCs w:val="28"/>
          <w:lang w:eastAsia="x-none"/>
        </w:rPr>
        <w:t xml:space="preserve">». </w:t>
      </w:r>
    </w:p>
    <w:p w:rsidR="002450DC" w:rsidRPr="004A132B" w:rsidRDefault="002450DC" w:rsidP="00222C11">
      <w:pPr>
        <w:pStyle w:val="4"/>
        <w:spacing w:line="340" w:lineRule="exact"/>
      </w:pPr>
      <w:r w:rsidRPr="004A132B">
        <w:t>Республика Армения</w:t>
      </w:r>
    </w:p>
    <w:p w:rsidR="002450DC" w:rsidRPr="004A132B" w:rsidRDefault="002450DC" w:rsidP="00222C11">
      <w:pPr>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eastAsia="Times New Roman" w:hAnsi="Times New Roman"/>
          <w:sz w:val="28"/>
          <w:szCs w:val="28"/>
          <w:lang w:eastAsia="x-none"/>
        </w:rPr>
        <w:t>Отношения, связанные с процедурами закупок, регулируются Законом Республики Армения от 28 декабря 2010 года №</w:t>
      </w:r>
      <w:r w:rsidR="00483209" w:rsidRPr="004A132B">
        <w:rPr>
          <w:rFonts w:ascii="Times New Roman" w:eastAsia="Times New Roman" w:hAnsi="Times New Roman"/>
          <w:sz w:val="28"/>
          <w:szCs w:val="28"/>
          <w:lang w:eastAsia="x-none"/>
        </w:rPr>
        <w:t> </w:t>
      </w:r>
      <w:r w:rsidRPr="004A132B">
        <w:rPr>
          <w:rFonts w:ascii="Times New Roman" w:eastAsia="Times New Roman" w:hAnsi="Times New Roman"/>
          <w:sz w:val="28"/>
          <w:szCs w:val="28"/>
          <w:lang w:eastAsia="x-none"/>
        </w:rPr>
        <w:t>ЗР-206 «О закупках», решениями Правительства Республики Армения, принятыми на основе данного</w:t>
      </w:r>
      <w:r w:rsidR="0030213D" w:rsidRPr="004A132B">
        <w:rPr>
          <w:rFonts w:ascii="Times New Roman" w:eastAsia="Times New Roman" w:hAnsi="Times New Roman"/>
          <w:sz w:val="28"/>
          <w:szCs w:val="28"/>
          <w:lang w:eastAsia="x-none"/>
        </w:rPr>
        <w:t xml:space="preserve"> Закона,</w:t>
      </w:r>
      <w:r w:rsidRPr="004A132B">
        <w:rPr>
          <w:rFonts w:ascii="Times New Roman" w:eastAsia="Times New Roman" w:hAnsi="Times New Roman"/>
          <w:sz w:val="28"/>
          <w:szCs w:val="28"/>
          <w:lang w:eastAsia="x-none"/>
        </w:rPr>
        <w:t xml:space="preserve"> и приказами Министра финансов Республики Армения (акты доступны на сайте www.procurement.am на армянском, русском и английском языках).</w:t>
      </w:r>
    </w:p>
    <w:p w:rsidR="002450DC" w:rsidRPr="004A132B" w:rsidRDefault="002450DC" w:rsidP="00222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ind w:firstLine="709"/>
        <w:contextualSpacing/>
        <w:jc w:val="both"/>
        <w:rPr>
          <w:rFonts w:ascii="Times New Roman" w:eastAsia="Times New Roman" w:hAnsi="Times New Roman"/>
          <w:sz w:val="28"/>
          <w:szCs w:val="28"/>
        </w:rPr>
      </w:pPr>
      <w:r w:rsidRPr="004A132B">
        <w:rPr>
          <w:rFonts w:ascii="Times New Roman" w:eastAsia="Times New Roman" w:hAnsi="Times New Roman"/>
          <w:sz w:val="28"/>
          <w:szCs w:val="28"/>
        </w:rPr>
        <w:t xml:space="preserve">Согласно процедурам, установленным </w:t>
      </w:r>
      <w:r w:rsidR="0030213D" w:rsidRPr="004A132B">
        <w:rPr>
          <w:rFonts w:ascii="Times New Roman" w:eastAsia="Times New Roman" w:hAnsi="Times New Roman"/>
          <w:sz w:val="28"/>
          <w:szCs w:val="28"/>
        </w:rPr>
        <w:t>З</w:t>
      </w:r>
      <w:r w:rsidRPr="004A132B">
        <w:rPr>
          <w:rFonts w:ascii="Times New Roman" w:eastAsia="Times New Roman" w:hAnsi="Times New Roman"/>
          <w:sz w:val="28"/>
          <w:szCs w:val="28"/>
        </w:rPr>
        <w:t>аконом</w:t>
      </w:r>
      <w:r w:rsidR="0030213D" w:rsidRPr="004A132B">
        <w:rPr>
          <w:rFonts w:ascii="Times New Roman" w:hAnsi="Times New Roman"/>
          <w:sz w:val="28"/>
          <w:szCs w:val="28"/>
        </w:rPr>
        <w:t xml:space="preserve"> «</w:t>
      </w:r>
      <w:r w:rsidR="0030213D" w:rsidRPr="004A132B">
        <w:rPr>
          <w:rFonts w:ascii="Times New Roman" w:eastAsia="Times New Roman" w:hAnsi="Times New Roman"/>
          <w:sz w:val="28"/>
          <w:szCs w:val="28"/>
        </w:rPr>
        <w:t>О закупках»</w:t>
      </w:r>
      <w:r w:rsidRPr="004A132B">
        <w:rPr>
          <w:rFonts w:ascii="Times New Roman" w:eastAsia="Times New Roman" w:hAnsi="Times New Roman"/>
          <w:sz w:val="28"/>
          <w:szCs w:val="28"/>
        </w:rPr>
        <w:t>, реализу</w:t>
      </w:r>
      <w:r w:rsidR="0062779A" w:rsidRPr="004A132B">
        <w:rPr>
          <w:rFonts w:ascii="Times New Roman" w:eastAsia="Times New Roman" w:hAnsi="Times New Roman"/>
          <w:sz w:val="28"/>
          <w:szCs w:val="28"/>
        </w:rPr>
        <w:t>ю</w:t>
      </w:r>
      <w:r w:rsidRPr="004A132B">
        <w:rPr>
          <w:rFonts w:ascii="Times New Roman" w:eastAsia="Times New Roman" w:hAnsi="Times New Roman"/>
          <w:sz w:val="28"/>
          <w:szCs w:val="28"/>
        </w:rPr>
        <w:t>тся приобретение, лизинг всех видов товаров, работ и услуг, с оплатой заказчика, приобретение заказчиком товаров, работ и услуг за счет средств, предоставляемых юридическим лицам в порядке дарения, приобретение</w:t>
      </w:r>
      <w:r w:rsidRPr="004A132B">
        <w:rPr>
          <w:rFonts w:ascii="Times New Roman" w:eastAsia="Times New Roman" w:hAnsi="Times New Roman"/>
          <w:color w:val="212121"/>
          <w:sz w:val="28"/>
          <w:szCs w:val="28"/>
        </w:rPr>
        <w:t xml:space="preserve"> </w:t>
      </w:r>
      <w:r w:rsidRPr="004A132B">
        <w:rPr>
          <w:rFonts w:ascii="Times New Roman" w:eastAsia="Times New Roman" w:hAnsi="Times New Roman"/>
          <w:sz w:val="28"/>
          <w:szCs w:val="28"/>
        </w:rPr>
        <w:t>товаров, работ и услуг в форме обмена, а также присвоение прав партнеру частного сектора в рамках сделок по партнерству государство</w:t>
      </w:r>
      <w:r w:rsidR="0030213D" w:rsidRPr="004A132B">
        <w:rPr>
          <w:rFonts w:ascii="Times New Roman" w:eastAsia="Times New Roman" w:hAnsi="Times New Roman"/>
          <w:sz w:val="28"/>
          <w:szCs w:val="28"/>
        </w:rPr>
        <w:t xml:space="preserve"> – </w:t>
      </w:r>
      <w:r w:rsidRPr="004A132B">
        <w:rPr>
          <w:rFonts w:ascii="Times New Roman" w:eastAsia="Times New Roman" w:hAnsi="Times New Roman"/>
          <w:sz w:val="28"/>
          <w:szCs w:val="28"/>
        </w:rPr>
        <w:t xml:space="preserve">частный сектор, включая сделки по доверительному управлению и концессии. </w:t>
      </w:r>
    </w:p>
    <w:p w:rsidR="002450DC" w:rsidRPr="004A132B" w:rsidRDefault="002450DC" w:rsidP="00222C11">
      <w:pPr>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eastAsia="Times New Roman" w:hAnsi="Times New Roman"/>
          <w:sz w:val="28"/>
          <w:szCs w:val="28"/>
          <w:lang w:eastAsia="x-none"/>
        </w:rPr>
        <w:t>Согласно стать</w:t>
      </w:r>
      <w:r w:rsidR="002F642E" w:rsidRPr="004A132B">
        <w:rPr>
          <w:rFonts w:ascii="Times New Roman" w:eastAsia="Times New Roman" w:hAnsi="Times New Roman"/>
          <w:sz w:val="28"/>
          <w:szCs w:val="28"/>
          <w:lang w:eastAsia="x-none"/>
        </w:rPr>
        <w:t>е</w:t>
      </w:r>
      <w:r w:rsidRPr="004A132B">
        <w:rPr>
          <w:rFonts w:ascii="Times New Roman" w:eastAsia="Times New Roman" w:hAnsi="Times New Roman"/>
          <w:sz w:val="28"/>
          <w:szCs w:val="28"/>
          <w:lang w:eastAsia="x-none"/>
        </w:rPr>
        <w:t xml:space="preserve"> 7 Закона</w:t>
      </w:r>
      <w:r w:rsidR="0030213D" w:rsidRPr="004A132B">
        <w:rPr>
          <w:rFonts w:ascii="Times New Roman" w:eastAsia="Times New Roman" w:hAnsi="Times New Roman"/>
          <w:sz w:val="28"/>
          <w:szCs w:val="28"/>
          <w:lang w:eastAsia="x-none"/>
        </w:rPr>
        <w:t xml:space="preserve"> «О закупках»</w:t>
      </w:r>
      <w:r w:rsidRPr="004A132B">
        <w:rPr>
          <w:rFonts w:ascii="Times New Roman" w:eastAsia="Times New Roman" w:hAnsi="Times New Roman"/>
          <w:sz w:val="28"/>
          <w:szCs w:val="28"/>
          <w:lang w:eastAsia="x-none"/>
        </w:rPr>
        <w:t xml:space="preserve"> любое лицо, независимо от того, является ли оно иностранным физическим лицом, организацией или лицом без гражданства, имеет равное право на участие в процессе закупки. Участие лица (лиц), являющегося (являющихся) резидентом (резидентами) какой-либо страны, в процессе закупок может быть ограничено только постановлением Правительства Республики Армения, если это необходимо для обеспечения национальной безопасности и обороны Республики Армения.</w:t>
      </w:r>
    </w:p>
    <w:p w:rsidR="002450DC" w:rsidRPr="004A132B" w:rsidRDefault="002450DC" w:rsidP="00222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ind w:firstLine="709"/>
        <w:contextualSpacing/>
        <w:jc w:val="both"/>
        <w:rPr>
          <w:rFonts w:ascii="Times New Roman" w:eastAsia="Times New Roman" w:hAnsi="Times New Roman"/>
          <w:sz w:val="28"/>
          <w:szCs w:val="28"/>
        </w:rPr>
      </w:pPr>
      <w:r w:rsidRPr="004A132B">
        <w:rPr>
          <w:rFonts w:ascii="Times New Roman" w:eastAsia="Times New Roman" w:hAnsi="Times New Roman"/>
          <w:sz w:val="28"/>
          <w:szCs w:val="28"/>
        </w:rPr>
        <w:t>Электронная система закупок состоит из взаимно-интегрированных модулей учета плана закупок, электронных конкурсов и аукционов, управления договорами и отчетности о закупках.</w:t>
      </w:r>
    </w:p>
    <w:p w:rsidR="002450DC" w:rsidRPr="004A132B" w:rsidRDefault="002450DC" w:rsidP="00222C11">
      <w:pPr>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eastAsia="Times New Roman" w:hAnsi="Times New Roman"/>
          <w:sz w:val="28"/>
          <w:szCs w:val="28"/>
          <w:lang w:eastAsia="x-none"/>
        </w:rPr>
        <w:t>Модуль учета плана закупок содержит полную и целостную информацию о конкретных потребностях клиента:</w:t>
      </w:r>
    </w:p>
    <w:p w:rsidR="002450DC" w:rsidRPr="004A132B" w:rsidRDefault="002450DC" w:rsidP="00222C11">
      <w:pPr>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eastAsia="Times New Roman" w:hAnsi="Times New Roman"/>
          <w:sz w:val="28"/>
          <w:szCs w:val="28"/>
          <w:lang w:eastAsia="x-none"/>
        </w:rPr>
        <w:t>о закупаемых предметах, их единиц измерения, колич</w:t>
      </w:r>
      <w:r w:rsidR="0040750B" w:rsidRPr="004A132B">
        <w:rPr>
          <w:rFonts w:ascii="Times New Roman" w:eastAsia="Times New Roman" w:hAnsi="Times New Roman"/>
          <w:sz w:val="28"/>
          <w:szCs w:val="28"/>
          <w:lang w:eastAsia="x-none"/>
        </w:rPr>
        <w:t>естве, сметы цен и форм закупок;</w:t>
      </w:r>
    </w:p>
    <w:p w:rsidR="002450DC" w:rsidRPr="004A132B" w:rsidRDefault="002450DC" w:rsidP="00222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ind w:firstLine="709"/>
        <w:contextualSpacing/>
        <w:jc w:val="both"/>
        <w:rPr>
          <w:rFonts w:ascii="Times New Roman" w:eastAsia="Times New Roman" w:hAnsi="Times New Roman"/>
          <w:sz w:val="28"/>
          <w:szCs w:val="28"/>
        </w:rPr>
      </w:pPr>
      <w:r w:rsidRPr="004A132B">
        <w:rPr>
          <w:rFonts w:ascii="Times New Roman" w:eastAsia="Times New Roman" w:hAnsi="Times New Roman"/>
          <w:sz w:val="28"/>
          <w:szCs w:val="28"/>
        </w:rPr>
        <w:t>лицах, ответственных за организацию процедур закупок и о действиях и сроках реализации с их стороны, что позволяет руководителю заказчика контролировать осуществляемые действия и сроки в онлайн</w:t>
      </w:r>
      <w:r w:rsidR="0040750B" w:rsidRPr="004A132B">
        <w:rPr>
          <w:rFonts w:ascii="Times New Roman" w:eastAsia="Times New Roman" w:hAnsi="Times New Roman"/>
          <w:sz w:val="28"/>
          <w:szCs w:val="28"/>
        </w:rPr>
        <w:t>-режиме</w:t>
      </w:r>
      <w:r w:rsidRPr="004A132B">
        <w:rPr>
          <w:rFonts w:ascii="Times New Roman" w:eastAsia="Times New Roman" w:hAnsi="Times New Roman"/>
          <w:sz w:val="28"/>
          <w:szCs w:val="28"/>
        </w:rPr>
        <w:t>.</w:t>
      </w:r>
    </w:p>
    <w:p w:rsidR="002450DC" w:rsidRPr="004A132B" w:rsidRDefault="002450DC" w:rsidP="00222C11">
      <w:pPr>
        <w:tabs>
          <w:tab w:val="left" w:pos="1134"/>
        </w:tabs>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hAnsi="Times New Roman"/>
          <w:sz w:val="28"/>
          <w:szCs w:val="28"/>
        </w:rPr>
        <w:t xml:space="preserve">Одновременно использование модуля </w:t>
      </w:r>
      <w:r w:rsidRPr="004A132B">
        <w:rPr>
          <w:rFonts w:ascii="Times New Roman" w:eastAsia="Times New Roman" w:hAnsi="Times New Roman"/>
          <w:sz w:val="28"/>
          <w:szCs w:val="28"/>
          <w:lang w:eastAsia="x-none"/>
        </w:rPr>
        <w:t>исключает реализацию процедур закупок в условиях отсутствия предмета закупки или достаточных финансовых средств. Как правило</w:t>
      </w:r>
      <w:r w:rsidR="0040750B" w:rsidRPr="004A132B">
        <w:rPr>
          <w:rFonts w:ascii="Times New Roman" w:eastAsia="Times New Roman" w:hAnsi="Times New Roman"/>
          <w:sz w:val="28"/>
          <w:szCs w:val="28"/>
          <w:lang w:eastAsia="x-none"/>
        </w:rPr>
        <w:t>,</w:t>
      </w:r>
      <w:r w:rsidRPr="004A132B">
        <w:rPr>
          <w:rFonts w:ascii="Times New Roman" w:eastAsia="Times New Roman" w:hAnsi="Times New Roman"/>
          <w:sz w:val="28"/>
          <w:szCs w:val="28"/>
          <w:lang w:eastAsia="x-none"/>
        </w:rPr>
        <w:t xml:space="preserve"> проблемы тако</w:t>
      </w:r>
      <w:r w:rsidR="005A4C8F" w:rsidRPr="004A132B">
        <w:rPr>
          <w:rFonts w:ascii="Times New Roman" w:eastAsia="Times New Roman" w:hAnsi="Times New Roman"/>
          <w:sz w:val="28"/>
          <w:szCs w:val="28"/>
          <w:lang w:eastAsia="x-none"/>
        </w:rPr>
        <w:t>г</w:t>
      </w:r>
      <w:r w:rsidRPr="004A132B">
        <w:rPr>
          <w:rFonts w:ascii="Times New Roman" w:eastAsia="Times New Roman" w:hAnsi="Times New Roman"/>
          <w:sz w:val="28"/>
          <w:szCs w:val="28"/>
          <w:lang w:eastAsia="x-none"/>
        </w:rPr>
        <w:t>о рода выявл</w:t>
      </w:r>
      <w:r w:rsidR="0030213D" w:rsidRPr="004A132B">
        <w:rPr>
          <w:rFonts w:ascii="Times New Roman" w:eastAsia="Times New Roman" w:hAnsi="Times New Roman"/>
          <w:sz w:val="28"/>
          <w:szCs w:val="28"/>
          <w:lang w:eastAsia="x-none"/>
        </w:rPr>
        <w:t>яются после заключения договора</w:t>
      </w:r>
      <w:r w:rsidR="005A4C8F" w:rsidRPr="004A132B">
        <w:rPr>
          <w:rFonts w:ascii="Times New Roman" w:eastAsia="Times New Roman" w:hAnsi="Times New Roman"/>
          <w:sz w:val="28"/>
          <w:szCs w:val="28"/>
          <w:lang w:eastAsia="x-none"/>
        </w:rPr>
        <w:t>.</w:t>
      </w:r>
      <w:r w:rsidR="0030213D" w:rsidRPr="004A132B">
        <w:rPr>
          <w:rFonts w:ascii="Times New Roman" w:eastAsia="Times New Roman" w:hAnsi="Times New Roman"/>
          <w:sz w:val="28"/>
          <w:szCs w:val="28"/>
          <w:lang w:eastAsia="x-none"/>
        </w:rPr>
        <w:t xml:space="preserve"> </w:t>
      </w:r>
      <w:r w:rsidR="005A4C8F" w:rsidRPr="004A132B">
        <w:rPr>
          <w:rFonts w:ascii="Times New Roman" w:eastAsia="Times New Roman" w:hAnsi="Times New Roman"/>
          <w:sz w:val="28"/>
          <w:szCs w:val="28"/>
          <w:lang w:eastAsia="x-none"/>
        </w:rPr>
        <w:t>Т</w:t>
      </w:r>
      <w:r w:rsidR="0030213D" w:rsidRPr="004A132B">
        <w:rPr>
          <w:rFonts w:ascii="Times New Roman" w:eastAsia="Times New Roman" w:hAnsi="Times New Roman"/>
          <w:sz w:val="28"/>
          <w:szCs w:val="28"/>
          <w:lang w:eastAsia="x-none"/>
        </w:rPr>
        <w:t>акже</w:t>
      </w:r>
      <w:r w:rsidRPr="004A132B">
        <w:rPr>
          <w:rFonts w:ascii="Times New Roman" w:eastAsia="Times New Roman" w:hAnsi="Times New Roman"/>
          <w:sz w:val="28"/>
          <w:szCs w:val="28"/>
          <w:lang w:eastAsia="x-none"/>
        </w:rPr>
        <w:t xml:space="preserve"> </w:t>
      </w:r>
      <w:r w:rsidR="005A4C8F" w:rsidRPr="004A132B">
        <w:rPr>
          <w:rFonts w:ascii="Times New Roman" w:eastAsia="Times New Roman" w:hAnsi="Times New Roman"/>
          <w:sz w:val="28"/>
          <w:szCs w:val="28"/>
          <w:lang w:eastAsia="x-none"/>
        </w:rPr>
        <w:t xml:space="preserve">использование модуля </w:t>
      </w:r>
      <w:r w:rsidRPr="004A132B">
        <w:rPr>
          <w:rFonts w:ascii="Times New Roman" w:eastAsia="Times New Roman" w:hAnsi="Times New Roman"/>
          <w:sz w:val="28"/>
          <w:szCs w:val="28"/>
          <w:lang w:eastAsia="x-none"/>
        </w:rPr>
        <w:t>автоматически позволяет фиксировать предусмотренные финансовые ассигнования для приобретения</w:t>
      </w:r>
      <w:r w:rsidR="0030213D" w:rsidRPr="004A132B">
        <w:rPr>
          <w:rFonts w:ascii="Times New Roman" w:eastAsia="Times New Roman" w:hAnsi="Times New Roman"/>
          <w:sz w:val="28"/>
          <w:szCs w:val="28"/>
          <w:lang w:eastAsia="x-none"/>
        </w:rPr>
        <w:t xml:space="preserve"> данного предмета закупки и </w:t>
      </w:r>
      <w:r w:rsidRPr="004A132B">
        <w:rPr>
          <w:rFonts w:ascii="Times New Roman" w:eastAsia="Times New Roman" w:hAnsi="Times New Roman"/>
          <w:sz w:val="28"/>
          <w:szCs w:val="28"/>
          <w:lang w:eastAsia="x-none"/>
        </w:rPr>
        <w:t>сбережения, возникшие в результате процедуры закупки, которые ранее заказчик мог использовать и без внесения соответствующих изменений в бюджет и план закупок. Модуль также позволяет в любое время получать сведения о принятых обязательствах и возникших сбережениях.</w:t>
      </w:r>
      <w:r w:rsidR="00636F0D" w:rsidRPr="004A132B">
        <w:rPr>
          <w:rFonts w:ascii="Times New Roman" w:eastAsia="Times New Roman" w:hAnsi="Times New Roman"/>
          <w:sz w:val="28"/>
          <w:szCs w:val="28"/>
          <w:lang w:eastAsia="x-none"/>
        </w:rPr>
        <w:t xml:space="preserve"> </w:t>
      </w:r>
    </w:p>
    <w:p w:rsidR="002450DC" w:rsidRPr="004A132B" w:rsidRDefault="002450DC" w:rsidP="00222C11">
      <w:pPr>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eastAsia="Times New Roman" w:hAnsi="Times New Roman"/>
          <w:sz w:val="28"/>
          <w:szCs w:val="28"/>
          <w:lang w:eastAsia="x-none"/>
        </w:rPr>
        <w:t>Система электронных конкурсов</w:t>
      </w:r>
      <w:r w:rsidR="0030213D" w:rsidRPr="004A132B">
        <w:rPr>
          <w:rFonts w:ascii="Times New Roman" w:eastAsia="Times New Roman" w:hAnsi="Times New Roman"/>
          <w:sz w:val="28"/>
          <w:szCs w:val="28"/>
          <w:lang w:eastAsia="x-none"/>
        </w:rPr>
        <w:t xml:space="preserve"> (</w:t>
      </w:r>
      <w:r w:rsidRPr="004A132B">
        <w:rPr>
          <w:rFonts w:ascii="Times New Roman" w:eastAsia="Times New Roman" w:hAnsi="Times New Roman"/>
          <w:sz w:val="28"/>
          <w:szCs w:val="28"/>
          <w:lang w:eastAsia="x-none"/>
        </w:rPr>
        <w:t>электронных аукционов</w:t>
      </w:r>
      <w:r w:rsidR="0030213D" w:rsidRPr="004A132B">
        <w:rPr>
          <w:rFonts w:ascii="Times New Roman" w:eastAsia="Times New Roman" w:hAnsi="Times New Roman"/>
          <w:sz w:val="28"/>
          <w:szCs w:val="28"/>
          <w:lang w:eastAsia="x-none"/>
        </w:rPr>
        <w:t>)</w:t>
      </w:r>
      <w:r w:rsidRPr="004A132B">
        <w:rPr>
          <w:rFonts w:ascii="Times New Roman" w:eastAsia="Times New Roman" w:hAnsi="Times New Roman"/>
          <w:sz w:val="28"/>
          <w:szCs w:val="28"/>
          <w:lang w:eastAsia="x-none"/>
        </w:rPr>
        <w:t xml:space="preserve"> </w:t>
      </w:r>
      <w:r w:rsidR="00797289" w:rsidRPr="004A132B">
        <w:rPr>
          <w:rFonts w:ascii="Times New Roman" w:eastAsia="Times New Roman" w:hAnsi="Times New Roman"/>
          <w:sz w:val="28"/>
          <w:szCs w:val="28"/>
          <w:lang w:eastAsia="x-none"/>
        </w:rPr>
        <w:t>представлена в Интернете</w:t>
      </w:r>
      <w:r w:rsidRPr="004A132B">
        <w:rPr>
          <w:rFonts w:ascii="Times New Roman" w:eastAsia="Times New Roman" w:hAnsi="Times New Roman"/>
          <w:sz w:val="28"/>
          <w:szCs w:val="28"/>
          <w:lang w:eastAsia="x-none"/>
        </w:rPr>
        <w:t xml:space="preserve"> по адресам</w:t>
      </w:r>
      <w:r w:rsidR="00797289" w:rsidRPr="004A132B">
        <w:rPr>
          <w:rFonts w:ascii="Times New Roman" w:eastAsia="Times New Roman" w:hAnsi="Times New Roman"/>
          <w:sz w:val="28"/>
          <w:szCs w:val="28"/>
          <w:lang w:eastAsia="x-none"/>
        </w:rPr>
        <w:t xml:space="preserve">: </w:t>
      </w:r>
      <w:r w:rsidR="00797289" w:rsidRPr="004A132B">
        <w:rPr>
          <w:rFonts w:ascii="Times New Roman" w:eastAsia="Times New Roman" w:hAnsi="Times New Roman"/>
          <w:sz w:val="28"/>
          <w:szCs w:val="28"/>
          <w:lang w:val="en-US" w:eastAsia="x-none"/>
        </w:rPr>
        <w:t>www</w:t>
      </w:r>
      <w:r w:rsidR="00797289" w:rsidRPr="004A132B">
        <w:rPr>
          <w:rFonts w:ascii="Times New Roman" w:eastAsia="Times New Roman" w:hAnsi="Times New Roman"/>
          <w:sz w:val="28"/>
          <w:szCs w:val="28"/>
          <w:lang w:eastAsia="x-none"/>
        </w:rPr>
        <w:t>.</w:t>
      </w:r>
      <w:r w:rsidRPr="004A132B">
        <w:rPr>
          <w:rFonts w:ascii="Times New Roman" w:eastAsia="Times New Roman" w:hAnsi="Times New Roman"/>
          <w:sz w:val="28"/>
          <w:szCs w:val="28"/>
          <w:lang w:eastAsia="x-none"/>
        </w:rPr>
        <w:t xml:space="preserve">armeps.am и </w:t>
      </w:r>
      <w:r w:rsidR="00797289" w:rsidRPr="004A132B">
        <w:rPr>
          <w:rFonts w:ascii="Times New Roman" w:eastAsia="Times New Roman" w:hAnsi="Times New Roman"/>
          <w:sz w:val="28"/>
          <w:szCs w:val="28"/>
          <w:lang w:val="en-US" w:eastAsia="x-none"/>
        </w:rPr>
        <w:t>www</w:t>
      </w:r>
      <w:r w:rsidR="00797289" w:rsidRPr="004A132B">
        <w:rPr>
          <w:rFonts w:ascii="Times New Roman" w:eastAsia="Times New Roman" w:hAnsi="Times New Roman"/>
          <w:sz w:val="28"/>
          <w:szCs w:val="28"/>
          <w:lang w:eastAsia="x-none"/>
        </w:rPr>
        <w:t>.</w:t>
      </w:r>
      <w:r w:rsidRPr="004A132B">
        <w:rPr>
          <w:rFonts w:ascii="Times New Roman" w:eastAsia="Times New Roman" w:hAnsi="Times New Roman"/>
          <w:sz w:val="28"/>
          <w:szCs w:val="28"/>
          <w:lang w:eastAsia="x-none"/>
        </w:rPr>
        <w:t>eauction.armeps.am.</w:t>
      </w:r>
    </w:p>
    <w:p w:rsidR="002450DC" w:rsidRPr="004A132B" w:rsidRDefault="002450DC" w:rsidP="00222C11">
      <w:pPr>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eastAsia="Times New Roman" w:hAnsi="Times New Roman"/>
          <w:sz w:val="28"/>
          <w:szCs w:val="28"/>
          <w:lang w:eastAsia="x-none"/>
        </w:rPr>
        <w:t>Эти модули обеспечивают выполнение следующих функций</w:t>
      </w:r>
      <w:r w:rsidR="0030213D" w:rsidRPr="004A132B">
        <w:rPr>
          <w:rFonts w:ascii="Times New Roman" w:eastAsia="Times New Roman" w:hAnsi="Times New Roman"/>
          <w:sz w:val="28"/>
          <w:szCs w:val="28"/>
          <w:lang w:eastAsia="x-none"/>
        </w:rPr>
        <w:t xml:space="preserve">: </w:t>
      </w:r>
      <w:r w:rsidRPr="004A132B">
        <w:rPr>
          <w:rFonts w:ascii="Times New Roman" w:eastAsia="Times New Roman" w:hAnsi="Times New Roman"/>
          <w:sz w:val="28"/>
          <w:szCs w:val="28"/>
          <w:lang w:eastAsia="x-none"/>
        </w:rPr>
        <w:t>публикация конкурса, подача заявок, проведение аукциона, оценка заявок и заключение договора.</w:t>
      </w:r>
    </w:p>
    <w:p w:rsidR="002450DC" w:rsidRPr="004A132B" w:rsidRDefault="002450DC" w:rsidP="00222C11">
      <w:pPr>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eastAsia="Times New Roman" w:hAnsi="Times New Roman"/>
          <w:sz w:val="28"/>
          <w:szCs w:val="28"/>
          <w:lang w:eastAsia="x-none"/>
        </w:rPr>
        <w:t xml:space="preserve">Модуль управления договорами позволяет руководителю </w:t>
      </w:r>
      <w:r w:rsidR="005A4C8F" w:rsidRPr="004A132B">
        <w:rPr>
          <w:rFonts w:ascii="Times New Roman" w:eastAsia="Times New Roman" w:hAnsi="Times New Roman"/>
          <w:sz w:val="28"/>
          <w:szCs w:val="28"/>
          <w:lang w:eastAsia="x-none"/>
        </w:rPr>
        <w:t xml:space="preserve">организации </w:t>
      </w:r>
      <w:r w:rsidRPr="004A132B">
        <w:rPr>
          <w:rFonts w:ascii="Times New Roman" w:eastAsia="Times New Roman" w:hAnsi="Times New Roman"/>
          <w:sz w:val="28"/>
          <w:szCs w:val="28"/>
          <w:lang w:eastAsia="x-none"/>
        </w:rPr>
        <w:t>заказчика и соответствующим должностным лицам после заключения договора в онлайн</w:t>
      </w:r>
      <w:r w:rsidR="008E0139" w:rsidRPr="004A132B">
        <w:rPr>
          <w:rFonts w:ascii="Times New Roman" w:eastAsia="Times New Roman" w:hAnsi="Times New Roman"/>
          <w:sz w:val="28"/>
          <w:szCs w:val="28"/>
          <w:lang w:eastAsia="x-none"/>
        </w:rPr>
        <w:t>-</w:t>
      </w:r>
      <w:r w:rsidRPr="004A132B">
        <w:rPr>
          <w:rFonts w:ascii="Times New Roman" w:eastAsia="Times New Roman" w:hAnsi="Times New Roman"/>
          <w:sz w:val="28"/>
          <w:szCs w:val="28"/>
          <w:lang w:eastAsia="x-none"/>
        </w:rPr>
        <w:t>режиме осуществить контроль в соответствии с</w:t>
      </w:r>
      <w:r w:rsidR="008E0139" w:rsidRPr="004A132B">
        <w:rPr>
          <w:rFonts w:ascii="Times New Roman" w:eastAsia="Times New Roman" w:hAnsi="Times New Roman"/>
          <w:sz w:val="28"/>
          <w:szCs w:val="28"/>
          <w:lang w:eastAsia="x-none"/>
        </w:rPr>
        <w:t>о</w:t>
      </w:r>
      <w:r w:rsidRPr="004A132B">
        <w:rPr>
          <w:rFonts w:ascii="Times New Roman" w:eastAsia="Times New Roman" w:hAnsi="Times New Roman"/>
          <w:sz w:val="28"/>
          <w:szCs w:val="28"/>
          <w:lang w:eastAsia="x-none"/>
        </w:rPr>
        <w:t xml:space="preserve"> сроками поставок договоров, фактическими поставками и платежами за них.</w:t>
      </w:r>
      <w:r w:rsidR="00636F0D" w:rsidRPr="004A132B">
        <w:rPr>
          <w:rFonts w:ascii="Times New Roman" w:eastAsia="Times New Roman" w:hAnsi="Times New Roman"/>
          <w:sz w:val="28"/>
          <w:szCs w:val="28"/>
          <w:lang w:eastAsia="x-none"/>
        </w:rPr>
        <w:t xml:space="preserve"> </w:t>
      </w:r>
    </w:p>
    <w:p w:rsidR="002450DC" w:rsidRPr="004A132B" w:rsidRDefault="002450DC" w:rsidP="00222C11">
      <w:pPr>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eastAsia="Times New Roman" w:hAnsi="Times New Roman"/>
          <w:sz w:val="28"/>
          <w:szCs w:val="28"/>
          <w:lang w:eastAsia="x-none"/>
        </w:rPr>
        <w:t>Через систему регулирования договора реализуются также пред</w:t>
      </w:r>
      <w:r w:rsidR="00A639B1" w:rsidRPr="004A132B">
        <w:rPr>
          <w:rFonts w:ascii="Times New Roman" w:eastAsia="Times New Roman" w:hAnsi="Times New Roman"/>
          <w:sz w:val="28"/>
          <w:szCs w:val="28"/>
          <w:lang w:eastAsia="x-none"/>
        </w:rPr>
        <w:t>о</w:t>
      </w:r>
      <w:r w:rsidRPr="004A132B">
        <w:rPr>
          <w:rFonts w:ascii="Times New Roman" w:eastAsia="Times New Roman" w:hAnsi="Times New Roman"/>
          <w:sz w:val="28"/>
          <w:szCs w:val="28"/>
          <w:lang w:eastAsia="x-none"/>
        </w:rPr>
        <w:t>ставление протоколов приема-сдачи и счет-фактур и их возврат после подтверждения заказчиком. Модуль</w:t>
      </w:r>
      <w:r w:rsidR="00A639B1" w:rsidRPr="004A132B">
        <w:rPr>
          <w:rFonts w:ascii="Times New Roman" w:eastAsia="Times New Roman" w:hAnsi="Times New Roman"/>
          <w:sz w:val="28"/>
          <w:szCs w:val="28"/>
          <w:lang w:eastAsia="x-none"/>
        </w:rPr>
        <w:t xml:space="preserve"> отчетности закупок работает в И</w:t>
      </w:r>
      <w:r w:rsidRPr="004A132B">
        <w:rPr>
          <w:rFonts w:ascii="Times New Roman" w:eastAsia="Times New Roman" w:hAnsi="Times New Roman"/>
          <w:sz w:val="28"/>
          <w:szCs w:val="28"/>
          <w:lang w:eastAsia="x-none"/>
        </w:rPr>
        <w:t>нтернет</w:t>
      </w:r>
      <w:r w:rsidR="00A639B1" w:rsidRPr="004A132B">
        <w:rPr>
          <w:rFonts w:ascii="Times New Roman" w:eastAsia="Times New Roman" w:hAnsi="Times New Roman"/>
          <w:sz w:val="28"/>
          <w:szCs w:val="28"/>
          <w:lang w:eastAsia="x-none"/>
        </w:rPr>
        <w:t>е</w:t>
      </w:r>
      <w:r w:rsidRPr="004A132B">
        <w:rPr>
          <w:rFonts w:ascii="Times New Roman" w:eastAsia="Times New Roman" w:hAnsi="Times New Roman"/>
          <w:sz w:val="28"/>
          <w:szCs w:val="28"/>
          <w:lang w:eastAsia="x-none"/>
        </w:rPr>
        <w:t xml:space="preserve"> по адресу</w:t>
      </w:r>
      <w:r w:rsidR="00A639B1" w:rsidRPr="004A132B">
        <w:rPr>
          <w:rFonts w:ascii="Times New Roman" w:eastAsia="Times New Roman" w:hAnsi="Times New Roman"/>
          <w:sz w:val="28"/>
          <w:szCs w:val="28"/>
          <w:lang w:eastAsia="x-none"/>
        </w:rPr>
        <w:t>:</w:t>
      </w:r>
      <w:r w:rsidRPr="004A132B">
        <w:rPr>
          <w:rFonts w:ascii="Times New Roman" w:eastAsia="Times New Roman" w:hAnsi="Times New Roman"/>
          <w:sz w:val="28"/>
          <w:szCs w:val="28"/>
          <w:lang w:eastAsia="x-none"/>
        </w:rPr>
        <w:t xml:space="preserve"> </w:t>
      </w:r>
      <w:r w:rsidR="00A639B1" w:rsidRPr="004A132B">
        <w:rPr>
          <w:rFonts w:ascii="Times New Roman" w:eastAsia="Times New Roman" w:hAnsi="Times New Roman"/>
          <w:sz w:val="28"/>
          <w:szCs w:val="28"/>
          <w:lang w:val="en-US" w:eastAsia="x-none"/>
        </w:rPr>
        <w:t>www</w:t>
      </w:r>
      <w:r w:rsidR="00A639B1" w:rsidRPr="004A132B">
        <w:rPr>
          <w:rFonts w:ascii="Times New Roman" w:eastAsia="Times New Roman" w:hAnsi="Times New Roman"/>
          <w:sz w:val="28"/>
          <w:szCs w:val="28"/>
          <w:lang w:eastAsia="x-none"/>
        </w:rPr>
        <w:t>.</w:t>
      </w:r>
      <w:r w:rsidRPr="004A132B">
        <w:rPr>
          <w:rFonts w:ascii="Times New Roman" w:eastAsia="Times New Roman" w:hAnsi="Times New Roman"/>
          <w:sz w:val="28"/>
          <w:szCs w:val="28"/>
          <w:lang w:eastAsia="x-none"/>
        </w:rPr>
        <w:t>armeps.am/ppcm.</w:t>
      </w:r>
    </w:p>
    <w:p w:rsidR="002450DC" w:rsidRPr="004A132B" w:rsidRDefault="002450DC" w:rsidP="00222C11">
      <w:pPr>
        <w:spacing w:after="0" w:line="340" w:lineRule="exact"/>
        <w:ind w:firstLine="709"/>
        <w:contextualSpacing/>
        <w:jc w:val="both"/>
        <w:rPr>
          <w:rFonts w:ascii="Times New Roman" w:eastAsia="Times New Roman" w:hAnsi="Times New Roman"/>
          <w:sz w:val="28"/>
          <w:szCs w:val="28"/>
          <w:lang w:eastAsia="x-none"/>
        </w:rPr>
      </w:pPr>
      <w:r w:rsidRPr="004A132B">
        <w:rPr>
          <w:rFonts w:ascii="Times New Roman" w:eastAsia="Times New Roman" w:hAnsi="Times New Roman"/>
          <w:sz w:val="28"/>
          <w:szCs w:val="28"/>
          <w:lang w:eastAsia="x-none"/>
        </w:rPr>
        <w:t>Благодаря гибкой поисковой систем</w:t>
      </w:r>
      <w:r w:rsidR="0030213D" w:rsidRPr="004A132B">
        <w:rPr>
          <w:rFonts w:ascii="Times New Roman" w:eastAsia="Times New Roman" w:hAnsi="Times New Roman"/>
          <w:sz w:val="28"/>
          <w:szCs w:val="28"/>
          <w:lang w:eastAsia="x-none"/>
        </w:rPr>
        <w:t>е</w:t>
      </w:r>
      <w:r w:rsidRPr="004A132B">
        <w:rPr>
          <w:rFonts w:ascii="Times New Roman" w:eastAsia="Times New Roman" w:hAnsi="Times New Roman"/>
          <w:sz w:val="28"/>
          <w:szCs w:val="28"/>
          <w:lang w:eastAsia="x-none"/>
        </w:rPr>
        <w:t xml:space="preserve"> </w:t>
      </w:r>
      <w:r w:rsidR="00A639B1" w:rsidRPr="004A132B">
        <w:rPr>
          <w:rFonts w:ascii="Times New Roman" w:eastAsia="Times New Roman" w:hAnsi="Times New Roman"/>
          <w:sz w:val="28"/>
          <w:szCs w:val="28"/>
          <w:lang w:eastAsia="x-none"/>
        </w:rPr>
        <w:t>указанная</w:t>
      </w:r>
      <w:r w:rsidRPr="004A132B">
        <w:rPr>
          <w:rFonts w:ascii="Times New Roman" w:eastAsia="Times New Roman" w:hAnsi="Times New Roman"/>
          <w:sz w:val="28"/>
          <w:szCs w:val="28"/>
          <w:lang w:eastAsia="x-none"/>
        </w:rPr>
        <w:t xml:space="preserve"> система позволяет как одновременно по всем заказчикам, так и по отдельным заказчикам, участникам и видам процедур закупок получить подробные сведения об организации и проведении процедур закупок в период с момента объявления процедуры закупки до заключения договора.</w:t>
      </w:r>
    </w:p>
    <w:p w:rsidR="002450DC" w:rsidRPr="002450DC" w:rsidRDefault="002450DC" w:rsidP="00222C11">
      <w:pPr>
        <w:spacing w:after="0" w:line="340" w:lineRule="exact"/>
        <w:ind w:firstLine="709"/>
        <w:contextualSpacing/>
        <w:jc w:val="both"/>
      </w:pPr>
      <w:r w:rsidRPr="004A132B">
        <w:rPr>
          <w:rFonts w:ascii="Times New Roman" w:hAnsi="Times New Roman"/>
          <w:sz w:val="28"/>
          <w:szCs w:val="28"/>
        </w:rPr>
        <w:t xml:space="preserve">Важно отметить, что после заключения договора основные сведения об отчетности загружаются как из систем планирования закупок, управления договоров, так и из системы электронных конкурсов. И только после обобщения информации становится возможным завершить процесс в системе электронных конкурсов. Если </w:t>
      </w:r>
      <w:r w:rsidR="00BA19F9" w:rsidRPr="004A132B">
        <w:rPr>
          <w:rFonts w:ascii="Times New Roman" w:hAnsi="Times New Roman"/>
          <w:sz w:val="28"/>
          <w:szCs w:val="28"/>
        </w:rPr>
        <w:t>указанные</w:t>
      </w:r>
      <w:r w:rsidRPr="004A132B">
        <w:rPr>
          <w:rFonts w:ascii="Times New Roman" w:hAnsi="Times New Roman"/>
          <w:sz w:val="28"/>
          <w:szCs w:val="28"/>
        </w:rPr>
        <w:t xml:space="preserve"> действия не реализованы, то невозможно завершить конкурс.</w:t>
      </w:r>
    </w:p>
    <w:p w:rsidR="0068434D" w:rsidRPr="00AC2B52" w:rsidRDefault="0068434D" w:rsidP="00222C11">
      <w:pPr>
        <w:pStyle w:val="4"/>
        <w:spacing w:line="340" w:lineRule="exact"/>
        <w:rPr>
          <w:shd w:val="clear" w:color="auto" w:fill="FFFFFF"/>
        </w:rPr>
      </w:pPr>
      <w:r w:rsidRPr="00AC2B52">
        <w:rPr>
          <w:shd w:val="clear" w:color="auto" w:fill="FFFFFF"/>
        </w:rPr>
        <w:t>Республика Беларусь</w:t>
      </w:r>
    </w:p>
    <w:p w:rsidR="0068434D" w:rsidRPr="00AC2B52" w:rsidRDefault="00354BAC" w:rsidP="00222C11">
      <w:pPr>
        <w:spacing w:after="0" w:line="340" w:lineRule="exact"/>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Переход к цифровой экономике прежде всего</w:t>
      </w:r>
      <w:r w:rsidR="0068434D" w:rsidRPr="00AC2B52">
        <w:rPr>
          <w:rFonts w:ascii="Times New Roman" w:hAnsi="Times New Roman"/>
          <w:sz w:val="28"/>
          <w:szCs w:val="28"/>
          <w:shd w:val="clear" w:color="auto" w:fill="FFFFFF"/>
        </w:rPr>
        <w:t xml:space="preserve"> требует введения электронной формы торгов, способствующей обеспечению равного доступа всех хозяйствующих субъектов к получению прав на реализуемые государственные ресурсы на всей территории Республики Беларусь.</w:t>
      </w:r>
    </w:p>
    <w:p w:rsidR="0068434D" w:rsidRPr="00AC2B52" w:rsidRDefault="0068434D" w:rsidP="00222C11">
      <w:pPr>
        <w:spacing w:after="0" w:line="340" w:lineRule="exact"/>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Система электронных торгов включает программные и технологические решения, предназначенные для автоматизации процедур подготовки и проведения электронных аукционов и других видов конкурентных процедур.</w:t>
      </w:r>
    </w:p>
    <w:p w:rsidR="0068434D" w:rsidRPr="00AC2B52" w:rsidRDefault="0068434D" w:rsidP="00222C11">
      <w:pPr>
        <w:spacing w:after="0" w:line="340" w:lineRule="exact"/>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Порядок проведения торгов в настоящее время регламентиру</w:t>
      </w:r>
      <w:r w:rsidR="00354BAC">
        <w:rPr>
          <w:rFonts w:ascii="Times New Roman" w:hAnsi="Times New Roman"/>
          <w:sz w:val="28"/>
          <w:szCs w:val="28"/>
          <w:shd w:val="clear" w:color="auto" w:fill="FFFFFF"/>
        </w:rPr>
        <w:t>е</w:t>
      </w:r>
      <w:r w:rsidRPr="00AC2B52">
        <w:rPr>
          <w:rFonts w:ascii="Times New Roman" w:hAnsi="Times New Roman"/>
          <w:sz w:val="28"/>
          <w:szCs w:val="28"/>
          <w:shd w:val="clear" w:color="auto" w:fill="FFFFFF"/>
        </w:rPr>
        <w:t xml:space="preserve">тся </w:t>
      </w:r>
      <w:r w:rsidR="00354BAC">
        <w:rPr>
          <w:rFonts w:ascii="Times New Roman" w:hAnsi="Times New Roman"/>
          <w:sz w:val="28"/>
          <w:szCs w:val="28"/>
          <w:shd w:val="clear" w:color="auto" w:fill="FFFFFF"/>
        </w:rPr>
        <w:t xml:space="preserve">следующими </w:t>
      </w:r>
      <w:r w:rsidRPr="00AC2B52">
        <w:rPr>
          <w:rFonts w:ascii="Times New Roman" w:hAnsi="Times New Roman"/>
          <w:sz w:val="28"/>
          <w:szCs w:val="28"/>
          <w:shd w:val="clear" w:color="auto" w:fill="FFFFFF"/>
        </w:rPr>
        <w:t>нормативными правовыми актами:</w:t>
      </w:r>
    </w:p>
    <w:p w:rsidR="0068434D" w:rsidRPr="00AC2B52" w:rsidRDefault="0068434D" w:rsidP="00222C11">
      <w:pPr>
        <w:spacing w:after="0" w:line="340" w:lineRule="exact"/>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 xml:space="preserve">Закон Республики Беларусь от 13 июля 2012 года </w:t>
      </w:r>
      <w:r w:rsidR="004D2C9E">
        <w:rPr>
          <w:rFonts w:ascii="Times New Roman" w:hAnsi="Times New Roman"/>
          <w:sz w:val="28"/>
          <w:szCs w:val="28"/>
          <w:shd w:val="clear" w:color="auto" w:fill="FFFFFF"/>
        </w:rPr>
        <w:t>«</w:t>
      </w:r>
      <w:r w:rsidRPr="00AC2B52">
        <w:rPr>
          <w:rFonts w:ascii="Times New Roman" w:hAnsi="Times New Roman"/>
          <w:sz w:val="28"/>
          <w:szCs w:val="28"/>
          <w:shd w:val="clear" w:color="auto" w:fill="FFFFFF"/>
        </w:rPr>
        <w:t>О государственных закупках в Республике Беларусь</w:t>
      </w:r>
      <w:r w:rsidR="004D2C9E">
        <w:rPr>
          <w:rFonts w:ascii="Times New Roman" w:hAnsi="Times New Roman"/>
          <w:sz w:val="28"/>
          <w:szCs w:val="28"/>
          <w:shd w:val="clear" w:color="auto" w:fill="FFFFFF"/>
        </w:rPr>
        <w:t>»</w:t>
      </w:r>
      <w:r w:rsidRPr="00AC2B52">
        <w:rPr>
          <w:rFonts w:ascii="Times New Roman" w:hAnsi="Times New Roman"/>
          <w:sz w:val="28"/>
          <w:szCs w:val="28"/>
          <w:shd w:val="clear" w:color="auto" w:fill="FFFFFF"/>
        </w:rPr>
        <w:t>;</w:t>
      </w:r>
    </w:p>
    <w:p w:rsidR="0068434D" w:rsidRDefault="004068AA" w:rsidP="00222C11">
      <w:pPr>
        <w:spacing w:after="0" w:line="340" w:lineRule="exact"/>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68434D" w:rsidRPr="00AC2B52">
        <w:rPr>
          <w:rFonts w:ascii="Times New Roman" w:hAnsi="Times New Roman"/>
          <w:sz w:val="28"/>
          <w:szCs w:val="28"/>
          <w:shd w:val="clear" w:color="auto" w:fill="FFFFFF"/>
        </w:rPr>
        <w:t>остановление Совета Министров Республики Беларусь от 22 августа 2012 г</w:t>
      </w:r>
      <w:r w:rsidR="00A91471">
        <w:rPr>
          <w:rFonts w:ascii="Times New Roman" w:hAnsi="Times New Roman"/>
          <w:sz w:val="28"/>
          <w:szCs w:val="28"/>
          <w:shd w:val="clear" w:color="auto" w:fill="FFFFFF"/>
        </w:rPr>
        <w:t>ода</w:t>
      </w:r>
      <w:r w:rsidR="0068434D" w:rsidRPr="00AC2B52">
        <w:rPr>
          <w:rFonts w:ascii="Times New Roman" w:hAnsi="Times New Roman"/>
          <w:sz w:val="28"/>
          <w:szCs w:val="28"/>
          <w:shd w:val="clear" w:color="auto" w:fill="FFFFFF"/>
        </w:rPr>
        <w:t xml:space="preserve"> </w:t>
      </w:r>
      <w:r w:rsidR="00E720B2">
        <w:rPr>
          <w:rFonts w:ascii="Times New Roman" w:hAnsi="Times New Roman"/>
          <w:sz w:val="28"/>
          <w:szCs w:val="28"/>
          <w:shd w:val="clear" w:color="auto" w:fill="FFFFFF"/>
        </w:rPr>
        <w:t>№ </w:t>
      </w:r>
      <w:r w:rsidR="0068434D" w:rsidRPr="00AC2B52">
        <w:rPr>
          <w:rFonts w:ascii="Times New Roman" w:hAnsi="Times New Roman"/>
          <w:sz w:val="28"/>
          <w:szCs w:val="28"/>
          <w:shd w:val="clear" w:color="auto" w:fill="FFFFFF"/>
        </w:rPr>
        <w:t xml:space="preserve">778 </w:t>
      </w:r>
      <w:r w:rsidR="004D2C9E">
        <w:rPr>
          <w:rFonts w:ascii="Times New Roman" w:hAnsi="Times New Roman"/>
          <w:sz w:val="28"/>
          <w:szCs w:val="28"/>
          <w:shd w:val="clear" w:color="auto" w:fill="FFFFFF"/>
        </w:rPr>
        <w:t>«</w:t>
      </w:r>
      <w:r w:rsidR="0068434D" w:rsidRPr="00AC2B52">
        <w:rPr>
          <w:rFonts w:ascii="Times New Roman" w:hAnsi="Times New Roman"/>
          <w:sz w:val="28"/>
          <w:szCs w:val="28"/>
          <w:shd w:val="clear" w:color="auto" w:fill="FFFFFF"/>
        </w:rPr>
        <w:t xml:space="preserve">О некоторых мерах по реализации Закона Республики Беларусь </w:t>
      </w:r>
      <w:r w:rsidR="004D2C9E">
        <w:rPr>
          <w:rFonts w:ascii="Times New Roman" w:hAnsi="Times New Roman"/>
          <w:sz w:val="28"/>
          <w:szCs w:val="28"/>
          <w:shd w:val="clear" w:color="auto" w:fill="FFFFFF"/>
        </w:rPr>
        <w:t>«</w:t>
      </w:r>
      <w:r w:rsidR="0068434D" w:rsidRPr="00AC2B52">
        <w:rPr>
          <w:rFonts w:ascii="Times New Roman" w:hAnsi="Times New Roman"/>
          <w:sz w:val="28"/>
          <w:szCs w:val="28"/>
          <w:shd w:val="clear" w:color="auto" w:fill="FFFFFF"/>
        </w:rPr>
        <w:t>О государственных закупках товаров (работ, услуг)</w:t>
      </w:r>
      <w:r w:rsidR="004D2C9E">
        <w:rPr>
          <w:rFonts w:ascii="Times New Roman" w:hAnsi="Times New Roman"/>
          <w:sz w:val="28"/>
          <w:szCs w:val="28"/>
          <w:shd w:val="clear" w:color="auto" w:fill="FFFFFF"/>
        </w:rPr>
        <w:t>»</w:t>
      </w:r>
      <w:r w:rsidR="0068434D" w:rsidRPr="00AC2B52">
        <w:rPr>
          <w:rFonts w:ascii="Times New Roman" w:hAnsi="Times New Roman"/>
          <w:sz w:val="28"/>
          <w:szCs w:val="28"/>
          <w:shd w:val="clear" w:color="auto" w:fill="FFFFFF"/>
        </w:rPr>
        <w:t>;</w:t>
      </w:r>
    </w:p>
    <w:p w:rsidR="00354BAC" w:rsidRDefault="004068AA" w:rsidP="00222C11">
      <w:pPr>
        <w:spacing w:after="0" w:line="340" w:lineRule="exact"/>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354BAC" w:rsidRPr="00354BAC">
        <w:rPr>
          <w:rFonts w:ascii="Times New Roman" w:hAnsi="Times New Roman"/>
          <w:sz w:val="28"/>
          <w:szCs w:val="28"/>
          <w:shd w:val="clear" w:color="auto" w:fill="FFFFFF"/>
        </w:rPr>
        <w:t xml:space="preserve">остановление Министерства торговли Республики Беларусь от 26 июня 2013 года </w:t>
      </w:r>
      <w:r w:rsidR="00E720B2">
        <w:rPr>
          <w:rFonts w:ascii="Times New Roman" w:hAnsi="Times New Roman"/>
          <w:sz w:val="28"/>
          <w:szCs w:val="28"/>
          <w:shd w:val="clear" w:color="auto" w:fill="FFFFFF"/>
        </w:rPr>
        <w:t>№ </w:t>
      </w:r>
      <w:r w:rsidR="00354BAC" w:rsidRPr="00354BAC">
        <w:rPr>
          <w:rFonts w:ascii="Times New Roman" w:hAnsi="Times New Roman"/>
          <w:sz w:val="28"/>
          <w:szCs w:val="28"/>
          <w:shd w:val="clear" w:color="auto" w:fill="FFFFFF"/>
        </w:rPr>
        <w:t>11 «Об утверждении Инструкции о порядке согласования Министерством торговли Республики Беларусь проведения заказчиком (организатором) процедуры закупки из одного источника при осуществлении государственных закупок»;</w:t>
      </w:r>
    </w:p>
    <w:p w:rsidR="00354BAC" w:rsidRPr="00AC2B52" w:rsidRDefault="00354BAC" w:rsidP="00222C11">
      <w:pPr>
        <w:spacing w:after="0" w:line="340" w:lineRule="exact"/>
        <w:ind w:firstLine="709"/>
        <w:contextualSpacing/>
        <w:jc w:val="both"/>
        <w:rPr>
          <w:rFonts w:ascii="Times New Roman" w:hAnsi="Times New Roman"/>
          <w:sz w:val="28"/>
          <w:szCs w:val="28"/>
          <w:shd w:val="clear" w:color="auto" w:fill="FFFFFF"/>
        </w:rPr>
      </w:pPr>
      <w:r w:rsidRPr="00354BAC">
        <w:rPr>
          <w:rFonts w:ascii="Times New Roman" w:hAnsi="Times New Roman"/>
          <w:sz w:val="28"/>
          <w:szCs w:val="28"/>
          <w:shd w:val="clear" w:color="auto" w:fill="FFFFFF"/>
        </w:rPr>
        <w:t xml:space="preserve">Указ Президента Республики Беларусь от 31 декабря 2013 года </w:t>
      </w:r>
      <w:r w:rsidR="00E720B2">
        <w:rPr>
          <w:rFonts w:ascii="Times New Roman" w:hAnsi="Times New Roman"/>
          <w:sz w:val="28"/>
          <w:szCs w:val="28"/>
          <w:shd w:val="clear" w:color="auto" w:fill="FFFFFF"/>
        </w:rPr>
        <w:t>№ </w:t>
      </w:r>
      <w:r w:rsidRPr="00354BAC">
        <w:rPr>
          <w:rFonts w:ascii="Times New Roman" w:hAnsi="Times New Roman"/>
          <w:sz w:val="28"/>
          <w:szCs w:val="28"/>
          <w:shd w:val="clear" w:color="auto" w:fill="FFFFFF"/>
        </w:rPr>
        <w:t>590</w:t>
      </w:r>
      <w:r w:rsidR="004068AA">
        <w:rPr>
          <w:rFonts w:ascii="Times New Roman" w:hAnsi="Times New Roman"/>
          <w:sz w:val="28"/>
          <w:szCs w:val="28"/>
          <w:shd w:val="clear" w:color="auto" w:fill="FFFFFF"/>
        </w:rPr>
        <w:t xml:space="preserve"> </w:t>
      </w:r>
      <w:r w:rsidR="004068AA">
        <w:rPr>
          <w:rFonts w:ascii="Times New Roman" w:hAnsi="Times New Roman"/>
          <w:sz w:val="28"/>
          <w:szCs w:val="28"/>
          <w:shd w:val="clear" w:color="auto" w:fill="FFFFFF"/>
        </w:rPr>
        <w:br/>
      </w:r>
      <w:r w:rsidRPr="00354BAC">
        <w:rPr>
          <w:rFonts w:ascii="Times New Roman" w:hAnsi="Times New Roman"/>
          <w:sz w:val="28"/>
          <w:szCs w:val="28"/>
          <w:shd w:val="clear" w:color="auto" w:fill="FFFFFF"/>
        </w:rPr>
        <w:t>«О некоторых вопросах государственных закупок товаров (работ, услуг)»;</w:t>
      </w:r>
    </w:p>
    <w:p w:rsidR="0068434D" w:rsidRPr="00AC2B52" w:rsidRDefault="00354BAC" w:rsidP="00222C11">
      <w:pPr>
        <w:spacing w:after="0" w:line="340" w:lineRule="exact"/>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68434D" w:rsidRPr="00AC2B52">
        <w:rPr>
          <w:rFonts w:ascii="Times New Roman" w:hAnsi="Times New Roman"/>
          <w:sz w:val="28"/>
          <w:szCs w:val="28"/>
          <w:shd w:val="clear" w:color="auto" w:fill="FFFFFF"/>
        </w:rPr>
        <w:t>остановление Совета Министров Республики Беларусь от 17 марта 2016</w:t>
      </w:r>
      <w:r w:rsidR="00993438">
        <w:rPr>
          <w:rFonts w:ascii="Times New Roman" w:hAnsi="Times New Roman"/>
          <w:sz w:val="28"/>
          <w:szCs w:val="28"/>
          <w:shd w:val="clear" w:color="auto" w:fill="FFFFFF"/>
        </w:rPr>
        <w:t> </w:t>
      </w:r>
      <w:r w:rsidR="0068434D" w:rsidRPr="00AC2B52">
        <w:rPr>
          <w:rFonts w:ascii="Times New Roman" w:hAnsi="Times New Roman"/>
          <w:sz w:val="28"/>
          <w:szCs w:val="28"/>
          <w:shd w:val="clear" w:color="auto" w:fill="FFFFFF"/>
        </w:rPr>
        <w:t>г</w:t>
      </w:r>
      <w:r w:rsidR="00A91471">
        <w:rPr>
          <w:rFonts w:ascii="Times New Roman" w:hAnsi="Times New Roman"/>
          <w:sz w:val="28"/>
          <w:szCs w:val="28"/>
          <w:shd w:val="clear" w:color="auto" w:fill="FFFFFF"/>
        </w:rPr>
        <w:t>оду</w:t>
      </w:r>
      <w:r w:rsidR="0068434D" w:rsidRPr="00AC2B52">
        <w:rPr>
          <w:rFonts w:ascii="Times New Roman" w:hAnsi="Times New Roman"/>
          <w:sz w:val="28"/>
          <w:szCs w:val="28"/>
          <w:shd w:val="clear" w:color="auto" w:fill="FFFFFF"/>
        </w:rPr>
        <w:t xml:space="preserve"> </w:t>
      </w:r>
      <w:r w:rsidR="00E720B2">
        <w:rPr>
          <w:rFonts w:ascii="Times New Roman" w:hAnsi="Times New Roman"/>
          <w:sz w:val="28"/>
          <w:szCs w:val="28"/>
          <w:shd w:val="clear" w:color="auto" w:fill="FFFFFF"/>
        </w:rPr>
        <w:t>№ </w:t>
      </w:r>
      <w:r w:rsidR="0068434D" w:rsidRPr="00AC2B52">
        <w:rPr>
          <w:rFonts w:ascii="Times New Roman" w:hAnsi="Times New Roman"/>
          <w:sz w:val="28"/>
          <w:szCs w:val="28"/>
          <w:shd w:val="clear" w:color="auto" w:fill="FFFFFF"/>
        </w:rPr>
        <w:t xml:space="preserve">206 </w:t>
      </w:r>
      <w:r w:rsidR="004D2C9E">
        <w:rPr>
          <w:rFonts w:ascii="Times New Roman" w:hAnsi="Times New Roman"/>
          <w:sz w:val="28"/>
          <w:szCs w:val="28"/>
          <w:shd w:val="clear" w:color="auto" w:fill="FFFFFF"/>
        </w:rPr>
        <w:t>«</w:t>
      </w:r>
      <w:r w:rsidR="0068434D" w:rsidRPr="00AC2B52">
        <w:rPr>
          <w:rFonts w:ascii="Times New Roman" w:hAnsi="Times New Roman"/>
          <w:sz w:val="28"/>
          <w:szCs w:val="28"/>
          <w:shd w:val="clear" w:color="auto" w:fill="FFFFFF"/>
        </w:rPr>
        <w:t>О допуске товаров иностранного происхождения и поставщиков, предлагающих такие товары, к участию в процедурах государственных закупок</w:t>
      </w:r>
      <w:r w:rsidR="004D2C9E">
        <w:rPr>
          <w:rFonts w:ascii="Times New Roman" w:hAnsi="Times New Roman"/>
          <w:sz w:val="28"/>
          <w:szCs w:val="28"/>
          <w:shd w:val="clear" w:color="auto" w:fill="FFFFFF"/>
        </w:rPr>
        <w:t>»</w:t>
      </w:r>
      <w:r w:rsidR="0068434D" w:rsidRPr="00AC2B52">
        <w:rPr>
          <w:rFonts w:ascii="Times New Roman" w:hAnsi="Times New Roman"/>
          <w:sz w:val="28"/>
          <w:szCs w:val="28"/>
          <w:shd w:val="clear" w:color="auto" w:fill="FFFFFF"/>
        </w:rPr>
        <w:t>;</w:t>
      </w:r>
    </w:p>
    <w:p w:rsidR="0068434D" w:rsidRDefault="00354BAC" w:rsidP="00222C11">
      <w:pPr>
        <w:spacing w:after="0" w:line="340" w:lineRule="exact"/>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68434D" w:rsidRPr="00AC2B52">
        <w:rPr>
          <w:rFonts w:ascii="Times New Roman" w:hAnsi="Times New Roman"/>
          <w:sz w:val="28"/>
          <w:szCs w:val="28"/>
          <w:shd w:val="clear" w:color="auto" w:fill="FFFFFF"/>
        </w:rPr>
        <w:t>остановление Министерства антимонопольного регулирования и торговли Республики Беларусь от 28 июня 2017 г</w:t>
      </w:r>
      <w:r w:rsidR="00A91471">
        <w:rPr>
          <w:rFonts w:ascii="Times New Roman" w:hAnsi="Times New Roman"/>
          <w:sz w:val="28"/>
          <w:szCs w:val="28"/>
          <w:shd w:val="clear" w:color="auto" w:fill="FFFFFF"/>
        </w:rPr>
        <w:t>ода</w:t>
      </w:r>
      <w:r w:rsidR="0068434D" w:rsidRPr="00AC2B52">
        <w:rPr>
          <w:rFonts w:ascii="Times New Roman" w:hAnsi="Times New Roman"/>
          <w:sz w:val="28"/>
          <w:szCs w:val="28"/>
          <w:shd w:val="clear" w:color="auto" w:fill="FFFFFF"/>
        </w:rPr>
        <w:t xml:space="preserve"> </w:t>
      </w:r>
      <w:r w:rsidR="00E720B2">
        <w:rPr>
          <w:rFonts w:ascii="Times New Roman" w:hAnsi="Times New Roman"/>
          <w:sz w:val="28"/>
          <w:szCs w:val="28"/>
          <w:shd w:val="clear" w:color="auto" w:fill="FFFFFF"/>
        </w:rPr>
        <w:t>№ </w:t>
      </w:r>
      <w:r w:rsidR="0068434D" w:rsidRPr="00AC2B52">
        <w:rPr>
          <w:rFonts w:ascii="Times New Roman" w:hAnsi="Times New Roman"/>
          <w:sz w:val="28"/>
          <w:szCs w:val="28"/>
          <w:shd w:val="clear" w:color="auto" w:fill="FFFFFF"/>
        </w:rPr>
        <w:t xml:space="preserve">30 </w:t>
      </w:r>
      <w:r w:rsidR="004D2C9E">
        <w:rPr>
          <w:rFonts w:ascii="Times New Roman" w:hAnsi="Times New Roman"/>
          <w:sz w:val="28"/>
          <w:szCs w:val="28"/>
          <w:shd w:val="clear" w:color="auto" w:fill="FFFFFF"/>
        </w:rPr>
        <w:t>«</w:t>
      </w:r>
      <w:r w:rsidR="0068434D" w:rsidRPr="00AC2B52">
        <w:rPr>
          <w:rFonts w:ascii="Times New Roman" w:hAnsi="Times New Roman"/>
          <w:sz w:val="28"/>
          <w:szCs w:val="28"/>
          <w:shd w:val="clear" w:color="auto" w:fill="FFFFFF"/>
        </w:rPr>
        <w:t>Об утверждении Инструкции о порядке рассмотрения Министерством антимонопольного регулирования и торговли Республики Беларусь жалоб при осуществлении государственных закупок</w:t>
      </w:r>
      <w:r w:rsidR="004D2C9E">
        <w:rPr>
          <w:rFonts w:ascii="Times New Roman" w:hAnsi="Times New Roman"/>
          <w:sz w:val="28"/>
          <w:szCs w:val="28"/>
          <w:shd w:val="clear" w:color="auto" w:fill="FFFFFF"/>
        </w:rPr>
        <w:t>»</w:t>
      </w:r>
      <w:r w:rsidR="0068434D" w:rsidRPr="00AC2B52">
        <w:rPr>
          <w:rFonts w:ascii="Times New Roman" w:hAnsi="Times New Roman"/>
          <w:sz w:val="28"/>
          <w:szCs w:val="28"/>
          <w:shd w:val="clear" w:color="auto" w:fill="FFFFFF"/>
        </w:rPr>
        <w:t>;</w:t>
      </w:r>
    </w:p>
    <w:p w:rsidR="00222C11" w:rsidRPr="00AC2B52" w:rsidRDefault="00222C11" w:rsidP="00222C11">
      <w:pPr>
        <w:spacing w:after="0" w:line="340" w:lineRule="exact"/>
        <w:ind w:firstLine="709"/>
        <w:contextualSpacing/>
        <w:jc w:val="both"/>
        <w:rPr>
          <w:rFonts w:ascii="Times New Roman" w:hAnsi="Times New Roman"/>
          <w:sz w:val="28"/>
          <w:szCs w:val="28"/>
          <w:shd w:val="clear" w:color="auto" w:fill="FFFFFF"/>
        </w:rPr>
      </w:pPr>
    </w:p>
    <w:p w:rsidR="0068434D" w:rsidRPr="00AC2B52" w:rsidRDefault="00354BAC" w:rsidP="004D2C9E">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68434D" w:rsidRPr="00AC2B52">
        <w:rPr>
          <w:rFonts w:ascii="Times New Roman" w:hAnsi="Times New Roman"/>
          <w:sz w:val="28"/>
          <w:szCs w:val="28"/>
          <w:shd w:val="clear" w:color="auto" w:fill="FFFFFF"/>
        </w:rPr>
        <w:t>остановление Министерства антимонопольного регулирования и торговли Республики Беларусь от 28 июня 2017 г</w:t>
      </w:r>
      <w:r w:rsidR="00A91471">
        <w:rPr>
          <w:rFonts w:ascii="Times New Roman" w:hAnsi="Times New Roman"/>
          <w:sz w:val="28"/>
          <w:szCs w:val="28"/>
          <w:shd w:val="clear" w:color="auto" w:fill="FFFFFF"/>
        </w:rPr>
        <w:t>ода</w:t>
      </w:r>
      <w:r w:rsidR="0068434D" w:rsidRPr="00AC2B52">
        <w:rPr>
          <w:rFonts w:ascii="Times New Roman" w:hAnsi="Times New Roman"/>
          <w:sz w:val="28"/>
          <w:szCs w:val="28"/>
          <w:shd w:val="clear" w:color="auto" w:fill="FFFFFF"/>
        </w:rPr>
        <w:t xml:space="preserve"> </w:t>
      </w:r>
      <w:r w:rsidR="00E720B2">
        <w:rPr>
          <w:rFonts w:ascii="Times New Roman" w:hAnsi="Times New Roman"/>
          <w:sz w:val="28"/>
          <w:szCs w:val="28"/>
          <w:shd w:val="clear" w:color="auto" w:fill="FFFFFF"/>
        </w:rPr>
        <w:t>№ </w:t>
      </w:r>
      <w:r w:rsidR="0068434D" w:rsidRPr="00AC2B52">
        <w:rPr>
          <w:rFonts w:ascii="Times New Roman" w:hAnsi="Times New Roman"/>
          <w:sz w:val="28"/>
          <w:szCs w:val="28"/>
          <w:shd w:val="clear" w:color="auto" w:fill="FFFFFF"/>
        </w:rPr>
        <w:t xml:space="preserve">34 </w:t>
      </w:r>
      <w:r w:rsidR="004D2C9E">
        <w:rPr>
          <w:rFonts w:ascii="Times New Roman" w:hAnsi="Times New Roman"/>
          <w:sz w:val="28"/>
          <w:szCs w:val="28"/>
          <w:shd w:val="clear" w:color="auto" w:fill="FFFFFF"/>
        </w:rPr>
        <w:t>«</w:t>
      </w:r>
      <w:r w:rsidR="0068434D" w:rsidRPr="00AC2B52">
        <w:rPr>
          <w:rFonts w:ascii="Times New Roman" w:hAnsi="Times New Roman"/>
          <w:sz w:val="28"/>
          <w:szCs w:val="28"/>
          <w:shd w:val="clear" w:color="auto" w:fill="FFFFFF"/>
        </w:rPr>
        <w:t>О формировании и ведении списка поставщиков (подрядчиков, исполнителей), временно не допускаемых к участию в процедурах государственных закупок</w:t>
      </w:r>
      <w:r w:rsidR="004D2C9E">
        <w:rPr>
          <w:rFonts w:ascii="Times New Roman" w:hAnsi="Times New Roman"/>
          <w:sz w:val="28"/>
          <w:szCs w:val="28"/>
          <w:shd w:val="clear" w:color="auto" w:fill="FFFFFF"/>
        </w:rPr>
        <w:t>»</w:t>
      </w:r>
      <w:r w:rsidR="0068434D" w:rsidRPr="00AC2B52">
        <w:rPr>
          <w:rFonts w:ascii="Times New Roman" w:hAnsi="Times New Roman"/>
          <w:sz w:val="28"/>
          <w:szCs w:val="28"/>
          <w:shd w:val="clear" w:color="auto" w:fill="FFFFFF"/>
        </w:rPr>
        <w:t>.</w:t>
      </w:r>
    </w:p>
    <w:p w:rsidR="0068434D" w:rsidRDefault="0068434D" w:rsidP="004D2C9E">
      <w:pPr>
        <w:spacing w:after="0" w:line="240" w:lineRule="auto"/>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Также действу</w:t>
      </w:r>
      <w:r w:rsidR="00354BAC">
        <w:rPr>
          <w:rFonts w:ascii="Times New Roman" w:hAnsi="Times New Roman"/>
          <w:sz w:val="28"/>
          <w:szCs w:val="28"/>
          <w:shd w:val="clear" w:color="auto" w:fill="FFFFFF"/>
        </w:rPr>
        <w:t>ю</w:t>
      </w:r>
      <w:r w:rsidRPr="00AC2B52">
        <w:rPr>
          <w:rFonts w:ascii="Times New Roman" w:hAnsi="Times New Roman"/>
          <w:sz w:val="28"/>
          <w:szCs w:val="28"/>
          <w:shd w:val="clear" w:color="auto" w:fill="FFFFFF"/>
        </w:rPr>
        <w:t>т ряд нормативных правовых актов, регулирующих проведение закупок в отдельных отраслях и сферах:</w:t>
      </w:r>
    </w:p>
    <w:p w:rsidR="000F7D1A" w:rsidRDefault="000F7D1A" w:rsidP="004D2C9E">
      <w:pPr>
        <w:spacing w:after="0" w:line="240" w:lineRule="auto"/>
        <w:ind w:firstLine="709"/>
        <w:contextualSpacing/>
        <w:jc w:val="both"/>
        <w:rPr>
          <w:rFonts w:ascii="Times New Roman" w:hAnsi="Times New Roman"/>
          <w:sz w:val="28"/>
          <w:szCs w:val="28"/>
          <w:shd w:val="clear" w:color="auto" w:fill="FFFFFF"/>
        </w:rPr>
      </w:pPr>
      <w:r w:rsidRPr="000F7D1A">
        <w:rPr>
          <w:rFonts w:ascii="Times New Roman" w:hAnsi="Times New Roman"/>
          <w:sz w:val="28"/>
          <w:szCs w:val="28"/>
          <w:shd w:val="clear" w:color="auto" w:fill="FFFFFF"/>
        </w:rPr>
        <w:t>закупки за счет собственных средств</w:t>
      </w:r>
      <w:r>
        <w:rPr>
          <w:rFonts w:ascii="Times New Roman" w:hAnsi="Times New Roman"/>
          <w:sz w:val="28"/>
          <w:szCs w:val="28"/>
          <w:shd w:val="clear" w:color="auto" w:fill="FFFFFF"/>
        </w:rPr>
        <w:t>:</w:t>
      </w:r>
    </w:p>
    <w:p w:rsidR="000F7D1A" w:rsidRDefault="00434522" w:rsidP="004D2C9E">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0F7D1A" w:rsidRPr="000F7D1A">
        <w:rPr>
          <w:rFonts w:ascii="Times New Roman" w:hAnsi="Times New Roman"/>
          <w:sz w:val="28"/>
          <w:szCs w:val="28"/>
          <w:shd w:val="clear" w:color="auto" w:fill="FFFFFF"/>
        </w:rPr>
        <w:t>остановление Совета Министров Республики Беларусь от 15 марта 2012</w:t>
      </w:r>
      <w:r w:rsidR="0099069F">
        <w:rPr>
          <w:rFonts w:ascii="Times New Roman" w:hAnsi="Times New Roman"/>
          <w:sz w:val="28"/>
          <w:szCs w:val="28"/>
          <w:shd w:val="clear" w:color="auto" w:fill="FFFFFF"/>
        </w:rPr>
        <w:t> </w:t>
      </w:r>
      <w:r w:rsidR="000F7D1A" w:rsidRPr="000F7D1A">
        <w:rPr>
          <w:rFonts w:ascii="Times New Roman" w:hAnsi="Times New Roman"/>
          <w:sz w:val="28"/>
          <w:szCs w:val="28"/>
          <w:shd w:val="clear" w:color="auto" w:fill="FFFFFF"/>
        </w:rPr>
        <w:t xml:space="preserve">года </w:t>
      </w:r>
      <w:r w:rsidR="00E720B2">
        <w:rPr>
          <w:rFonts w:ascii="Times New Roman" w:hAnsi="Times New Roman"/>
          <w:sz w:val="28"/>
          <w:szCs w:val="28"/>
          <w:shd w:val="clear" w:color="auto" w:fill="FFFFFF"/>
        </w:rPr>
        <w:t>№ </w:t>
      </w:r>
      <w:r w:rsidR="000F7D1A" w:rsidRPr="000F7D1A">
        <w:rPr>
          <w:rFonts w:ascii="Times New Roman" w:hAnsi="Times New Roman"/>
          <w:sz w:val="28"/>
          <w:szCs w:val="28"/>
          <w:shd w:val="clear" w:color="auto" w:fill="FFFFFF"/>
        </w:rPr>
        <w:t>229 «О совершенствовании отношений в области закупок товаров (работ, услуг) за счет собственных средств»;</w:t>
      </w:r>
    </w:p>
    <w:p w:rsidR="000F7D1A" w:rsidRPr="000F7D1A" w:rsidRDefault="000F7D1A" w:rsidP="000F7D1A">
      <w:pPr>
        <w:spacing w:after="0" w:line="240" w:lineRule="auto"/>
        <w:ind w:firstLine="709"/>
        <w:contextualSpacing/>
        <w:jc w:val="both"/>
        <w:rPr>
          <w:rFonts w:ascii="Times New Roman" w:hAnsi="Times New Roman"/>
          <w:sz w:val="28"/>
          <w:szCs w:val="28"/>
          <w:shd w:val="clear" w:color="auto" w:fill="FFFFFF"/>
        </w:rPr>
      </w:pPr>
      <w:r w:rsidRPr="000F7D1A">
        <w:rPr>
          <w:rFonts w:ascii="Times New Roman" w:hAnsi="Times New Roman"/>
          <w:sz w:val="28"/>
          <w:szCs w:val="28"/>
          <w:shd w:val="clear" w:color="auto" w:fill="FFFFFF"/>
        </w:rPr>
        <w:t>закупки в сфере информатизации:</w:t>
      </w:r>
    </w:p>
    <w:p w:rsidR="000F7D1A" w:rsidRDefault="000F7D1A" w:rsidP="000F7D1A">
      <w:pPr>
        <w:spacing w:after="0" w:line="240" w:lineRule="auto"/>
        <w:ind w:firstLine="709"/>
        <w:contextualSpacing/>
        <w:jc w:val="both"/>
        <w:rPr>
          <w:rFonts w:ascii="Times New Roman" w:hAnsi="Times New Roman"/>
          <w:sz w:val="28"/>
          <w:szCs w:val="28"/>
          <w:shd w:val="clear" w:color="auto" w:fill="FFFFFF"/>
        </w:rPr>
      </w:pPr>
      <w:r w:rsidRPr="000F7D1A">
        <w:rPr>
          <w:rFonts w:ascii="Times New Roman" w:hAnsi="Times New Roman"/>
          <w:sz w:val="28"/>
          <w:szCs w:val="28"/>
          <w:shd w:val="clear" w:color="auto" w:fill="FFFFFF"/>
        </w:rPr>
        <w:t xml:space="preserve">Указ Президента Республики Беларусь от 2 декабря 2013 года </w:t>
      </w:r>
      <w:r w:rsidR="00E720B2">
        <w:rPr>
          <w:rFonts w:ascii="Times New Roman" w:hAnsi="Times New Roman"/>
          <w:sz w:val="28"/>
          <w:szCs w:val="28"/>
          <w:shd w:val="clear" w:color="auto" w:fill="FFFFFF"/>
        </w:rPr>
        <w:t>№ </w:t>
      </w:r>
      <w:r w:rsidRPr="000F7D1A">
        <w:rPr>
          <w:rFonts w:ascii="Times New Roman" w:hAnsi="Times New Roman"/>
          <w:sz w:val="28"/>
          <w:szCs w:val="28"/>
          <w:shd w:val="clear" w:color="auto" w:fill="FFFFFF"/>
        </w:rPr>
        <w:t xml:space="preserve">531 </w:t>
      </w:r>
      <w:r w:rsidR="0099069F">
        <w:rPr>
          <w:rFonts w:ascii="Times New Roman" w:hAnsi="Times New Roman"/>
          <w:sz w:val="28"/>
          <w:szCs w:val="28"/>
          <w:shd w:val="clear" w:color="auto" w:fill="FFFFFF"/>
        </w:rPr>
        <w:br/>
      </w:r>
      <w:r w:rsidRPr="000F7D1A">
        <w:rPr>
          <w:rFonts w:ascii="Times New Roman" w:hAnsi="Times New Roman"/>
          <w:sz w:val="28"/>
          <w:szCs w:val="28"/>
          <w:shd w:val="clear" w:color="auto" w:fill="FFFFFF"/>
        </w:rPr>
        <w:t>«О некоторых вопросах информатизации»;</w:t>
      </w:r>
    </w:p>
    <w:p w:rsidR="000F7D1A" w:rsidRDefault="000F7D1A" w:rsidP="000F7D1A">
      <w:pPr>
        <w:spacing w:after="0" w:line="240" w:lineRule="auto"/>
        <w:ind w:firstLine="709"/>
        <w:contextualSpacing/>
        <w:jc w:val="both"/>
        <w:rPr>
          <w:rFonts w:ascii="Times New Roman" w:hAnsi="Times New Roman"/>
          <w:sz w:val="28"/>
          <w:szCs w:val="28"/>
          <w:shd w:val="clear" w:color="auto" w:fill="FFFFFF"/>
        </w:rPr>
      </w:pPr>
      <w:r w:rsidRPr="000F7D1A">
        <w:rPr>
          <w:rFonts w:ascii="Times New Roman" w:hAnsi="Times New Roman"/>
          <w:sz w:val="28"/>
          <w:szCs w:val="28"/>
          <w:shd w:val="clear" w:color="auto" w:fill="FFFFFF"/>
        </w:rPr>
        <w:t>постановление Совета Министров Республики Беларусь от 31 января 2014</w:t>
      </w:r>
      <w:r w:rsidR="0099069F">
        <w:rPr>
          <w:rFonts w:ascii="Times New Roman" w:hAnsi="Times New Roman"/>
          <w:sz w:val="28"/>
          <w:szCs w:val="28"/>
          <w:shd w:val="clear" w:color="auto" w:fill="FFFFFF"/>
        </w:rPr>
        <w:t> </w:t>
      </w:r>
      <w:r w:rsidRPr="000F7D1A">
        <w:rPr>
          <w:rFonts w:ascii="Times New Roman" w:hAnsi="Times New Roman"/>
          <w:sz w:val="28"/>
          <w:szCs w:val="28"/>
          <w:shd w:val="clear" w:color="auto" w:fill="FFFFFF"/>
        </w:rPr>
        <w:t xml:space="preserve">года </w:t>
      </w:r>
      <w:r w:rsidR="00E720B2">
        <w:rPr>
          <w:rFonts w:ascii="Times New Roman" w:hAnsi="Times New Roman"/>
          <w:sz w:val="28"/>
          <w:szCs w:val="28"/>
          <w:shd w:val="clear" w:color="auto" w:fill="FFFFFF"/>
        </w:rPr>
        <w:t>№ </w:t>
      </w:r>
      <w:r w:rsidRPr="000F7D1A">
        <w:rPr>
          <w:rFonts w:ascii="Times New Roman" w:hAnsi="Times New Roman"/>
          <w:sz w:val="28"/>
          <w:szCs w:val="28"/>
          <w:shd w:val="clear" w:color="auto" w:fill="FFFFFF"/>
        </w:rPr>
        <w:t>88 «Об организации и проведении процедур закупок товаров (работ, услуг) и расчетах между заказчиком и подрядчиком при строительстве объектов»;</w:t>
      </w:r>
    </w:p>
    <w:p w:rsidR="000F7D1A" w:rsidRDefault="000F7D1A" w:rsidP="000F7D1A">
      <w:pPr>
        <w:spacing w:after="0" w:line="240" w:lineRule="auto"/>
        <w:ind w:firstLine="709"/>
        <w:contextualSpacing/>
        <w:jc w:val="both"/>
        <w:rPr>
          <w:rFonts w:ascii="Times New Roman" w:hAnsi="Times New Roman"/>
          <w:sz w:val="28"/>
          <w:szCs w:val="28"/>
          <w:shd w:val="clear" w:color="auto" w:fill="FFFFFF"/>
        </w:rPr>
      </w:pPr>
      <w:r w:rsidRPr="000F7D1A">
        <w:rPr>
          <w:rFonts w:ascii="Times New Roman" w:hAnsi="Times New Roman"/>
          <w:sz w:val="28"/>
          <w:szCs w:val="28"/>
          <w:shd w:val="clear" w:color="auto" w:fill="FFFFFF"/>
        </w:rPr>
        <w:t xml:space="preserve">Указ Президента Республики Беларусь от 22 декабря 2014 года </w:t>
      </w:r>
      <w:r w:rsidR="00E720B2">
        <w:rPr>
          <w:rFonts w:ascii="Times New Roman" w:hAnsi="Times New Roman"/>
          <w:sz w:val="28"/>
          <w:szCs w:val="28"/>
          <w:shd w:val="clear" w:color="auto" w:fill="FFFFFF"/>
        </w:rPr>
        <w:t>№ </w:t>
      </w:r>
      <w:r w:rsidRPr="000F7D1A">
        <w:rPr>
          <w:rFonts w:ascii="Times New Roman" w:hAnsi="Times New Roman"/>
          <w:sz w:val="28"/>
          <w:szCs w:val="28"/>
          <w:shd w:val="clear" w:color="auto" w:fill="FFFFFF"/>
        </w:rPr>
        <w:t>612 «Об осуществлении государственных закупок в сферах информатизации, информационно-коммуникационных технологий и телекоммуникаций»;</w:t>
      </w:r>
    </w:p>
    <w:p w:rsidR="000F7D1A" w:rsidRDefault="000F7D1A" w:rsidP="004D2C9E">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з</w:t>
      </w:r>
      <w:r w:rsidR="0068434D" w:rsidRPr="00AC2B52">
        <w:rPr>
          <w:rFonts w:ascii="Times New Roman" w:hAnsi="Times New Roman"/>
          <w:sz w:val="28"/>
          <w:szCs w:val="28"/>
          <w:shd w:val="clear" w:color="auto" w:fill="FFFFFF"/>
        </w:rPr>
        <w:t>акупки в строительстве</w:t>
      </w:r>
      <w:r>
        <w:rPr>
          <w:rFonts w:ascii="Times New Roman" w:hAnsi="Times New Roman"/>
          <w:sz w:val="28"/>
          <w:szCs w:val="28"/>
          <w:shd w:val="clear" w:color="auto" w:fill="FFFFFF"/>
        </w:rPr>
        <w:t>:</w:t>
      </w:r>
    </w:p>
    <w:p w:rsidR="0068434D" w:rsidRDefault="0068434D" w:rsidP="004D2C9E">
      <w:pPr>
        <w:spacing w:after="0" w:line="240" w:lineRule="auto"/>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Указ Президента Республики Беларусь от 20</w:t>
      </w:r>
      <w:r w:rsidR="00993438">
        <w:rPr>
          <w:rFonts w:ascii="Times New Roman" w:hAnsi="Times New Roman"/>
          <w:sz w:val="28"/>
          <w:szCs w:val="28"/>
          <w:shd w:val="clear" w:color="auto" w:fill="FFFFFF"/>
        </w:rPr>
        <w:t> </w:t>
      </w:r>
      <w:r w:rsidRPr="00AC2B52">
        <w:rPr>
          <w:rFonts w:ascii="Times New Roman" w:hAnsi="Times New Roman"/>
          <w:sz w:val="28"/>
          <w:szCs w:val="28"/>
          <w:shd w:val="clear" w:color="auto" w:fill="FFFFFF"/>
        </w:rPr>
        <w:t>октября 2016 г</w:t>
      </w:r>
      <w:r w:rsidR="00A91471">
        <w:rPr>
          <w:rFonts w:ascii="Times New Roman" w:hAnsi="Times New Roman"/>
          <w:sz w:val="28"/>
          <w:szCs w:val="28"/>
          <w:shd w:val="clear" w:color="auto" w:fill="FFFFFF"/>
        </w:rPr>
        <w:t xml:space="preserve">ода </w:t>
      </w:r>
      <w:r w:rsidR="00E720B2">
        <w:rPr>
          <w:rFonts w:ascii="Times New Roman" w:hAnsi="Times New Roman"/>
          <w:sz w:val="28"/>
          <w:szCs w:val="28"/>
          <w:shd w:val="clear" w:color="auto" w:fill="FFFFFF"/>
        </w:rPr>
        <w:t>№ </w:t>
      </w:r>
      <w:r w:rsidRPr="00AC2B52">
        <w:rPr>
          <w:rFonts w:ascii="Times New Roman" w:hAnsi="Times New Roman"/>
          <w:sz w:val="28"/>
          <w:szCs w:val="28"/>
          <w:shd w:val="clear" w:color="auto" w:fill="FFFFFF"/>
        </w:rPr>
        <w:t xml:space="preserve">380 </w:t>
      </w:r>
      <w:r w:rsidR="0099069F">
        <w:rPr>
          <w:rFonts w:ascii="Times New Roman" w:hAnsi="Times New Roman"/>
          <w:sz w:val="28"/>
          <w:szCs w:val="28"/>
          <w:shd w:val="clear" w:color="auto" w:fill="FFFFFF"/>
        </w:rPr>
        <w:br/>
      </w:r>
      <w:r w:rsidR="004D2C9E">
        <w:rPr>
          <w:rFonts w:ascii="Times New Roman" w:hAnsi="Times New Roman"/>
          <w:sz w:val="28"/>
          <w:szCs w:val="28"/>
          <w:shd w:val="clear" w:color="auto" w:fill="FFFFFF"/>
        </w:rPr>
        <w:t>«</w:t>
      </w:r>
      <w:r w:rsidRPr="00AC2B52">
        <w:rPr>
          <w:rFonts w:ascii="Times New Roman" w:hAnsi="Times New Roman"/>
          <w:sz w:val="28"/>
          <w:szCs w:val="28"/>
          <w:shd w:val="clear" w:color="auto" w:fill="FFFFFF"/>
        </w:rPr>
        <w:t>О закупках товаров (работ, услуг) при строительстве</w:t>
      </w:r>
      <w:r w:rsidR="004D2C9E">
        <w:rPr>
          <w:rFonts w:ascii="Times New Roman" w:hAnsi="Times New Roman"/>
          <w:sz w:val="28"/>
          <w:szCs w:val="28"/>
          <w:shd w:val="clear" w:color="auto" w:fill="FFFFFF"/>
        </w:rPr>
        <w:t>»</w:t>
      </w:r>
      <w:r w:rsidRPr="00AC2B52">
        <w:rPr>
          <w:rFonts w:ascii="Times New Roman" w:hAnsi="Times New Roman"/>
          <w:sz w:val="28"/>
          <w:szCs w:val="28"/>
          <w:shd w:val="clear" w:color="auto" w:fill="FFFFFF"/>
        </w:rPr>
        <w:t xml:space="preserve">; </w:t>
      </w:r>
    </w:p>
    <w:p w:rsidR="000F7D1A" w:rsidRPr="000F7D1A" w:rsidRDefault="000F7D1A" w:rsidP="000F7D1A">
      <w:pPr>
        <w:spacing w:after="0" w:line="240" w:lineRule="auto"/>
        <w:ind w:firstLine="709"/>
        <w:contextualSpacing/>
        <w:jc w:val="both"/>
        <w:rPr>
          <w:rFonts w:ascii="Times New Roman" w:hAnsi="Times New Roman"/>
          <w:sz w:val="28"/>
          <w:szCs w:val="28"/>
          <w:shd w:val="clear" w:color="auto" w:fill="FFFFFF"/>
        </w:rPr>
      </w:pPr>
      <w:r w:rsidRPr="000F7D1A">
        <w:rPr>
          <w:rFonts w:ascii="Times New Roman" w:hAnsi="Times New Roman"/>
          <w:sz w:val="28"/>
          <w:szCs w:val="28"/>
          <w:shd w:val="clear" w:color="auto" w:fill="FFFFFF"/>
        </w:rPr>
        <w:t>закупки в сфере медицины:</w:t>
      </w:r>
    </w:p>
    <w:p w:rsidR="000F7D1A" w:rsidRDefault="000F7D1A" w:rsidP="000F7D1A">
      <w:pPr>
        <w:spacing w:after="0" w:line="240" w:lineRule="auto"/>
        <w:ind w:firstLine="709"/>
        <w:contextualSpacing/>
        <w:jc w:val="both"/>
        <w:rPr>
          <w:rFonts w:ascii="Times New Roman" w:hAnsi="Times New Roman"/>
          <w:sz w:val="28"/>
          <w:szCs w:val="28"/>
          <w:shd w:val="clear" w:color="auto" w:fill="FFFFFF"/>
        </w:rPr>
      </w:pPr>
      <w:r w:rsidRPr="000F7D1A">
        <w:rPr>
          <w:rFonts w:ascii="Times New Roman" w:hAnsi="Times New Roman"/>
          <w:sz w:val="28"/>
          <w:szCs w:val="28"/>
          <w:shd w:val="clear" w:color="auto" w:fill="FFFFFF"/>
        </w:rPr>
        <w:t xml:space="preserve">Указ Президента Республики Беларусь от 28 февраля 2017 года </w:t>
      </w:r>
      <w:r w:rsidR="00E720B2">
        <w:rPr>
          <w:rFonts w:ascii="Times New Roman" w:hAnsi="Times New Roman"/>
          <w:sz w:val="28"/>
          <w:szCs w:val="28"/>
          <w:shd w:val="clear" w:color="auto" w:fill="FFFFFF"/>
        </w:rPr>
        <w:t>№ </w:t>
      </w:r>
      <w:r w:rsidRPr="000F7D1A">
        <w:rPr>
          <w:rFonts w:ascii="Times New Roman" w:hAnsi="Times New Roman"/>
          <w:sz w:val="28"/>
          <w:szCs w:val="28"/>
          <w:shd w:val="clear" w:color="auto" w:fill="FFFFFF"/>
        </w:rPr>
        <w:t xml:space="preserve">46 </w:t>
      </w:r>
      <w:r w:rsidR="0099069F">
        <w:rPr>
          <w:rFonts w:ascii="Times New Roman" w:hAnsi="Times New Roman"/>
          <w:sz w:val="28"/>
          <w:szCs w:val="28"/>
          <w:shd w:val="clear" w:color="auto" w:fill="FFFFFF"/>
        </w:rPr>
        <w:br/>
      </w:r>
      <w:r w:rsidRPr="000F7D1A">
        <w:rPr>
          <w:rFonts w:ascii="Times New Roman" w:hAnsi="Times New Roman"/>
          <w:sz w:val="28"/>
          <w:szCs w:val="28"/>
          <w:shd w:val="clear" w:color="auto" w:fill="FFFFFF"/>
        </w:rPr>
        <w:t>«О государственных закупках медицинских изделий, лекарственных средств и лечебного питания»</w:t>
      </w:r>
      <w:r>
        <w:rPr>
          <w:rFonts w:ascii="Times New Roman" w:hAnsi="Times New Roman"/>
          <w:sz w:val="28"/>
          <w:szCs w:val="28"/>
          <w:shd w:val="clear" w:color="auto" w:fill="FFFFFF"/>
        </w:rPr>
        <w:t>;</w:t>
      </w:r>
    </w:p>
    <w:p w:rsidR="000F7D1A" w:rsidRDefault="00434522" w:rsidP="000F7D1A">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0F7D1A" w:rsidRPr="000F7D1A">
        <w:rPr>
          <w:rFonts w:ascii="Times New Roman" w:hAnsi="Times New Roman"/>
          <w:sz w:val="28"/>
          <w:szCs w:val="28"/>
          <w:shd w:val="clear" w:color="auto" w:fill="FFFFFF"/>
        </w:rPr>
        <w:t xml:space="preserve">остановление Министерства антимонопольного регулирования и торговли Республики Беларусь от 28 июня 2017 года </w:t>
      </w:r>
      <w:r w:rsidR="00E720B2">
        <w:rPr>
          <w:rFonts w:ascii="Times New Roman" w:hAnsi="Times New Roman"/>
          <w:sz w:val="28"/>
          <w:szCs w:val="28"/>
          <w:shd w:val="clear" w:color="auto" w:fill="FFFFFF"/>
        </w:rPr>
        <w:t>№ </w:t>
      </w:r>
      <w:r w:rsidR="000F7D1A" w:rsidRPr="000F7D1A">
        <w:rPr>
          <w:rFonts w:ascii="Times New Roman" w:hAnsi="Times New Roman"/>
          <w:sz w:val="28"/>
          <w:szCs w:val="28"/>
          <w:shd w:val="clear" w:color="auto" w:fill="FFFFFF"/>
        </w:rPr>
        <w:t>33 «Об утверждении Инструкции о порядке формирования и ведения реестра поставщиков (подрядчиков, исполнителей), временно не допускаемых к закупкам» и др.</w:t>
      </w:r>
    </w:p>
    <w:p w:rsidR="0068434D" w:rsidRPr="00AC2B52" w:rsidRDefault="000F7D1A" w:rsidP="004D2C9E">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Однако </w:t>
      </w:r>
      <w:r w:rsidR="0068434D" w:rsidRPr="00AC2B52">
        <w:rPr>
          <w:rFonts w:ascii="Times New Roman" w:hAnsi="Times New Roman"/>
          <w:sz w:val="28"/>
          <w:szCs w:val="28"/>
          <w:shd w:val="clear" w:color="auto" w:fill="FFFFFF"/>
        </w:rPr>
        <w:t>непрозрачность проведения закупок негативно сказывается на развитии конкуренции и эффективности вовлечения в хозяйственный оборот государственного имущества, имущественных прав и природных ресурсов.</w:t>
      </w:r>
    </w:p>
    <w:p w:rsidR="0068434D" w:rsidRPr="00AC2B52" w:rsidRDefault="0068434D" w:rsidP="004D2C9E">
      <w:pPr>
        <w:spacing w:after="0" w:line="240" w:lineRule="auto"/>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 xml:space="preserve">В настоящее время в Республике Беларусь действуют </w:t>
      </w:r>
      <w:r w:rsidR="000F7D1A">
        <w:rPr>
          <w:rFonts w:ascii="Times New Roman" w:hAnsi="Times New Roman"/>
          <w:sz w:val="28"/>
          <w:szCs w:val="28"/>
          <w:shd w:val="clear" w:color="auto" w:fill="FFFFFF"/>
        </w:rPr>
        <w:t>две</w:t>
      </w:r>
      <w:r w:rsidRPr="00AC2B52">
        <w:rPr>
          <w:rFonts w:ascii="Times New Roman" w:hAnsi="Times New Roman"/>
          <w:sz w:val="28"/>
          <w:szCs w:val="28"/>
          <w:shd w:val="clear" w:color="auto" w:fill="FFFFFF"/>
        </w:rPr>
        <w:t xml:space="preserve"> электронные площадки:</w:t>
      </w:r>
    </w:p>
    <w:p w:rsidR="0068434D" w:rsidRPr="00AC2B52" w:rsidRDefault="0068434D" w:rsidP="004D2C9E">
      <w:pPr>
        <w:spacing w:after="0" w:line="240" w:lineRule="auto"/>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 xml:space="preserve">ОАО </w:t>
      </w:r>
      <w:r w:rsidR="004D2C9E">
        <w:rPr>
          <w:rFonts w:ascii="Times New Roman" w:hAnsi="Times New Roman"/>
          <w:sz w:val="28"/>
          <w:szCs w:val="28"/>
          <w:shd w:val="clear" w:color="auto" w:fill="FFFFFF"/>
        </w:rPr>
        <w:t>«</w:t>
      </w:r>
      <w:r w:rsidRPr="00AC2B52">
        <w:rPr>
          <w:rFonts w:ascii="Times New Roman" w:hAnsi="Times New Roman"/>
          <w:sz w:val="28"/>
          <w:szCs w:val="28"/>
          <w:shd w:val="clear" w:color="auto" w:fill="FFFFFF"/>
        </w:rPr>
        <w:t>Белорусская универсальная товарная биржа</w:t>
      </w:r>
      <w:r w:rsidR="004D2C9E">
        <w:rPr>
          <w:rFonts w:ascii="Times New Roman" w:hAnsi="Times New Roman"/>
          <w:sz w:val="28"/>
          <w:szCs w:val="28"/>
          <w:shd w:val="clear" w:color="auto" w:fill="FFFFFF"/>
        </w:rPr>
        <w:t>»</w:t>
      </w:r>
      <w:r w:rsidRPr="00AC2B52">
        <w:rPr>
          <w:rFonts w:ascii="Times New Roman" w:hAnsi="Times New Roman"/>
          <w:sz w:val="28"/>
          <w:szCs w:val="28"/>
          <w:shd w:val="clear" w:color="auto" w:fill="FFFFFF"/>
        </w:rPr>
        <w:t xml:space="preserve"> </w:t>
      </w:r>
      <w:r w:rsidR="007E150F">
        <w:rPr>
          <w:rFonts w:ascii="Times New Roman" w:hAnsi="Times New Roman"/>
          <w:sz w:val="28"/>
          <w:szCs w:val="28"/>
          <w:shd w:val="clear" w:color="auto" w:fill="FFFFFF"/>
        </w:rPr>
        <w:t>(</w:t>
      </w:r>
      <w:r w:rsidRPr="00AC2B52">
        <w:rPr>
          <w:rFonts w:ascii="Times New Roman" w:hAnsi="Times New Roman"/>
          <w:sz w:val="28"/>
          <w:szCs w:val="28"/>
          <w:shd w:val="clear" w:color="auto" w:fill="FFFFFF"/>
        </w:rPr>
        <w:t>биржевые торги – http://www.butb.by, электронные аукционы и процедуры запросов ценовых предложений</w:t>
      </w:r>
      <w:r w:rsidR="00F9318B">
        <w:rPr>
          <w:rFonts w:ascii="Times New Roman" w:hAnsi="Times New Roman"/>
          <w:sz w:val="28"/>
          <w:szCs w:val="28"/>
          <w:shd w:val="clear" w:color="auto" w:fill="FFFFFF"/>
        </w:rPr>
        <w:t xml:space="preserve"> – </w:t>
      </w:r>
      <w:r w:rsidRPr="00AC2B52">
        <w:rPr>
          <w:rFonts w:ascii="Times New Roman" w:hAnsi="Times New Roman"/>
          <w:sz w:val="28"/>
          <w:szCs w:val="28"/>
          <w:shd w:val="clear" w:color="auto" w:fill="FFFFFF"/>
        </w:rPr>
        <w:t>http://zakupki.butb.by</w:t>
      </w:r>
      <w:r w:rsidR="007E150F">
        <w:rPr>
          <w:rFonts w:ascii="Times New Roman" w:hAnsi="Times New Roman"/>
          <w:sz w:val="28"/>
          <w:szCs w:val="28"/>
          <w:shd w:val="clear" w:color="auto" w:fill="FFFFFF"/>
        </w:rPr>
        <w:t>);</w:t>
      </w:r>
    </w:p>
    <w:p w:rsidR="0068434D" w:rsidRPr="00AC2B52" w:rsidRDefault="0068434D" w:rsidP="004D2C9E">
      <w:pPr>
        <w:spacing w:after="0" w:line="240" w:lineRule="auto"/>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 xml:space="preserve">ИРУП </w:t>
      </w:r>
      <w:r w:rsidR="004D2C9E">
        <w:rPr>
          <w:rFonts w:ascii="Times New Roman" w:hAnsi="Times New Roman"/>
          <w:sz w:val="28"/>
          <w:szCs w:val="28"/>
          <w:shd w:val="clear" w:color="auto" w:fill="FFFFFF"/>
        </w:rPr>
        <w:t>«</w:t>
      </w:r>
      <w:r w:rsidRPr="00AC2B52">
        <w:rPr>
          <w:rFonts w:ascii="Times New Roman" w:hAnsi="Times New Roman"/>
          <w:sz w:val="28"/>
          <w:szCs w:val="28"/>
          <w:shd w:val="clear" w:color="auto" w:fill="FFFFFF"/>
        </w:rPr>
        <w:t>Национальный центр маркетинга и конъюнктуры цен</w:t>
      </w:r>
      <w:r w:rsidR="004D2C9E">
        <w:rPr>
          <w:rFonts w:ascii="Times New Roman" w:hAnsi="Times New Roman"/>
          <w:sz w:val="28"/>
          <w:szCs w:val="28"/>
          <w:shd w:val="clear" w:color="auto" w:fill="FFFFFF"/>
        </w:rPr>
        <w:t>»</w:t>
      </w:r>
      <w:r w:rsidRPr="00AC2B52">
        <w:rPr>
          <w:rFonts w:ascii="Times New Roman" w:hAnsi="Times New Roman"/>
          <w:sz w:val="28"/>
          <w:szCs w:val="28"/>
          <w:shd w:val="clear" w:color="auto" w:fill="FFFFFF"/>
        </w:rPr>
        <w:t xml:space="preserve"> </w:t>
      </w:r>
      <w:r w:rsidR="007E150F">
        <w:rPr>
          <w:rFonts w:ascii="Times New Roman" w:hAnsi="Times New Roman"/>
          <w:sz w:val="28"/>
          <w:szCs w:val="28"/>
          <w:shd w:val="clear" w:color="auto" w:fill="FFFFFF"/>
        </w:rPr>
        <w:t>(</w:t>
      </w:r>
      <w:r w:rsidRPr="00AC2B52">
        <w:rPr>
          <w:rFonts w:ascii="Times New Roman" w:hAnsi="Times New Roman"/>
          <w:sz w:val="28"/>
          <w:szCs w:val="28"/>
          <w:shd w:val="clear" w:color="auto" w:fill="FFFFFF"/>
        </w:rPr>
        <w:t>http://www.icetrade.by, http://www.export.by, электронные аукционы и процедуры запросов ценовых предложений</w:t>
      </w:r>
      <w:r w:rsidR="00F9318B">
        <w:rPr>
          <w:rFonts w:ascii="Times New Roman" w:hAnsi="Times New Roman"/>
          <w:sz w:val="28"/>
          <w:szCs w:val="28"/>
          <w:shd w:val="clear" w:color="auto" w:fill="FFFFFF"/>
        </w:rPr>
        <w:t xml:space="preserve"> – </w:t>
      </w:r>
      <w:r w:rsidRPr="00AC2B52">
        <w:rPr>
          <w:rFonts w:ascii="Times New Roman" w:hAnsi="Times New Roman"/>
          <w:sz w:val="28"/>
          <w:szCs w:val="28"/>
          <w:shd w:val="clear" w:color="auto" w:fill="FFFFFF"/>
        </w:rPr>
        <w:t>http://www.goszakupki.by</w:t>
      </w:r>
      <w:r w:rsidR="007E150F">
        <w:rPr>
          <w:rFonts w:ascii="Times New Roman" w:hAnsi="Times New Roman"/>
          <w:sz w:val="28"/>
          <w:szCs w:val="28"/>
          <w:shd w:val="clear" w:color="auto" w:fill="FFFFFF"/>
        </w:rPr>
        <w:t>)</w:t>
      </w:r>
      <w:r w:rsidRPr="00AC2B52">
        <w:rPr>
          <w:rFonts w:ascii="Times New Roman" w:hAnsi="Times New Roman"/>
          <w:sz w:val="28"/>
          <w:szCs w:val="28"/>
          <w:shd w:val="clear" w:color="auto" w:fill="FFFFFF"/>
        </w:rPr>
        <w:t>.</w:t>
      </w:r>
    </w:p>
    <w:p w:rsidR="0068434D" w:rsidRPr="00AC2B52" w:rsidRDefault="0068434D" w:rsidP="004D2C9E">
      <w:pPr>
        <w:spacing w:after="0" w:line="240" w:lineRule="auto"/>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Информация о проведенных процедурах закупок размещается и хранится в открытом доступе в Интернет</w:t>
      </w:r>
      <w:r w:rsidR="000F7D1A">
        <w:rPr>
          <w:rFonts w:ascii="Times New Roman" w:hAnsi="Times New Roman"/>
          <w:sz w:val="28"/>
          <w:szCs w:val="28"/>
          <w:shd w:val="clear" w:color="auto" w:fill="FFFFFF"/>
        </w:rPr>
        <w:t>е</w:t>
      </w:r>
      <w:r w:rsidRPr="00AC2B52">
        <w:rPr>
          <w:rFonts w:ascii="Times New Roman" w:hAnsi="Times New Roman"/>
          <w:sz w:val="28"/>
          <w:szCs w:val="28"/>
          <w:shd w:val="clear" w:color="auto" w:fill="FFFFFF"/>
        </w:rPr>
        <w:t>.</w:t>
      </w:r>
    </w:p>
    <w:p w:rsidR="0068434D" w:rsidRPr="00AC2B52" w:rsidRDefault="000F7D1A" w:rsidP="004D2C9E">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Н</w:t>
      </w:r>
      <w:r w:rsidR="0068434D" w:rsidRPr="00AC2B52">
        <w:rPr>
          <w:rFonts w:ascii="Times New Roman" w:hAnsi="Times New Roman"/>
          <w:sz w:val="28"/>
          <w:szCs w:val="28"/>
          <w:shd w:val="clear" w:color="auto" w:fill="FFFFFF"/>
        </w:rPr>
        <w:t>аличие специального законодательства в сфере регулирования закупок не исключает возможность использования хозяйствующими субъектами недобросовестных практик и нарушения при участии в процедуре антимонопольного законодательства.</w:t>
      </w:r>
    </w:p>
    <w:p w:rsidR="0068434D" w:rsidRPr="00AC2B52" w:rsidRDefault="0068434D" w:rsidP="004D2C9E">
      <w:pPr>
        <w:spacing w:after="0" w:line="240" w:lineRule="auto"/>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В части антимо</w:t>
      </w:r>
      <w:r w:rsidR="00E456B0">
        <w:rPr>
          <w:rFonts w:ascii="Times New Roman" w:hAnsi="Times New Roman"/>
          <w:sz w:val="28"/>
          <w:szCs w:val="28"/>
          <w:shd w:val="clear" w:color="auto" w:fill="FFFFFF"/>
        </w:rPr>
        <w:t>нопольных требований к закупкам</w:t>
      </w:r>
      <w:r w:rsidRPr="00AC2B52">
        <w:rPr>
          <w:rFonts w:ascii="Times New Roman" w:hAnsi="Times New Roman"/>
          <w:sz w:val="28"/>
          <w:szCs w:val="28"/>
          <w:shd w:val="clear" w:color="auto" w:fill="FFFFFF"/>
        </w:rPr>
        <w:t xml:space="preserve"> необходимо отметить, что в новой редакции </w:t>
      </w:r>
      <w:r w:rsidR="00EB6F88">
        <w:rPr>
          <w:rFonts w:ascii="Times New Roman" w:hAnsi="Times New Roman"/>
          <w:sz w:val="28"/>
          <w:szCs w:val="28"/>
          <w:shd w:val="clear" w:color="auto" w:fill="FFFFFF"/>
        </w:rPr>
        <w:t>З</w:t>
      </w:r>
      <w:r w:rsidR="00EB6F88" w:rsidRPr="00EB6F88">
        <w:rPr>
          <w:rFonts w:ascii="Times New Roman" w:hAnsi="Times New Roman"/>
          <w:sz w:val="28"/>
          <w:szCs w:val="28"/>
          <w:shd w:val="clear" w:color="auto" w:fill="FFFFFF"/>
        </w:rPr>
        <w:t>акон</w:t>
      </w:r>
      <w:r w:rsidR="00EB6F88">
        <w:rPr>
          <w:rFonts w:ascii="Times New Roman" w:hAnsi="Times New Roman"/>
          <w:sz w:val="28"/>
          <w:szCs w:val="28"/>
          <w:shd w:val="clear" w:color="auto" w:fill="FFFFFF"/>
        </w:rPr>
        <w:t>а</w:t>
      </w:r>
      <w:r w:rsidR="00EB6F88" w:rsidRPr="00EB6F88">
        <w:rPr>
          <w:rFonts w:ascii="Times New Roman" w:hAnsi="Times New Roman"/>
          <w:sz w:val="28"/>
          <w:szCs w:val="28"/>
          <w:shd w:val="clear" w:color="auto" w:fill="FFFFFF"/>
        </w:rPr>
        <w:t xml:space="preserve"> «О государственных закупках товаров (работ, услуг)»</w:t>
      </w:r>
      <w:r w:rsidRPr="00AC2B52">
        <w:rPr>
          <w:rFonts w:ascii="Times New Roman" w:hAnsi="Times New Roman"/>
          <w:sz w:val="28"/>
          <w:szCs w:val="28"/>
          <w:shd w:val="clear" w:color="auto" w:fill="FFFFFF"/>
        </w:rPr>
        <w:t>, которая вступи</w:t>
      </w:r>
      <w:r w:rsidR="00EB6F88">
        <w:rPr>
          <w:rFonts w:ascii="Times New Roman" w:hAnsi="Times New Roman"/>
          <w:sz w:val="28"/>
          <w:szCs w:val="28"/>
          <w:shd w:val="clear" w:color="auto" w:fill="FFFFFF"/>
        </w:rPr>
        <w:t>ла</w:t>
      </w:r>
      <w:r w:rsidRPr="00AC2B52">
        <w:rPr>
          <w:rFonts w:ascii="Times New Roman" w:hAnsi="Times New Roman"/>
          <w:sz w:val="28"/>
          <w:szCs w:val="28"/>
          <w:shd w:val="clear" w:color="auto" w:fill="FFFFFF"/>
        </w:rPr>
        <w:t xml:space="preserve"> в силу с </w:t>
      </w:r>
      <w:r w:rsidR="00EB6F88">
        <w:rPr>
          <w:rFonts w:ascii="Times New Roman" w:hAnsi="Times New Roman"/>
          <w:sz w:val="28"/>
          <w:szCs w:val="28"/>
          <w:shd w:val="clear" w:color="auto" w:fill="FFFFFF"/>
        </w:rPr>
        <w:t>3</w:t>
      </w:r>
      <w:r w:rsidRPr="00AC2B52">
        <w:rPr>
          <w:rFonts w:ascii="Times New Roman" w:hAnsi="Times New Roman"/>
          <w:sz w:val="28"/>
          <w:szCs w:val="28"/>
          <w:shd w:val="clear" w:color="auto" w:fill="FFFFFF"/>
        </w:rPr>
        <w:t xml:space="preserve"> августа 2018 г</w:t>
      </w:r>
      <w:r w:rsidR="007E150F">
        <w:rPr>
          <w:rFonts w:ascii="Times New Roman" w:hAnsi="Times New Roman"/>
          <w:sz w:val="28"/>
          <w:szCs w:val="28"/>
          <w:shd w:val="clear" w:color="auto" w:fill="FFFFFF"/>
        </w:rPr>
        <w:t>ода</w:t>
      </w:r>
      <w:r w:rsidRPr="00AC2B52">
        <w:rPr>
          <w:rFonts w:ascii="Times New Roman" w:hAnsi="Times New Roman"/>
          <w:sz w:val="28"/>
          <w:szCs w:val="28"/>
          <w:shd w:val="clear" w:color="auto" w:fill="FFFFFF"/>
        </w:rPr>
        <w:t xml:space="preserve">, определены общие антимонопольные требования к закупкам товаров, поскольку данная сфера правоотношений имеет определенную специфику, не позволяющую осуществлять регулирование в рамках действующих общих норм законодательства о закупках, касающихся всех субъектов. </w:t>
      </w:r>
    </w:p>
    <w:p w:rsidR="0068434D" w:rsidRPr="00AC2B52" w:rsidRDefault="0068434D" w:rsidP="004D2C9E">
      <w:pPr>
        <w:spacing w:after="0" w:line="240" w:lineRule="auto"/>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 xml:space="preserve">Так, при проведении закупок запрещаются действия, которые приводят или могут привести к недопущению, ограничению или устранению конкуренции. Перечень таких действий является открытым. </w:t>
      </w:r>
    </w:p>
    <w:p w:rsidR="0068434D" w:rsidRDefault="0068434D" w:rsidP="004D2C9E">
      <w:pPr>
        <w:spacing w:after="0" w:line="240" w:lineRule="auto"/>
        <w:ind w:firstLine="709"/>
        <w:contextualSpacing/>
        <w:jc w:val="both"/>
        <w:rPr>
          <w:rFonts w:ascii="Times New Roman" w:hAnsi="Times New Roman"/>
          <w:sz w:val="28"/>
          <w:szCs w:val="28"/>
          <w:shd w:val="clear" w:color="auto" w:fill="FFFFFF"/>
        </w:rPr>
      </w:pPr>
      <w:r w:rsidRPr="00AC2B52">
        <w:rPr>
          <w:rFonts w:ascii="Times New Roman" w:hAnsi="Times New Roman"/>
          <w:sz w:val="28"/>
          <w:szCs w:val="28"/>
          <w:shd w:val="clear" w:color="auto" w:fill="FFFFFF"/>
        </w:rPr>
        <w:t>Антимонопольные требования к закупкам будут еще одним звеном в системе эффективного контроля за осуществлением процедур государственных закупок, поскольку сможет быть признана судом недействительной процедура государственной закупки, проведенная с нарушением требований антимонопольного законодательства.</w:t>
      </w:r>
    </w:p>
    <w:p w:rsidR="00B772E6" w:rsidRPr="00464B10" w:rsidRDefault="00B772E6" w:rsidP="00483209">
      <w:pPr>
        <w:pStyle w:val="4"/>
        <w:rPr>
          <w:shd w:val="clear" w:color="auto" w:fill="FFFFFF"/>
        </w:rPr>
      </w:pPr>
      <w:r w:rsidRPr="00464B10">
        <w:rPr>
          <w:shd w:val="clear" w:color="auto" w:fill="FFFFFF"/>
        </w:rPr>
        <w:t>Кыргызская Республика</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В соответствии с Законом Кыргызской Республики от 3 апреля 2015 года №</w:t>
      </w:r>
      <w:r w:rsidR="00483209" w:rsidRPr="00464B10">
        <w:rPr>
          <w:rFonts w:ascii="Times New Roman" w:hAnsi="Times New Roman"/>
          <w:sz w:val="28"/>
          <w:szCs w:val="28"/>
          <w:shd w:val="clear" w:color="auto" w:fill="FFFFFF"/>
        </w:rPr>
        <w:t> </w:t>
      </w:r>
      <w:r w:rsidRPr="00464B10">
        <w:rPr>
          <w:rFonts w:ascii="Times New Roman" w:hAnsi="Times New Roman"/>
          <w:sz w:val="28"/>
          <w:szCs w:val="28"/>
          <w:shd w:val="clear" w:color="auto" w:fill="FFFFFF"/>
        </w:rPr>
        <w:t>72 «О государственных закупках» осуществление государственных закупок основывается на принципах:</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публичности, открытости, законности и беспристрастности в отношении поставщиков (подрядчиков);</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расширения участия и развития конкуренции между поставщиками (подрядчиками) в процессе осуществления закупок;</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создания равных и справедливых условий для поставщиков (подрядчиков) при осуществлении государственных закупок.</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В настоящее время официальный портал государственных закупок является единым источником информации о государственных закупках, проводимых электронным способом.</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С 11 июня 2015 года государственные закупки в Кыргызской Республике осуществляются в электронном формате. Официальный портал государственных закупок является единственным электронным инструментом, позволяющим реализовать весь цикл процедур закупок как для закупающей организации, так и для организаций</w:t>
      </w:r>
      <w:r w:rsidR="00987DF7" w:rsidRPr="00464B10">
        <w:rPr>
          <w:rFonts w:ascii="Times New Roman" w:hAnsi="Times New Roman"/>
          <w:sz w:val="28"/>
          <w:szCs w:val="28"/>
          <w:shd w:val="clear" w:color="auto" w:fill="FFFFFF"/>
        </w:rPr>
        <w:t>-</w:t>
      </w:r>
      <w:r w:rsidRPr="00464B10">
        <w:rPr>
          <w:rFonts w:ascii="Times New Roman" w:hAnsi="Times New Roman"/>
          <w:sz w:val="28"/>
          <w:szCs w:val="28"/>
          <w:shd w:val="clear" w:color="auto" w:fill="FFFFFF"/>
        </w:rPr>
        <w:t>поставщиков (подрядчиков). Портал доступен в Интернете по всей республике для всех пользователей, а также зарубежных поставщиков (подрядчиков) в режиме 24/365 (24 часа сутки/ 365</w:t>
      </w:r>
      <w:r w:rsidR="00483209" w:rsidRPr="00464B10">
        <w:rPr>
          <w:rFonts w:ascii="Times New Roman" w:hAnsi="Times New Roman"/>
          <w:sz w:val="28"/>
          <w:szCs w:val="28"/>
          <w:shd w:val="clear" w:color="auto" w:fill="FFFFFF"/>
        </w:rPr>
        <w:t> </w:t>
      </w:r>
      <w:r w:rsidRPr="00464B10">
        <w:rPr>
          <w:rFonts w:ascii="Times New Roman" w:hAnsi="Times New Roman"/>
          <w:sz w:val="28"/>
          <w:szCs w:val="28"/>
          <w:shd w:val="clear" w:color="auto" w:fill="FFFFFF"/>
        </w:rPr>
        <w:t>дней в году).</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С внедрением электронной системы (портала) государственных закупок решаются следующие задачи:</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снижение бюджетных расходов на приобретение товаров, работ и услуг для государственных нужд;</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единый порядок формирования и размещения государственного заказа;</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сокращение затрат на проведение процедур государственных закупок;</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детальная статистика приобретаемых товаров, работ и услуг (посредством Общего классиф</w:t>
      </w:r>
      <w:r w:rsidR="00DD4604" w:rsidRPr="00464B10">
        <w:rPr>
          <w:rFonts w:ascii="Times New Roman" w:hAnsi="Times New Roman"/>
          <w:sz w:val="28"/>
          <w:szCs w:val="28"/>
          <w:shd w:val="clear" w:color="auto" w:fill="FFFFFF"/>
        </w:rPr>
        <w:t>икатора государственных закупок</w:t>
      </w:r>
      <w:r w:rsidRPr="00464B10">
        <w:rPr>
          <w:rFonts w:ascii="Times New Roman" w:hAnsi="Times New Roman"/>
          <w:sz w:val="28"/>
          <w:szCs w:val="28"/>
          <w:shd w:val="clear" w:color="auto" w:fill="FFFFFF"/>
        </w:rPr>
        <w:t>);</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создание равных условий конкуренции среди поставщиков;</w:t>
      </w:r>
    </w:p>
    <w:p w:rsidR="00B772E6" w:rsidRPr="00464B10"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легкий доступ к информации, вся информация о предстоящих и проведенных торгах доступна всем заинтересованным лицам;</w:t>
      </w:r>
    </w:p>
    <w:p w:rsidR="00B772E6" w:rsidRPr="00B772E6" w:rsidRDefault="00B772E6" w:rsidP="00B772E6">
      <w:pPr>
        <w:spacing w:after="0" w:line="240" w:lineRule="auto"/>
        <w:ind w:firstLine="709"/>
        <w:contextualSpacing/>
        <w:jc w:val="both"/>
        <w:rPr>
          <w:rFonts w:ascii="Times New Roman" w:hAnsi="Times New Roman"/>
          <w:sz w:val="28"/>
          <w:szCs w:val="28"/>
          <w:shd w:val="clear" w:color="auto" w:fill="FFFFFF"/>
        </w:rPr>
      </w:pPr>
      <w:r w:rsidRPr="00464B10">
        <w:rPr>
          <w:rFonts w:ascii="Times New Roman" w:hAnsi="Times New Roman"/>
          <w:sz w:val="28"/>
          <w:szCs w:val="28"/>
          <w:shd w:val="clear" w:color="auto" w:fill="FFFFFF"/>
        </w:rPr>
        <w:t>повышение открытости процесса государственных закупок.</w:t>
      </w:r>
    </w:p>
    <w:p w:rsidR="0068434D" w:rsidRPr="00AC2B52" w:rsidRDefault="0068434D" w:rsidP="004D2C9E">
      <w:pPr>
        <w:pStyle w:val="4"/>
        <w:rPr>
          <w:shd w:val="clear" w:color="auto" w:fill="FFFFFF"/>
        </w:rPr>
      </w:pPr>
      <w:r w:rsidRPr="00AC2B52">
        <w:rPr>
          <w:shd w:val="clear" w:color="auto" w:fill="FFFFFF"/>
        </w:rPr>
        <w:t>Российская Федерация</w:t>
      </w:r>
    </w:p>
    <w:p w:rsidR="0068434D" w:rsidRPr="00954763" w:rsidRDefault="0068434D" w:rsidP="004D2C9E">
      <w:pPr>
        <w:spacing w:after="0" w:line="240" w:lineRule="auto"/>
        <w:ind w:firstLine="709"/>
        <w:contextualSpacing/>
        <w:jc w:val="both"/>
        <w:rPr>
          <w:rFonts w:ascii="Times New Roman" w:hAnsi="Times New Roman"/>
          <w:sz w:val="28"/>
          <w:szCs w:val="28"/>
          <w:shd w:val="clear" w:color="auto" w:fill="FFFFFF"/>
        </w:rPr>
      </w:pPr>
      <w:r w:rsidRPr="00954763">
        <w:rPr>
          <w:rFonts w:ascii="Times New Roman" w:hAnsi="Times New Roman"/>
          <w:sz w:val="28"/>
          <w:szCs w:val="28"/>
          <w:shd w:val="clear" w:color="auto" w:fill="FFFFFF"/>
        </w:rPr>
        <w:t>Российский опыт проведения электронных торгов показал эффективность использования электронных торговых площадок при осуществлении конкурентных закупочных процедур (открытый аукцион в электронной форме) для удовлетворения нужд государственных и муниципальных заказчиков.</w:t>
      </w:r>
    </w:p>
    <w:p w:rsidR="0068434D" w:rsidRDefault="0068434D" w:rsidP="004D2C9E">
      <w:pPr>
        <w:spacing w:after="0" w:line="240" w:lineRule="auto"/>
        <w:ind w:firstLine="709"/>
        <w:contextualSpacing/>
        <w:jc w:val="both"/>
        <w:rPr>
          <w:rFonts w:ascii="Times New Roman" w:hAnsi="Times New Roman"/>
          <w:sz w:val="28"/>
          <w:szCs w:val="28"/>
          <w:shd w:val="clear" w:color="auto" w:fill="FFFFFF"/>
        </w:rPr>
      </w:pPr>
      <w:r w:rsidRPr="00954763">
        <w:rPr>
          <w:rFonts w:ascii="Times New Roman" w:hAnsi="Times New Roman"/>
          <w:sz w:val="28"/>
          <w:szCs w:val="28"/>
          <w:shd w:val="clear" w:color="auto" w:fill="FFFFFF"/>
        </w:rPr>
        <w:t>Перевод закупок</w:t>
      </w:r>
      <w:r>
        <w:rPr>
          <w:rFonts w:ascii="Times New Roman" w:hAnsi="Times New Roman"/>
          <w:sz w:val="28"/>
          <w:szCs w:val="28"/>
          <w:shd w:val="clear" w:color="auto" w:fill="FFFFFF"/>
        </w:rPr>
        <w:t xml:space="preserve"> в</w:t>
      </w:r>
      <w:r w:rsidRPr="00954763">
        <w:rPr>
          <w:rFonts w:ascii="Times New Roman" w:hAnsi="Times New Roman"/>
          <w:sz w:val="28"/>
          <w:szCs w:val="28"/>
          <w:shd w:val="clear" w:color="auto" w:fill="FFFFFF"/>
        </w:rPr>
        <w:t xml:space="preserve"> электронную форму является ключевым и самым важным элементом в реформировании системы закупочной деятельности, обеспечи</w:t>
      </w:r>
      <w:r w:rsidR="00EB6F88">
        <w:rPr>
          <w:rFonts w:ascii="Times New Roman" w:hAnsi="Times New Roman"/>
          <w:sz w:val="28"/>
          <w:szCs w:val="28"/>
          <w:shd w:val="clear" w:color="auto" w:fill="FFFFFF"/>
        </w:rPr>
        <w:t>вает</w:t>
      </w:r>
      <w:r w:rsidRPr="00954763">
        <w:rPr>
          <w:rFonts w:ascii="Times New Roman" w:hAnsi="Times New Roman"/>
          <w:sz w:val="28"/>
          <w:szCs w:val="28"/>
          <w:shd w:val="clear" w:color="auto" w:fill="FFFFFF"/>
        </w:rPr>
        <w:t xml:space="preserve"> существенное увеличение открытости, прозрачности и объективизации процедур, невозможность подмены и фальсификации заявок заказчиком, повышение уровня общественного контроля за публичными результатами, что в совокупности уменьш</w:t>
      </w:r>
      <w:r w:rsidR="00EB6F88">
        <w:rPr>
          <w:rFonts w:ascii="Times New Roman" w:hAnsi="Times New Roman"/>
          <w:sz w:val="28"/>
          <w:szCs w:val="28"/>
          <w:shd w:val="clear" w:color="auto" w:fill="FFFFFF"/>
        </w:rPr>
        <w:t>ает</w:t>
      </w:r>
      <w:r w:rsidRPr="00954763">
        <w:rPr>
          <w:rFonts w:ascii="Times New Roman" w:hAnsi="Times New Roman"/>
          <w:sz w:val="28"/>
          <w:szCs w:val="28"/>
          <w:shd w:val="clear" w:color="auto" w:fill="FFFFFF"/>
        </w:rPr>
        <w:t xml:space="preserve"> коррупциогенный потенциал закупок в целом.</w:t>
      </w:r>
    </w:p>
    <w:p w:rsidR="0068434D" w:rsidRPr="004D2C9E" w:rsidRDefault="0068434D" w:rsidP="004D2C9E">
      <w:pPr>
        <w:pStyle w:val="7"/>
        <w:autoSpaceDE w:val="0"/>
        <w:autoSpaceDN w:val="0"/>
        <w:adjustRightInd w:val="0"/>
        <w:rPr>
          <w:bCs/>
        </w:rPr>
      </w:pPr>
      <w:r w:rsidRPr="004D2C9E">
        <w:rPr>
          <w:bCs/>
        </w:rPr>
        <w:t>Система государственных (муниципальных) закупок</w:t>
      </w:r>
    </w:p>
    <w:p w:rsidR="0068434D" w:rsidRPr="00F34C06"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F34C06">
        <w:rPr>
          <w:rFonts w:ascii="Times New Roman" w:hAnsi="Times New Roman"/>
          <w:bCs/>
          <w:sz w:val="28"/>
          <w:szCs w:val="28"/>
        </w:rPr>
        <w:t xml:space="preserve">В России создана контрактная система в сфере закупок товаров, работ и услуг для обеспечения государственных и муниципальных нужд (далее </w:t>
      </w:r>
      <w:r>
        <w:rPr>
          <w:rFonts w:ascii="Times New Roman" w:hAnsi="Times New Roman"/>
          <w:bCs/>
          <w:sz w:val="28"/>
          <w:szCs w:val="28"/>
        </w:rPr>
        <w:t xml:space="preserve">– </w:t>
      </w:r>
      <w:r w:rsidRPr="00F34C06">
        <w:rPr>
          <w:rFonts w:ascii="Times New Roman" w:hAnsi="Times New Roman"/>
          <w:bCs/>
          <w:sz w:val="28"/>
          <w:szCs w:val="28"/>
        </w:rPr>
        <w:t>контрактная система</w:t>
      </w:r>
      <w:r>
        <w:rPr>
          <w:rFonts w:ascii="Times New Roman" w:hAnsi="Times New Roman"/>
          <w:bCs/>
          <w:sz w:val="28"/>
          <w:szCs w:val="28"/>
        </w:rPr>
        <w:t xml:space="preserve"> в сфере закупок</w:t>
      </w:r>
      <w:r w:rsidRPr="00F34C06">
        <w:rPr>
          <w:rFonts w:ascii="Times New Roman" w:hAnsi="Times New Roman"/>
          <w:bCs/>
          <w:sz w:val="28"/>
          <w:szCs w:val="28"/>
        </w:rPr>
        <w:t xml:space="preserve">), которая включает участников контрактной системы и осуществляемые ими действия, направленные на удовлетворение государственных и муниципальных нужд. </w:t>
      </w:r>
    </w:p>
    <w:p w:rsidR="0068434D"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5F4A81">
        <w:rPr>
          <w:rFonts w:ascii="Times New Roman" w:hAnsi="Times New Roman"/>
          <w:bCs/>
          <w:sz w:val="28"/>
          <w:szCs w:val="28"/>
        </w:rPr>
        <w:t xml:space="preserve">Закон </w:t>
      </w:r>
      <w:r w:rsidR="00E720B2">
        <w:rPr>
          <w:rFonts w:ascii="Times New Roman" w:hAnsi="Times New Roman"/>
          <w:bCs/>
          <w:sz w:val="28"/>
          <w:szCs w:val="28"/>
        </w:rPr>
        <w:t>№ </w:t>
      </w:r>
      <w:r w:rsidR="00617AE3">
        <w:rPr>
          <w:rFonts w:ascii="Times New Roman" w:hAnsi="Times New Roman"/>
          <w:bCs/>
          <w:sz w:val="28"/>
          <w:szCs w:val="28"/>
        </w:rPr>
        <w:t>44-ФЗ</w:t>
      </w:r>
      <w:r>
        <w:rPr>
          <w:rFonts w:ascii="Times New Roman" w:hAnsi="Times New Roman"/>
          <w:bCs/>
          <w:sz w:val="28"/>
          <w:szCs w:val="28"/>
        </w:rPr>
        <w:t xml:space="preserve"> </w:t>
      </w:r>
      <w:r w:rsidR="00EB6F88">
        <w:rPr>
          <w:rFonts w:ascii="Times New Roman" w:hAnsi="Times New Roman"/>
          <w:bCs/>
          <w:sz w:val="28"/>
          <w:szCs w:val="28"/>
        </w:rPr>
        <w:t>осно</w:t>
      </w:r>
      <w:r w:rsidRPr="00FA4B64">
        <w:rPr>
          <w:rFonts w:ascii="Times New Roman" w:hAnsi="Times New Roman"/>
          <w:bCs/>
          <w:sz w:val="28"/>
          <w:szCs w:val="28"/>
        </w:rPr>
        <w:t>ва</w:t>
      </w:r>
      <w:r w:rsidR="00EB6F88">
        <w:rPr>
          <w:rFonts w:ascii="Times New Roman" w:hAnsi="Times New Roman"/>
          <w:bCs/>
          <w:sz w:val="28"/>
          <w:szCs w:val="28"/>
        </w:rPr>
        <w:t>н</w:t>
      </w:r>
      <w:r w:rsidRPr="00FA4B64">
        <w:rPr>
          <w:rFonts w:ascii="Times New Roman" w:hAnsi="Times New Roman"/>
          <w:bCs/>
          <w:sz w:val="28"/>
          <w:szCs w:val="28"/>
        </w:rPr>
        <w:t xml:space="preserve">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w:t>
      </w:r>
      <w:r>
        <w:rPr>
          <w:rFonts w:ascii="Times New Roman" w:hAnsi="Times New Roman"/>
          <w:bCs/>
          <w:sz w:val="28"/>
          <w:szCs w:val="28"/>
        </w:rPr>
        <w:t xml:space="preserve">ктивности осуществления закупок, и </w:t>
      </w:r>
      <w:r w:rsidRPr="00E03C5F">
        <w:rPr>
          <w:rFonts w:ascii="Times New Roman" w:hAnsi="Times New Roman"/>
          <w:bCs/>
          <w:sz w:val="28"/>
          <w:szCs w:val="28"/>
        </w:rPr>
        <w:t>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w:t>
      </w:r>
      <w:r>
        <w:rPr>
          <w:rFonts w:ascii="Times New Roman" w:hAnsi="Times New Roman"/>
          <w:bCs/>
          <w:sz w:val="28"/>
          <w:szCs w:val="28"/>
        </w:rPr>
        <w:t>треблений в сфере таких закупок.</w:t>
      </w:r>
    </w:p>
    <w:p w:rsidR="0068434D"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FA4B64">
        <w:rPr>
          <w:rFonts w:ascii="Times New Roman" w:hAnsi="Times New Roman"/>
          <w:bCs/>
          <w:sz w:val="28"/>
          <w:szCs w:val="28"/>
        </w:rPr>
        <w:t xml:space="preserve">Контрактная система в сфере закупок </w:t>
      </w:r>
      <w:r>
        <w:rPr>
          <w:rFonts w:ascii="Times New Roman" w:hAnsi="Times New Roman"/>
          <w:bCs/>
          <w:sz w:val="28"/>
          <w:szCs w:val="28"/>
        </w:rPr>
        <w:t xml:space="preserve">– </w:t>
      </w:r>
      <w:r w:rsidRPr="00E03C5F">
        <w:rPr>
          <w:rFonts w:ascii="Times New Roman" w:hAnsi="Times New Roman"/>
          <w:bCs/>
          <w:sz w:val="28"/>
          <w:szCs w:val="28"/>
        </w:rPr>
        <w:t>это совокупность участников и осуществляемых ими действий, последовательно проводимых на стадии планирования закупок товаров, работ, услуг,</w:t>
      </w:r>
      <w:r>
        <w:rPr>
          <w:rFonts w:ascii="Times New Roman" w:hAnsi="Times New Roman"/>
          <w:bCs/>
          <w:sz w:val="28"/>
          <w:szCs w:val="28"/>
        </w:rPr>
        <w:t xml:space="preserve"> о</w:t>
      </w:r>
      <w:r w:rsidRPr="00E03C5F">
        <w:rPr>
          <w:rFonts w:ascii="Times New Roman" w:hAnsi="Times New Roman"/>
          <w:bCs/>
          <w:sz w:val="28"/>
          <w:szCs w:val="28"/>
        </w:rPr>
        <w:t>пределения поставщиков (исполнителей подрядчиков),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Pr>
          <w:rFonts w:ascii="Times New Roman" w:hAnsi="Times New Roman"/>
          <w:bCs/>
          <w:sz w:val="28"/>
          <w:szCs w:val="28"/>
        </w:rPr>
        <w:t xml:space="preserve"> </w:t>
      </w:r>
      <w:r w:rsidRPr="00E03C5F">
        <w:rPr>
          <w:rFonts w:ascii="Times New Roman" w:hAnsi="Times New Roman"/>
          <w:bCs/>
          <w:sz w:val="28"/>
          <w:szCs w:val="28"/>
        </w:rPr>
        <w:t>особенностей исполнения контрактов</w:t>
      </w:r>
      <w:r>
        <w:rPr>
          <w:rFonts w:ascii="Times New Roman" w:hAnsi="Times New Roman"/>
          <w:bCs/>
          <w:sz w:val="28"/>
          <w:szCs w:val="28"/>
        </w:rPr>
        <w:t xml:space="preserve">, </w:t>
      </w:r>
      <w:r w:rsidRPr="00E03C5F">
        <w:rPr>
          <w:rFonts w:ascii="Times New Roman" w:hAnsi="Times New Roman"/>
          <w:bCs/>
          <w:sz w:val="28"/>
          <w:szCs w:val="28"/>
        </w:rPr>
        <w:t>мониторинга закупок товаров, работ, услуг, аудита в сфере закупок товаров, работ, услуг</w:t>
      </w:r>
      <w:r w:rsidRPr="00E03C5F">
        <w:t xml:space="preserve"> </w:t>
      </w:r>
      <w:r w:rsidRPr="00E03C5F">
        <w:rPr>
          <w:rFonts w:ascii="Times New Roman" w:hAnsi="Times New Roman"/>
          <w:bCs/>
          <w:sz w:val="28"/>
          <w:szCs w:val="28"/>
        </w:rPr>
        <w:t>контроля за соблюдением законодательства Р</w:t>
      </w:r>
      <w:r>
        <w:rPr>
          <w:rFonts w:ascii="Times New Roman" w:hAnsi="Times New Roman"/>
          <w:bCs/>
          <w:sz w:val="28"/>
          <w:szCs w:val="28"/>
        </w:rPr>
        <w:t xml:space="preserve">оссийской </w:t>
      </w:r>
      <w:r w:rsidRPr="00E03C5F">
        <w:rPr>
          <w:rFonts w:ascii="Times New Roman" w:hAnsi="Times New Roman"/>
          <w:bCs/>
          <w:sz w:val="28"/>
          <w:szCs w:val="28"/>
        </w:rPr>
        <w:t>Ф</w:t>
      </w:r>
      <w:r>
        <w:rPr>
          <w:rFonts w:ascii="Times New Roman" w:hAnsi="Times New Roman"/>
          <w:bCs/>
          <w:sz w:val="28"/>
          <w:szCs w:val="28"/>
        </w:rPr>
        <w:t>едерации</w:t>
      </w:r>
      <w:r w:rsidRPr="00E03C5F">
        <w:rPr>
          <w:rFonts w:ascii="Times New Roman" w:hAnsi="Times New Roman"/>
          <w:bCs/>
          <w:sz w:val="28"/>
          <w:szCs w:val="28"/>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8434D"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B93511">
        <w:rPr>
          <w:rFonts w:ascii="Times New Roman" w:hAnsi="Times New Roman"/>
          <w:bCs/>
          <w:sz w:val="28"/>
          <w:szCs w:val="28"/>
        </w:rPr>
        <w:t xml:space="preserve">В целях информационного обеспечения </w:t>
      </w:r>
      <w:r>
        <w:rPr>
          <w:rFonts w:ascii="Times New Roman" w:hAnsi="Times New Roman"/>
          <w:bCs/>
          <w:sz w:val="28"/>
          <w:szCs w:val="28"/>
        </w:rPr>
        <w:t>создана</w:t>
      </w:r>
      <w:r w:rsidRPr="00B93511">
        <w:rPr>
          <w:rFonts w:ascii="Times New Roman" w:hAnsi="Times New Roman"/>
          <w:bCs/>
          <w:sz w:val="28"/>
          <w:szCs w:val="28"/>
        </w:rPr>
        <w:t xml:space="preserve"> </w:t>
      </w:r>
      <w:r w:rsidRPr="004F5EF4">
        <w:rPr>
          <w:rFonts w:ascii="Times New Roman" w:hAnsi="Times New Roman"/>
          <w:bCs/>
          <w:sz w:val="28"/>
          <w:szCs w:val="28"/>
        </w:rPr>
        <w:t>единая информационная система в сфере закупок (</w:t>
      </w:r>
      <w:r>
        <w:rPr>
          <w:rFonts w:ascii="Times New Roman" w:hAnsi="Times New Roman"/>
          <w:bCs/>
          <w:sz w:val="28"/>
          <w:szCs w:val="28"/>
        </w:rPr>
        <w:t>ЕИС</w:t>
      </w:r>
      <w:r w:rsidR="00EB6F88">
        <w:rPr>
          <w:rFonts w:ascii="Times New Roman" w:hAnsi="Times New Roman"/>
          <w:bCs/>
          <w:sz w:val="28"/>
          <w:szCs w:val="28"/>
        </w:rPr>
        <w:t>)</w:t>
      </w:r>
      <w:r w:rsidR="005D43C0">
        <w:rPr>
          <w:rFonts w:ascii="Times New Roman" w:hAnsi="Times New Roman"/>
          <w:bCs/>
          <w:sz w:val="28"/>
          <w:szCs w:val="28"/>
        </w:rPr>
        <w:t>,</w:t>
      </w:r>
      <w:r w:rsidRPr="004F5EF4">
        <w:rPr>
          <w:rFonts w:ascii="Times New Roman" w:hAnsi="Times New Roman"/>
          <w:bCs/>
          <w:sz w:val="28"/>
          <w:szCs w:val="28"/>
        </w:rPr>
        <w:t xml:space="preserve"> </w:t>
      </w:r>
      <w:r>
        <w:rPr>
          <w:rFonts w:ascii="Times New Roman" w:hAnsi="Times New Roman"/>
          <w:bCs/>
          <w:sz w:val="28"/>
          <w:szCs w:val="28"/>
        </w:rPr>
        <w:t>представля</w:t>
      </w:r>
      <w:r w:rsidR="00EB6F88">
        <w:rPr>
          <w:rFonts w:ascii="Times New Roman" w:hAnsi="Times New Roman"/>
          <w:bCs/>
          <w:sz w:val="28"/>
          <w:szCs w:val="28"/>
        </w:rPr>
        <w:t>ющая</w:t>
      </w:r>
      <w:r>
        <w:rPr>
          <w:rFonts w:ascii="Times New Roman" w:hAnsi="Times New Roman"/>
          <w:bCs/>
          <w:sz w:val="28"/>
          <w:szCs w:val="28"/>
        </w:rPr>
        <w:t xml:space="preserve"> собой </w:t>
      </w:r>
      <w:r w:rsidRPr="004F5EF4">
        <w:rPr>
          <w:rFonts w:ascii="Times New Roman" w:hAnsi="Times New Roman"/>
          <w:bCs/>
          <w:sz w:val="28"/>
          <w:szCs w:val="28"/>
        </w:rPr>
        <w:t xml:space="preserve">совокупность информации, указанной в </w:t>
      </w:r>
      <w:r>
        <w:rPr>
          <w:rFonts w:ascii="Times New Roman" w:hAnsi="Times New Roman"/>
          <w:bCs/>
          <w:sz w:val="28"/>
          <w:szCs w:val="28"/>
        </w:rPr>
        <w:t>З</w:t>
      </w:r>
      <w:r w:rsidRPr="004F5EF4">
        <w:rPr>
          <w:rFonts w:ascii="Times New Roman" w:hAnsi="Times New Roman"/>
          <w:bCs/>
          <w:sz w:val="28"/>
          <w:szCs w:val="28"/>
        </w:rPr>
        <w:t>акон</w:t>
      </w:r>
      <w:r>
        <w:rPr>
          <w:rFonts w:ascii="Times New Roman" w:hAnsi="Times New Roman"/>
          <w:bCs/>
          <w:sz w:val="28"/>
          <w:szCs w:val="28"/>
        </w:rPr>
        <w:t xml:space="preserve">е </w:t>
      </w:r>
      <w:r w:rsidR="00E720B2">
        <w:rPr>
          <w:rFonts w:ascii="Times New Roman" w:hAnsi="Times New Roman"/>
          <w:bCs/>
          <w:sz w:val="28"/>
          <w:szCs w:val="28"/>
        </w:rPr>
        <w:t>№ </w:t>
      </w:r>
      <w:r>
        <w:rPr>
          <w:rFonts w:ascii="Times New Roman" w:hAnsi="Times New Roman"/>
          <w:bCs/>
          <w:sz w:val="28"/>
          <w:szCs w:val="28"/>
        </w:rPr>
        <w:t>44-ФЗ</w:t>
      </w:r>
      <w:r w:rsidRPr="004F5EF4">
        <w:rPr>
          <w:rFonts w:ascii="Times New Roman" w:hAnsi="Times New Roman"/>
          <w:bCs/>
          <w:sz w:val="28"/>
          <w:szCs w:val="28"/>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в Интернет</w:t>
      </w:r>
      <w:r w:rsidR="00EB6F88">
        <w:rPr>
          <w:rFonts w:ascii="Times New Roman" w:hAnsi="Times New Roman"/>
          <w:bCs/>
          <w:sz w:val="28"/>
          <w:szCs w:val="28"/>
        </w:rPr>
        <w:t>е</w:t>
      </w:r>
      <w:r>
        <w:rPr>
          <w:rFonts w:ascii="Times New Roman" w:hAnsi="Times New Roman"/>
          <w:bCs/>
          <w:sz w:val="28"/>
          <w:szCs w:val="28"/>
        </w:rPr>
        <w:t>.</w:t>
      </w:r>
    </w:p>
    <w:p w:rsidR="0068434D" w:rsidRDefault="0068434D" w:rsidP="004D2C9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ЕИС подлежит размещению</w:t>
      </w:r>
      <w:r w:rsidRPr="0010526B">
        <w:rPr>
          <w:rFonts w:ascii="Times New Roman" w:hAnsi="Times New Roman"/>
          <w:bCs/>
          <w:sz w:val="28"/>
          <w:szCs w:val="28"/>
        </w:rPr>
        <w:t xml:space="preserve"> </w:t>
      </w:r>
      <w:r>
        <w:rPr>
          <w:rFonts w:ascii="Times New Roman" w:hAnsi="Times New Roman"/>
          <w:bCs/>
          <w:sz w:val="28"/>
          <w:szCs w:val="28"/>
        </w:rPr>
        <w:t xml:space="preserve">информация о проведении закупок, начиная от планов закупок и до исполнения контрактов, в том числе извещения о проведении закупки, документация о закупке, протоколы, составленные при осуществлении закупки и т.д., а также </w:t>
      </w:r>
      <w:r w:rsidRPr="0010526B">
        <w:rPr>
          <w:rFonts w:ascii="Times New Roman" w:hAnsi="Times New Roman"/>
          <w:bCs/>
          <w:sz w:val="28"/>
          <w:szCs w:val="28"/>
        </w:rPr>
        <w:t>иные информаци</w:t>
      </w:r>
      <w:r>
        <w:rPr>
          <w:rFonts w:ascii="Times New Roman" w:hAnsi="Times New Roman"/>
          <w:bCs/>
          <w:sz w:val="28"/>
          <w:szCs w:val="28"/>
        </w:rPr>
        <w:t>я</w:t>
      </w:r>
      <w:r w:rsidRPr="0010526B">
        <w:rPr>
          <w:rFonts w:ascii="Times New Roman" w:hAnsi="Times New Roman"/>
          <w:bCs/>
          <w:sz w:val="28"/>
          <w:szCs w:val="28"/>
        </w:rPr>
        <w:t xml:space="preserve"> и документ</w:t>
      </w:r>
      <w:r>
        <w:rPr>
          <w:rFonts w:ascii="Times New Roman" w:hAnsi="Times New Roman"/>
          <w:bCs/>
          <w:sz w:val="28"/>
          <w:szCs w:val="28"/>
        </w:rPr>
        <w:t>ы</w:t>
      </w:r>
      <w:r w:rsidRPr="0010526B">
        <w:rPr>
          <w:rFonts w:ascii="Times New Roman" w:hAnsi="Times New Roman"/>
          <w:bCs/>
          <w:sz w:val="28"/>
          <w:szCs w:val="28"/>
        </w:rPr>
        <w:t xml:space="preserve">, размещение которых в </w:t>
      </w:r>
      <w:r w:rsidR="00EB6F88">
        <w:rPr>
          <w:rFonts w:ascii="Times New Roman" w:hAnsi="Times New Roman"/>
          <w:bCs/>
          <w:sz w:val="28"/>
          <w:szCs w:val="28"/>
        </w:rPr>
        <w:t>ЕИС</w:t>
      </w:r>
      <w:r w:rsidRPr="0010526B">
        <w:rPr>
          <w:rFonts w:ascii="Times New Roman" w:hAnsi="Times New Roman"/>
          <w:bCs/>
          <w:sz w:val="28"/>
          <w:szCs w:val="28"/>
        </w:rPr>
        <w:t xml:space="preserve"> предусмотрено </w:t>
      </w:r>
      <w:r>
        <w:rPr>
          <w:rFonts w:ascii="Times New Roman" w:hAnsi="Times New Roman"/>
          <w:bCs/>
          <w:sz w:val="28"/>
          <w:szCs w:val="28"/>
        </w:rPr>
        <w:t>З</w:t>
      </w:r>
      <w:r w:rsidRPr="0010526B">
        <w:rPr>
          <w:rFonts w:ascii="Times New Roman" w:hAnsi="Times New Roman"/>
          <w:bCs/>
          <w:sz w:val="28"/>
          <w:szCs w:val="28"/>
        </w:rPr>
        <w:t>аконом</w:t>
      </w:r>
      <w:r>
        <w:rPr>
          <w:rFonts w:ascii="Times New Roman" w:hAnsi="Times New Roman"/>
          <w:bCs/>
          <w:sz w:val="28"/>
          <w:szCs w:val="28"/>
        </w:rPr>
        <w:t xml:space="preserve"> </w:t>
      </w:r>
      <w:r w:rsidR="00E720B2">
        <w:rPr>
          <w:rFonts w:ascii="Times New Roman" w:hAnsi="Times New Roman"/>
          <w:bCs/>
          <w:sz w:val="28"/>
          <w:szCs w:val="28"/>
        </w:rPr>
        <w:t>№ </w:t>
      </w:r>
      <w:r>
        <w:rPr>
          <w:rFonts w:ascii="Times New Roman" w:hAnsi="Times New Roman"/>
          <w:bCs/>
          <w:sz w:val="28"/>
          <w:szCs w:val="28"/>
        </w:rPr>
        <w:t>44-ФЗ</w:t>
      </w:r>
      <w:r w:rsidRPr="0010526B">
        <w:rPr>
          <w:rFonts w:ascii="Times New Roman" w:hAnsi="Times New Roman"/>
          <w:bCs/>
          <w:sz w:val="28"/>
          <w:szCs w:val="28"/>
        </w:rPr>
        <w:t xml:space="preserve"> и принятыми в соответствии с ним иными нормативными правовыми актами.</w:t>
      </w:r>
    </w:p>
    <w:p w:rsidR="0068434D"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D75BA9">
        <w:rPr>
          <w:rFonts w:ascii="Times New Roman" w:hAnsi="Times New Roman"/>
          <w:bCs/>
          <w:sz w:val="28"/>
          <w:szCs w:val="28"/>
        </w:rPr>
        <w:t xml:space="preserve">Информация, содержащаяся в </w:t>
      </w:r>
      <w:r>
        <w:rPr>
          <w:rFonts w:ascii="Times New Roman" w:hAnsi="Times New Roman"/>
          <w:bCs/>
          <w:sz w:val="28"/>
          <w:szCs w:val="28"/>
        </w:rPr>
        <w:t>ЕИС</w:t>
      </w:r>
      <w:r w:rsidRPr="00D75BA9">
        <w:rPr>
          <w:rFonts w:ascii="Times New Roman" w:hAnsi="Times New Roman"/>
          <w:bCs/>
          <w:sz w:val="28"/>
          <w:szCs w:val="28"/>
        </w:rPr>
        <w:t xml:space="preserve">, является общедоступной </w:t>
      </w:r>
      <w:r>
        <w:rPr>
          <w:rFonts w:ascii="Times New Roman" w:hAnsi="Times New Roman"/>
          <w:bCs/>
          <w:sz w:val="28"/>
          <w:szCs w:val="28"/>
        </w:rPr>
        <w:t>и предоставляется безвозмездно.</w:t>
      </w:r>
    </w:p>
    <w:p w:rsidR="0068434D" w:rsidRDefault="0068434D" w:rsidP="004D2C9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Контрактной системой в сфере закупок допускается обмен электронными документами, подписываемыми </w:t>
      </w:r>
      <w:r w:rsidRPr="00201C4F">
        <w:rPr>
          <w:rFonts w:ascii="Times New Roman" w:hAnsi="Times New Roman"/>
          <w:bCs/>
          <w:sz w:val="28"/>
          <w:szCs w:val="28"/>
        </w:rPr>
        <w:t>усиленной электронной подписью</w:t>
      </w:r>
      <w:r>
        <w:rPr>
          <w:rFonts w:ascii="Times New Roman" w:hAnsi="Times New Roman"/>
          <w:bCs/>
          <w:sz w:val="28"/>
          <w:szCs w:val="28"/>
        </w:rPr>
        <w:t>,</w:t>
      </w:r>
      <w:r w:rsidRPr="00201C4F">
        <w:rPr>
          <w:rFonts w:ascii="Times New Roman" w:hAnsi="Times New Roman"/>
          <w:bCs/>
          <w:sz w:val="28"/>
          <w:szCs w:val="28"/>
        </w:rPr>
        <w:t xml:space="preserve"> между участниками контрактной системы в сфере закупок, в том числе подача заявок на участие в определении поставщика (подрядчика, исполните</w:t>
      </w:r>
      <w:r>
        <w:rPr>
          <w:rFonts w:ascii="Times New Roman" w:hAnsi="Times New Roman"/>
          <w:bCs/>
          <w:sz w:val="28"/>
          <w:szCs w:val="28"/>
        </w:rPr>
        <w:t>ля), окончательных предложений.</w:t>
      </w:r>
    </w:p>
    <w:p w:rsidR="0068434D"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5F4A81">
        <w:rPr>
          <w:rFonts w:ascii="Times New Roman" w:hAnsi="Times New Roman"/>
          <w:bCs/>
          <w:sz w:val="28"/>
          <w:szCs w:val="28"/>
        </w:rPr>
        <w:t xml:space="preserve">В 2017 году в целях совершенствования механизмов государственных и муниципальных закупок </w:t>
      </w:r>
      <w:r>
        <w:rPr>
          <w:rFonts w:ascii="Times New Roman" w:hAnsi="Times New Roman"/>
          <w:bCs/>
          <w:sz w:val="28"/>
          <w:szCs w:val="28"/>
        </w:rPr>
        <w:t>принят Федеральный закон от 31</w:t>
      </w:r>
      <w:r w:rsidR="007E150F">
        <w:rPr>
          <w:rFonts w:ascii="Times New Roman" w:hAnsi="Times New Roman"/>
          <w:bCs/>
          <w:sz w:val="28"/>
          <w:szCs w:val="28"/>
        </w:rPr>
        <w:t xml:space="preserve"> декабря </w:t>
      </w:r>
      <w:r>
        <w:rPr>
          <w:rFonts w:ascii="Times New Roman" w:hAnsi="Times New Roman"/>
          <w:bCs/>
          <w:sz w:val="28"/>
          <w:szCs w:val="28"/>
        </w:rPr>
        <w:t>2017</w:t>
      </w:r>
      <w:r w:rsidR="007E150F">
        <w:rPr>
          <w:rFonts w:ascii="Times New Roman" w:hAnsi="Times New Roman"/>
          <w:bCs/>
          <w:sz w:val="28"/>
          <w:szCs w:val="28"/>
        </w:rPr>
        <w:t xml:space="preserve"> года</w:t>
      </w:r>
      <w:r>
        <w:rPr>
          <w:rFonts w:ascii="Times New Roman" w:hAnsi="Times New Roman"/>
          <w:bCs/>
          <w:sz w:val="28"/>
          <w:szCs w:val="28"/>
        </w:rPr>
        <w:t xml:space="preserve"> </w:t>
      </w:r>
      <w:r w:rsidR="00E720B2">
        <w:rPr>
          <w:rFonts w:ascii="Times New Roman" w:hAnsi="Times New Roman"/>
          <w:bCs/>
          <w:sz w:val="28"/>
          <w:szCs w:val="28"/>
        </w:rPr>
        <w:t>№ </w:t>
      </w:r>
      <w:r>
        <w:rPr>
          <w:rFonts w:ascii="Times New Roman" w:hAnsi="Times New Roman"/>
          <w:bCs/>
          <w:sz w:val="28"/>
          <w:szCs w:val="28"/>
        </w:rPr>
        <w:t xml:space="preserve">504-ФЗ </w:t>
      </w:r>
      <w:r w:rsidR="004D2C9E">
        <w:rPr>
          <w:rFonts w:ascii="Times New Roman" w:hAnsi="Times New Roman"/>
          <w:bCs/>
          <w:sz w:val="28"/>
          <w:szCs w:val="28"/>
        </w:rPr>
        <w:t>«</w:t>
      </w:r>
      <w:r w:rsidRPr="005F4A81">
        <w:rPr>
          <w:rFonts w:ascii="Times New Roman" w:hAnsi="Times New Roman"/>
          <w:bCs/>
          <w:sz w:val="28"/>
          <w:szCs w:val="28"/>
        </w:rPr>
        <w:t xml:space="preserve">О внесении изменений в Федеральный закон </w:t>
      </w:r>
      <w:r w:rsidR="004D2C9E">
        <w:rPr>
          <w:rFonts w:ascii="Times New Roman" w:hAnsi="Times New Roman"/>
          <w:bCs/>
          <w:sz w:val="28"/>
          <w:szCs w:val="28"/>
        </w:rPr>
        <w:t>«</w:t>
      </w:r>
      <w:r w:rsidRPr="005F4A81">
        <w:rPr>
          <w:rFonts w:ascii="Times New Roman" w:hAnsi="Times New Roman"/>
          <w:bCs/>
          <w:sz w:val="28"/>
          <w:szCs w:val="28"/>
        </w:rPr>
        <w:t>О контрактной системе в сфере закупок товаров, работ, услуг для обеспечения государственных и муниципальных нужд</w:t>
      </w:r>
      <w:r w:rsidR="004D2C9E">
        <w:rPr>
          <w:rFonts w:ascii="Times New Roman" w:hAnsi="Times New Roman"/>
          <w:bCs/>
          <w:sz w:val="28"/>
          <w:szCs w:val="28"/>
        </w:rPr>
        <w:t>»</w:t>
      </w:r>
      <w:r>
        <w:rPr>
          <w:rFonts w:ascii="Times New Roman" w:hAnsi="Times New Roman"/>
          <w:bCs/>
          <w:sz w:val="28"/>
          <w:szCs w:val="28"/>
        </w:rPr>
        <w:t>.</w:t>
      </w:r>
    </w:p>
    <w:p w:rsidR="0068434D" w:rsidRDefault="0068434D" w:rsidP="004D2C9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Указанными изменениями з</w:t>
      </w:r>
      <w:r w:rsidRPr="005F4A81">
        <w:rPr>
          <w:rFonts w:ascii="Times New Roman" w:hAnsi="Times New Roman"/>
          <w:bCs/>
          <w:sz w:val="28"/>
          <w:szCs w:val="28"/>
        </w:rPr>
        <w:t xml:space="preserve">аконодательно </w:t>
      </w:r>
      <w:r>
        <w:rPr>
          <w:rFonts w:ascii="Times New Roman" w:hAnsi="Times New Roman"/>
          <w:bCs/>
          <w:sz w:val="28"/>
          <w:szCs w:val="28"/>
        </w:rPr>
        <w:t>закрепляется</w:t>
      </w:r>
      <w:r w:rsidRPr="005F4A81">
        <w:rPr>
          <w:rFonts w:ascii="Times New Roman" w:hAnsi="Times New Roman"/>
          <w:bCs/>
          <w:sz w:val="28"/>
          <w:szCs w:val="28"/>
        </w:rPr>
        <w:t xml:space="preserve"> понятие </w:t>
      </w:r>
      <w:r w:rsidR="004D2C9E">
        <w:rPr>
          <w:rFonts w:ascii="Times New Roman" w:hAnsi="Times New Roman"/>
          <w:bCs/>
          <w:sz w:val="28"/>
          <w:szCs w:val="28"/>
        </w:rPr>
        <w:t>«</w:t>
      </w:r>
      <w:r w:rsidRPr="005F4A81">
        <w:rPr>
          <w:rFonts w:ascii="Times New Roman" w:hAnsi="Times New Roman"/>
          <w:bCs/>
          <w:sz w:val="28"/>
          <w:szCs w:val="28"/>
        </w:rPr>
        <w:t>электронные процедуры</w:t>
      </w:r>
      <w:r w:rsidR="004D2C9E">
        <w:rPr>
          <w:rFonts w:ascii="Times New Roman" w:hAnsi="Times New Roman"/>
          <w:bCs/>
          <w:sz w:val="28"/>
          <w:szCs w:val="28"/>
        </w:rPr>
        <w:t>»</w:t>
      </w:r>
      <w:r w:rsidRPr="005F4A81">
        <w:rPr>
          <w:rFonts w:ascii="Times New Roman" w:hAnsi="Times New Roman"/>
          <w:bCs/>
          <w:sz w:val="28"/>
          <w:szCs w:val="28"/>
        </w:rPr>
        <w:t xml:space="preserve"> определения поставщиков, </w:t>
      </w:r>
      <w:r>
        <w:rPr>
          <w:rFonts w:ascii="Times New Roman" w:hAnsi="Times New Roman"/>
          <w:bCs/>
          <w:sz w:val="28"/>
          <w:szCs w:val="28"/>
        </w:rPr>
        <w:t>устанавливаются</w:t>
      </w:r>
      <w:r w:rsidRPr="005F4A81">
        <w:rPr>
          <w:rFonts w:ascii="Times New Roman" w:hAnsi="Times New Roman"/>
          <w:bCs/>
          <w:sz w:val="28"/>
          <w:szCs w:val="28"/>
        </w:rPr>
        <w:t xml:space="preserve"> особенности проведения электронных процедур определения поставщиков (подрядчико</w:t>
      </w:r>
      <w:r>
        <w:rPr>
          <w:rFonts w:ascii="Times New Roman" w:hAnsi="Times New Roman"/>
          <w:bCs/>
          <w:sz w:val="28"/>
          <w:szCs w:val="28"/>
        </w:rPr>
        <w:t xml:space="preserve">в, исполнителей), </w:t>
      </w:r>
      <w:r w:rsidRPr="005F4A81">
        <w:rPr>
          <w:rFonts w:ascii="Times New Roman" w:hAnsi="Times New Roman"/>
          <w:bCs/>
          <w:sz w:val="28"/>
          <w:szCs w:val="28"/>
        </w:rPr>
        <w:t>регламентирова</w:t>
      </w:r>
      <w:r>
        <w:rPr>
          <w:rFonts w:ascii="Times New Roman" w:hAnsi="Times New Roman"/>
          <w:bCs/>
          <w:sz w:val="28"/>
          <w:szCs w:val="28"/>
        </w:rPr>
        <w:t>на</w:t>
      </w:r>
      <w:r w:rsidRPr="005F4A81">
        <w:rPr>
          <w:rFonts w:ascii="Times New Roman" w:hAnsi="Times New Roman"/>
          <w:bCs/>
          <w:sz w:val="28"/>
          <w:szCs w:val="28"/>
        </w:rPr>
        <w:t xml:space="preserve"> процедур</w:t>
      </w:r>
      <w:r>
        <w:rPr>
          <w:rFonts w:ascii="Times New Roman" w:hAnsi="Times New Roman"/>
          <w:bCs/>
          <w:sz w:val="28"/>
          <w:szCs w:val="28"/>
        </w:rPr>
        <w:t>а</w:t>
      </w:r>
      <w:r w:rsidRPr="005F4A81">
        <w:rPr>
          <w:rFonts w:ascii="Times New Roman" w:hAnsi="Times New Roman"/>
          <w:bCs/>
          <w:sz w:val="28"/>
          <w:szCs w:val="28"/>
        </w:rPr>
        <w:t xml:space="preserve"> проведения электронного конкурса, а также </w:t>
      </w:r>
      <w:r>
        <w:rPr>
          <w:rFonts w:ascii="Times New Roman" w:hAnsi="Times New Roman"/>
          <w:bCs/>
          <w:sz w:val="28"/>
          <w:szCs w:val="28"/>
        </w:rPr>
        <w:t>уточнены</w:t>
      </w:r>
      <w:r w:rsidRPr="005F4A81">
        <w:rPr>
          <w:rFonts w:ascii="Times New Roman" w:hAnsi="Times New Roman"/>
          <w:bCs/>
          <w:sz w:val="28"/>
          <w:szCs w:val="28"/>
        </w:rPr>
        <w:t xml:space="preserve"> процедуры электронного конкурса с ограниченным участием и электронного двухэтапного конкурса, </w:t>
      </w:r>
      <w:r>
        <w:rPr>
          <w:rFonts w:ascii="Times New Roman" w:hAnsi="Times New Roman"/>
          <w:bCs/>
          <w:sz w:val="28"/>
          <w:szCs w:val="28"/>
        </w:rPr>
        <w:t>упрощены</w:t>
      </w:r>
      <w:r w:rsidRPr="005F4A81">
        <w:rPr>
          <w:rFonts w:ascii="Times New Roman" w:hAnsi="Times New Roman"/>
          <w:bCs/>
          <w:sz w:val="28"/>
          <w:szCs w:val="28"/>
        </w:rPr>
        <w:t xml:space="preserve"> процедуры запроса котировок и запроса предложений в электронной форме.</w:t>
      </w:r>
      <w:r w:rsidRPr="00E324F4">
        <w:rPr>
          <w:rFonts w:ascii="Times New Roman" w:hAnsi="Times New Roman"/>
          <w:bCs/>
          <w:sz w:val="28"/>
          <w:szCs w:val="28"/>
        </w:rPr>
        <w:t xml:space="preserve"> </w:t>
      </w:r>
    </w:p>
    <w:p w:rsidR="0068434D" w:rsidRPr="005F4A81" w:rsidRDefault="0068434D" w:rsidP="004D2C9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 </w:t>
      </w:r>
      <w:r w:rsidRPr="00E324F4">
        <w:rPr>
          <w:rFonts w:ascii="Times New Roman" w:hAnsi="Times New Roman"/>
          <w:bCs/>
          <w:sz w:val="28"/>
          <w:szCs w:val="28"/>
        </w:rPr>
        <w:t>1</w:t>
      </w:r>
      <w:r w:rsidR="007E150F">
        <w:rPr>
          <w:rFonts w:ascii="Times New Roman" w:hAnsi="Times New Roman"/>
          <w:bCs/>
          <w:sz w:val="28"/>
          <w:szCs w:val="28"/>
        </w:rPr>
        <w:t xml:space="preserve"> января </w:t>
      </w:r>
      <w:r w:rsidRPr="00E324F4">
        <w:rPr>
          <w:rFonts w:ascii="Times New Roman" w:hAnsi="Times New Roman"/>
          <w:bCs/>
          <w:sz w:val="28"/>
          <w:szCs w:val="28"/>
        </w:rPr>
        <w:t>2019</w:t>
      </w:r>
      <w:r w:rsidR="007E150F">
        <w:rPr>
          <w:rFonts w:ascii="Times New Roman" w:hAnsi="Times New Roman"/>
          <w:bCs/>
          <w:sz w:val="28"/>
          <w:szCs w:val="28"/>
        </w:rPr>
        <w:t xml:space="preserve"> года</w:t>
      </w:r>
      <w:r w:rsidRPr="00E324F4">
        <w:rPr>
          <w:rFonts w:ascii="Times New Roman" w:hAnsi="Times New Roman"/>
          <w:bCs/>
          <w:sz w:val="28"/>
          <w:szCs w:val="28"/>
        </w:rPr>
        <w:t xml:space="preserve"> </w:t>
      </w:r>
      <w:r>
        <w:rPr>
          <w:rFonts w:ascii="Times New Roman" w:hAnsi="Times New Roman"/>
          <w:bCs/>
          <w:sz w:val="28"/>
          <w:szCs w:val="28"/>
        </w:rPr>
        <w:t>п</w:t>
      </w:r>
      <w:r w:rsidRPr="005F4A81">
        <w:rPr>
          <w:rFonts w:ascii="Times New Roman" w:hAnsi="Times New Roman"/>
          <w:bCs/>
          <w:sz w:val="28"/>
          <w:szCs w:val="28"/>
        </w:rPr>
        <w:t xml:space="preserve">роведение всех конкурентных закупок </w:t>
      </w:r>
      <w:r>
        <w:rPr>
          <w:rFonts w:ascii="Times New Roman" w:hAnsi="Times New Roman"/>
          <w:bCs/>
          <w:sz w:val="28"/>
          <w:szCs w:val="28"/>
        </w:rPr>
        <w:t xml:space="preserve">будет осуществляться </w:t>
      </w:r>
      <w:r w:rsidRPr="005F4A81">
        <w:rPr>
          <w:rFonts w:ascii="Times New Roman" w:hAnsi="Times New Roman"/>
          <w:bCs/>
          <w:sz w:val="28"/>
          <w:szCs w:val="28"/>
        </w:rPr>
        <w:t>в электронной форме на универсальных электронных площадках</w:t>
      </w:r>
      <w:r>
        <w:rPr>
          <w:rFonts w:ascii="Times New Roman" w:hAnsi="Times New Roman"/>
          <w:bCs/>
          <w:sz w:val="28"/>
          <w:szCs w:val="28"/>
        </w:rPr>
        <w:t>.</w:t>
      </w:r>
    </w:p>
    <w:p w:rsidR="0068434D" w:rsidRPr="005F4A81" w:rsidRDefault="0068434D" w:rsidP="004D2C9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Указанные изменения</w:t>
      </w:r>
      <w:r w:rsidRPr="005F4A81">
        <w:rPr>
          <w:rFonts w:ascii="Times New Roman" w:hAnsi="Times New Roman"/>
          <w:bCs/>
          <w:sz w:val="28"/>
          <w:szCs w:val="28"/>
        </w:rPr>
        <w:t xml:space="preserve"> позвол</w:t>
      </w:r>
      <w:r>
        <w:rPr>
          <w:rFonts w:ascii="Times New Roman" w:hAnsi="Times New Roman"/>
          <w:bCs/>
          <w:sz w:val="28"/>
          <w:szCs w:val="28"/>
        </w:rPr>
        <w:t>я</w:t>
      </w:r>
      <w:r w:rsidRPr="005F4A81">
        <w:rPr>
          <w:rFonts w:ascii="Times New Roman" w:hAnsi="Times New Roman"/>
          <w:bCs/>
          <w:sz w:val="28"/>
          <w:szCs w:val="28"/>
        </w:rPr>
        <w:t xml:space="preserve">т повысить анонимность подачи заявок участниками закупок и их рассмотрения заказчиками, исключить из сферы закупок, регулируемых Законом </w:t>
      </w:r>
      <w:r w:rsidR="00E720B2">
        <w:rPr>
          <w:rFonts w:ascii="Times New Roman" w:hAnsi="Times New Roman"/>
          <w:bCs/>
          <w:sz w:val="28"/>
          <w:szCs w:val="28"/>
        </w:rPr>
        <w:t>№ </w:t>
      </w:r>
      <w:r w:rsidRPr="005F4A81">
        <w:rPr>
          <w:rFonts w:ascii="Times New Roman" w:hAnsi="Times New Roman"/>
          <w:bCs/>
          <w:sz w:val="28"/>
          <w:szCs w:val="28"/>
        </w:rPr>
        <w:t xml:space="preserve">44-ФЗ, в том числе возможность привлечения заказчиком к процедуре </w:t>
      </w:r>
      <w:r w:rsidR="004D2C9E">
        <w:rPr>
          <w:rFonts w:ascii="Times New Roman" w:hAnsi="Times New Roman"/>
          <w:bCs/>
          <w:sz w:val="28"/>
          <w:szCs w:val="28"/>
        </w:rPr>
        <w:t>«</w:t>
      </w:r>
      <w:r w:rsidRPr="005F4A81">
        <w:rPr>
          <w:rFonts w:ascii="Times New Roman" w:hAnsi="Times New Roman"/>
          <w:bCs/>
          <w:sz w:val="28"/>
          <w:szCs w:val="28"/>
        </w:rPr>
        <w:t>своих</w:t>
      </w:r>
      <w:r w:rsidR="004D2C9E">
        <w:rPr>
          <w:rFonts w:ascii="Times New Roman" w:hAnsi="Times New Roman"/>
          <w:bCs/>
          <w:sz w:val="28"/>
          <w:szCs w:val="28"/>
        </w:rPr>
        <w:t>»</w:t>
      </w:r>
      <w:r w:rsidRPr="005F4A81">
        <w:rPr>
          <w:rFonts w:ascii="Times New Roman" w:hAnsi="Times New Roman"/>
          <w:bCs/>
          <w:sz w:val="28"/>
          <w:szCs w:val="28"/>
        </w:rPr>
        <w:t xml:space="preserve"> поставщиков (подрядчиков, исполнителей), что может способствовать снижению коррупционных рисков, а также рисков сговора между участниками закупок, что в итоге приведет к увеличению эффективности осуществляемых закупок.</w:t>
      </w:r>
    </w:p>
    <w:p w:rsidR="0068434D" w:rsidRDefault="0068434D" w:rsidP="00961BCD">
      <w:pPr>
        <w:autoSpaceDE w:val="0"/>
        <w:autoSpaceDN w:val="0"/>
        <w:adjustRightInd w:val="0"/>
        <w:spacing w:after="0" w:line="315" w:lineRule="exact"/>
        <w:ind w:firstLine="709"/>
        <w:jc w:val="both"/>
        <w:rPr>
          <w:rFonts w:ascii="Times New Roman" w:hAnsi="Times New Roman"/>
          <w:bCs/>
          <w:sz w:val="28"/>
          <w:szCs w:val="28"/>
        </w:rPr>
      </w:pPr>
      <w:r>
        <w:rPr>
          <w:rFonts w:ascii="Times New Roman" w:hAnsi="Times New Roman"/>
          <w:bCs/>
          <w:sz w:val="28"/>
          <w:szCs w:val="28"/>
        </w:rPr>
        <w:t>При этом</w:t>
      </w:r>
      <w:r w:rsidRPr="005F4A81">
        <w:rPr>
          <w:rFonts w:ascii="Times New Roman" w:hAnsi="Times New Roman"/>
          <w:bCs/>
          <w:sz w:val="28"/>
          <w:szCs w:val="28"/>
        </w:rPr>
        <w:t xml:space="preserve"> </w:t>
      </w:r>
      <w:r>
        <w:rPr>
          <w:rFonts w:ascii="Times New Roman" w:hAnsi="Times New Roman"/>
          <w:bCs/>
          <w:sz w:val="28"/>
          <w:szCs w:val="28"/>
        </w:rPr>
        <w:t>в</w:t>
      </w:r>
      <w:r w:rsidRPr="005F4A81">
        <w:rPr>
          <w:rFonts w:ascii="Times New Roman" w:hAnsi="Times New Roman"/>
          <w:bCs/>
          <w:sz w:val="28"/>
          <w:szCs w:val="28"/>
        </w:rPr>
        <w:t xml:space="preserve"> целях снижения барьеров по участию бизнеса в закупках </w:t>
      </w:r>
      <w:r>
        <w:rPr>
          <w:rFonts w:ascii="Times New Roman" w:hAnsi="Times New Roman"/>
          <w:bCs/>
          <w:sz w:val="28"/>
          <w:szCs w:val="28"/>
        </w:rPr>
        <w:t xml:space="preserve">продолжается работа по совершенствованию законодательства о контрактной системе в части </w:t>
      </w:r>
      <w:r w:rsidRPr="005F4A81">
        <w:rPr>
          <w:rFonts w:ascii="Times New Roman" w:hAnsi="Times New Roman"/>
          <w:bCs/>
          <w:sz w:val="28"/>
          <w:szCs w:val="28"/>
        </w:rPr>
        <w:t>перевод</w:t>
      </w:r>
      <w:r>
        <w:rPr>
          <w:rFonts w:ascii="Times New Roman" w:hAnsi="Times New Roman"/>
          <w:bCs/>
          <w:sz w:val="28"/>
          <w:szCs w:val="28"/>
        </w:rPr>
        <w:t>а</w:t>
      </w:r>
      <w:r w:rsidRPr="005F4A81">
        <w:rPr>
          <w:rFonts w:ascii="Times New Roman" w:hAnsi="Times New Roman"/>
          <w:bCs/>
          <w:sz w:val="28"/>
          <w:szCs w:val="28"/>
        </w:rPr>
        <w:t xml:space="preserve"> закупок в электронную форму</w:t>
      </w:r>
      <w:r w:rsidR="00EB6F88">
        <w:rPr>
          <w:rFonts w:ascii="Times New Roman" w:hAnsi="Times New Roman"/>
          <w:bCs/>
          <w:sz w:val="28"/>
          <w:szCs w:val="28"/>
        </w:rPr>
        <w:t>,</w:t>
      </w:r>
      <w:r w:rsidRPr="005F4A81">
        <w:rPr>
          <w:rFonts w:ascii="Times New Roman" w:hAnsi="Times New Roman"/>
          <w:bCs/>
          <w:sz w:val="28"/>
          <w:szCs w:val="28"/>
        </w:rPr>
        <w:t xml:space="preserve"> в том числе </w:t>
      </w:r>
      <w:r>
        <w:rPr>
          <w:rFonts w:ascii="Times New Roman" w:hAnsi="Times New Roman"/>
          <w:bCs/>
          <w:sz w:val="28"/>
          <w:szCs w:val="28"/>
        </w:rPr>
        <w:t>путем</w:t>
      </w:r>
      <w:r w:rsidRPr="005F4A81">
        <w:rPr>
          <w:rFonts w:ascii="Times New Roman" w:hAnsi="Times New Roman"/>
          <w:bCs/>
          <w:sz w:val="28"/>
          <w:szCs w:val="28"/>
        </w:rPr>
        <w:t xml:space="preserve"> упрощения участия в закупках </w:t>
      </w:r>
      <w:r>
        <w:rPr>
          <w:rFonts w:ascii="Times New Roman" w:hAnsi="Times New Roman"/>
          <w:bCs/>
          <w:sz w:val="28"/>
          <w:szCs w:val="28"/>
        </w:rPr>
        <w:t>посредством</w:t>
      </w:r>
      <w:r w:rsidRPr="005F4A81">
        <w:rPr>
          <w:rFonts w:ascii="Times New Roman" w:hAnsi="Times New Roman"/>
          <w:bCs/>
          <w:sz w:val="28"/>
          <w:szCs w:val="28"/>
        </w:rPr>
        <w:t xml:space="preserve"> обмена электронными документами, электронного взаимодействия с государственными базами данных различного уровня, а также упрощения подачи заявок на участие в закупках посредством совершенствования программно-аппаратного комплекса электронных площадок (внедрение систем блокчейн, смарт-контракт и др.).</w:t>
      </w:r>
    </w:p>
    <w:p w:rsidR="0068434D" w:rsidRPr="004D2C9E" w:rsidRDefault="0068434D" w:rsidP="00961BCD">
      <w:pPr>
        <w:pStyle w:val="7"/>
        <w:autoSpaceDE w:val="0"/>
        <w:autoSpaceDN w:val="0"/>
        <w:adjustRightInd w:val="0"/>
        <w:spacing w:line="315" w:lineRule="exact"/>
        <w:rPr>
          <w:bCs/>
        </w:rPr>
      </w:pPr>
      <w:r w:rsidRPr="004D2C9E">
        <w:rPr>
          <w:bCs/>
        </w:rPr>
        <w:t>Система з</w:t>
      </w:r>
      <w:r w:rsidR="007E150F" w:rsidRPr="004D2C9E">
        <w:rPr>
          <w:bCs/>
        </w:rPr>
        <w:t>акупок государственных компаний</w:t>
      </w:r>
    </w:p>
    <w:p w:rsidR="0068434D" w:rsidRPr="00E324F4"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E324F4">
        <w:rPr>
          <w:rFonts w:ascii="Times New Roman" w:hAnsi="Times New Roman"/>
          <w:bCs/>
          <w:sz w:val="28"/>
          <w:szCs w:val="28"/>
        </w:rPr>
        <w:t>Поддержка добросовестной конкуренции является необходимым условием развития рыночной экономики и осуществления предпринимательской деятельности. Принцип защиты и поддержки добросовестной конкуренции, провозглашенный в Конституции Российской Федерации, закрепл</w:t>
      </w:r>
      <w:r w:rsidR="00434522">
        <w:rPr>
          <w:rFonts w:ascii="Times New Roman" w:hAnsi="Times New Roman"/>
          <w:bCs/>
          <w:sz w:val="28"/>
          <w:szCs w:val="28"/>
        </w:rPr>
        <w:t>е</w:t>
      </w:r>
      <w:r w:rsidRPr="00E324F4">
        <w:rPr>
          <w:rFonts w:ascii="Times New Roman" w:hAnsi="Times New Roman"/>
          <w:bCs/>
          <w:sz w:val="28"/>
          <w:szCs w:val="28"/>
        </w:rPr>
        <w:t>н в частности в Федеральном законе от 18</w:t>
      </w:r>
      <w:r w:rsidR="007E150F">
        <w:rPr>
          <w:rFonts w:ascii="Times New Roman" w:hAnsi="Times New Roman"/>
          <w:bCs/>
          <w:sz w:val="28"/>
          <w:szCs w:val="28"/>
        </w:rPr>
        <w:t xml:space="preserve"> июля </w:t>
      </w:r>
      <w:r w:rsidRPr="00E324F4">
        <w:rPr>
          <w:rFonts w:ascii="Times New Roman" w:hAnsi="Times New Roman"/>
          <w:bCs/>
          <w:sz w:val="28"/>
          <w:szCs w:val="28"/>
        </w:rPr>
        <w:t>2011</w:t>
      </w:r>
      <w:r w:rsidR="007E150F">
        <w:rPr>
          <w:rFonts w:ascii="Times New Roman" w:hAnsi="Times New Roman"/>
          <w:bCs/>
          <w:sz w:val="28"/>
          <w:szCs w:val="28"/>
        </w:rPr>
        <w:t xml:space="preserve"> года</w:t>
      </w:r>
      <w:r w:rsidRPr="00E324F4">
        <w:rPr>
          <w:rFonts w:ascii="Times New Roman" w:hAnsi="Times New Roman"/>
          <w:bCs/>
          <w:sz w:val="28"/>
          <w:szCs w:val="28"/>
        </w:rPr>
        <w:t xml:space="preserve"> </w:t>
      </w:r>
      <w:r w:rsidR="00E720B2">
        <w:rPr>
          <w:rFonts w:ascii="Times New Roman" w:hAnsi="Times New Roman"/>
          <w:bCs/>
          <w:sz w:val="28"/>
          <w:szCs w:val="28"/>
        </w:rPr>
        <w:t>№ </w:t>
      </w:r>
      <w:r w:rsidRPr="00E324F4">
        <w:rPr>
          <w:rFonts w:ascii="Times New Roman" w:hAnsi="Times New Roman"/>
          <w:bCs/>
          <w:sz w:val="28"/>
          <w:szCs w:val="28"/>
        </w:rPr>
        <w:t xml:space="preserve">223-ФЗ </w:t>
      </w:r>
      <w:r w:rsidR="004D2C9E">
        <w:rPr>
          <w:rFonts w:ascii="Times New Roman" w:hAnsi="Times New Roman"/>
          <w:bCs/>
          <w:sz w:val="28"/>
          <w:szCs w:val="28"/>
        </w:rPr>
        <w:t>«</w:t>
      </w:r>
      <w:r w:rsidRPr="00E324F4">
        <w:rPr>
          <w:rFonts w:ascii="Times New Roman" w:hAnsi="Times New Roman"/>
          <w:bCs/>
          <w:sz w:val="28"/>
          <w:szCs w:val="28"/>
        </w:rPr>
        <w:t>О закупках товаров, работ, услуг отдельными видами юридических лиц</w:t>
      </w:r>
      <w:r w:rsidR="004D2C9E">
        <w:rPr>
          <w:rFonts w:ascii="Times New Roman" w:hAnsi="Times New Roman"/>
          <w:bCs/>
          <w:sz w:val="28"/>
          <w:szCs w:val="28"/>
        </w:rPr>
        <w:t>»</w:t>
      </w:r>
      <w:r w:rsidRPr="00E324F4">
        <w:rPr>
          <w:rFonts w:ascii="Times New Roman" w:hAnsi="Times New Roman"/>
          <w:bCs/>
          <w:sz w:val="28"/>
          <w:szCs w:val="28"/>
        </w:rPr>
        <w:t xml:space="preserve"> (далее – Закон </w:t>
      </w:r>
      <w:r w:rsidR="00E720B2">
        <w:rPr>
          <w:rFonts w:ascii="Times New Roman" w:hAnsi="Times New Roman"/>
          <w:bCs/>
          <w:sz w:val="28"/>
          <w:szCs w:val="28"/>
        </w:rPr>
        <w:t>№ </w:t>
      </w:r>
      <w:r w:rsidRPr="00E324F4">
        <w:rPr>
          <w:rFonts w:ascii="Times New Roman" w:hAnsi="Times New Roman"/>
          <w:bCs/>
          <w:sz w:val="28"/>
          <w:szCs w:val="28"/>
        </w:rPr>
        <w:t>223-ФЗ).</w:t>
      </w:r>
    </w:p>
    <w:p w:rsidR="0068434D" w:rsidRPr="00E324F4"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E324F4">
        <w:rPr>
          <w:rFonts w:ascii="Times New Roman" w:hAnsi="Times New Roman"/>
          <w:bCs/>
          <w:sz w:val="28"/>
          <w:szCs w:val="28"/>
        </w:rPr>
        <w:t>Одн</w:t>
      </w:r>
      <w:r w:rsidR="00434522">
        <w:rPr>
          <w:rFonts w:ascii="Times New Roman" w:hAnsi="Times New Roman"/>
          <w:bCs/>
          <w:sz w:val="28"/>
          <w:szCs w:val="28"/>
        </w:rPr>
        <w:t>ой</w:t>
      </w:r>
      <w:r w:rsidRPr="00E324F4">
        <w:rPr>
          <w:rFonts w:ascii="Times New Roman" w:hAnsi="Times New Roman"/>
          <w:bCs/>
          <w:sz w:val="28"/>
          <w:szCs w:val="28"/>
        </w:rPr>
        <w:t xml:space="preserve"> из основных мер Закона </w:t>
      </w:r>
      <w:r w:rsidR="00E720B2">
        <w:rPr>
          <w:rFonts w:ascii="Times New Roman" w:hAnsi="Times New Roman"/>
          <w:bCs/>
          <w:sz w:val="28"/>
          <w:szCs w:val="28"/>
        </w:rPr>
        <w:t>№ </w:t>
      </w:r>
      <w:r w:rsidRPr="00E324F4">
        <w:rPr>
          <w:rFonts w:ascii="Times New Roman" w:hAnsi="Times New Roman"/>
          <w:bCs/>
          <w:sz w:val="28"/>
          <w:szCs w:val="28"/>
        </w:rPr>
        <w:t>223-ФЗ, направленных на увеличение числа конкурентоспособных х</w:t>
      </w:r>
      <w:r w:rsidR="00EB6F88">
        <w:rPr>
          <w:rFonts w:ascii="Times New Roman" w:hAnsi="Times New Roman"/>
          <w:bCs/>
          <w:sz w:val="28"/>
          <w:szCs w:val="28"/>
        </w:rPr>
        <w:t>озяйствующих субъектов, выступаю</w:t>
      </w:r>
      <w:r w:rsidRPr="00E324F4">
        <w:rPr>
          <w:rFonts w:ascii="Times New Roman" w:hAnsi="Times New Roman"/>
          <w:bCs/>
          <w:sz w:val="28"/>
          <w:szCs w:val="28"/>
        </w:rPr>
        <w:t>т прозрачность и открытость проводимых компаниями с государственным участием закупок товаров, работ, услуг.</w:t>
      </w:r>
    </w:p>
    <w:p w:rsidR="0068434D" w:rsidRPr="00E324F4"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E324F4">
        <w:rPr>
          <w:rFonts w:ascii="Times New Roman" w:hAnsi="Times New Roman"/>
          <w:bCs/>
          <w:sz w:val="28"/>
          <w:szCs w:val="28"/>
        </w:rPr>
        <w:t xml:space="preserve">Отсутствие минимальных единых требований к составу и содержанию положений о закупке заказчиков, подведомственных одному учредителю, либо заказчиков, осуществляющих хозяйственную деятельность на одних товарных рынках, позволяет заказчиками формировать закупочную практику на основе положений о закупке, которые носят </w:t>
      </w:r>
      <w:r w:rsidR="004D2C9E">
        <w:rPr>
          <w:rFonts w:ascii="Times New Roman" w:hAnsi="Times New Roman"/>
          <w:bCs/>
          <w:sz w:val="28"/>
          <w:szCs w:val="28"/>
        </w:rPr>
        <w:t>«</w:t>
      </w:r>
      <w:r w:rsidRPr="00E324F4">
        <w:rPr>
          <w:rFonts w:ascii="Times New Roman" w:hAnsi="Times New Roman"/>
          <w:bCs/>
          <w:sz w:val="28"/>
          <w:szCs w:val="28"/>
        </w:rPr>
        <w:t>рамочный</w:t>
      </w:r>
      <w:r w:rsidR="004D2C9E">
        <w:rPr>
          <w:rFonts w:ascii="Times New Roman" w:hAnsi="Times New Roman"/>
          <w:bCs/>
          <w:sz w:val="28"/>
          <w:szCs w:val="28"/>
        </w:rPr>
        <w:t>»</w:t>
      </w:r>
      <w:r w:rsidRPr="00E324F4">
        <w:rPr>
          <w:rFonts w:ascii="Times New Roman" w:hAnsi="Times New Roman"/>
          <w:bCs/>
          <w:sz w:val="28"/>
          <w:szCs w:val="28"/>
        </w:rPr>
        <w:t xml:space="preserve"> характер (в таких положениях, как правило, отсутствует прозрачный механизм выбора способа закупки, правила формирования требований к участникам закупки, закупаемым товарам, работам, услугам, механизмы, направленные на развитие добросовестной конкуренции, предотвращение коррупции и конфликта интересов при проведении закупочной деятельности).</w:t>
      </w:r>
    </w:p>
    <w:p w:rsidR="0068434D" w:rsidRPr="00E324F4" w:rsidRDefault="00EB6F88" w:rsidP="00961BCD">
      <w:pPr>
        <w:autoSpaceDE w:val="0"/>
        <w:autoSpaceDN w:val="0"/>
        <w:adjustRightInd w:val="0"/>
        <w:spacing w:after="0" w:line="315" w:lineRule="exact"/>
        <w:ind w:firstLine="709"/>
        <w:jc w:val="both"/>
        <w:rPr>
          <w:rFonts w:ascii="Times New Roman" w:hAnsi="Times New Roman"/>
          <w:bCs/>
          <w:sz w:val="28"/>
          <w:szCs w:val="28"/>
        </w:rPr>
      </w:pPr>
      <w:r>
        <w:rPr>
          <w:rFonts w:ascii="Times New Roman" w:hAnsi="Times New Roman"/>
          <w:bCs/>
          <w:sz w:val="28"/>
          <w:szCs w:val="28"/>
        </w:rPr>
        <w:t>Данные</w:t>
      </w:r>
      <w:r w:rsidR="0068434D" w:rsidRPr="00E324F4">
        <w:rPr>
          <w:rFonts w:ascii="Times New Roman" w:hAnsi="Times New Roman"/>
          <w:bCs/>
          <w:sz w:val="28"/>
          <w:szCs w:val="28"/>
        </w:rPr>
        <w:t xml:space="preserve"> обстоятельства препятствуют администрированию закупочной деятельности заказчиков, доступности для потребителей реализуемых заказчиками товаров, работ, услуг по экономических обоснованным ценам (тарифам), эффективного функционирования заказчиков.</w:t>
      </w:r>
    </w:p>
    <w:p w:rsidR="0068434D" w:rsidRPr="00E324F4"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E324F4">
        <w:rPr>
          <w:rFonts w:ascii="Times New Roman" w:hAnsi="Times New Roman"/>
          <w:bCs/>
          <w:sz w:val="28"/>
          <w:szCs w:val="28"/>
        </w:rPr>
        <w:t xml:space="preserve">В настоящее время создаются условия для доступа к участию в закупках компаний государственного сектора, обеспечению прозрачности закупочной деятельности заказчиков, особенно в отношении участия в таких закупках субъектов </w:t>
      </w:r>
      <w:r w:rsidR="00EB6F88" w:rsidRPr="00EB6F88">
        <w:rPr>
          <w:rFonts w:ascii="Times New Roman" w:hAnsi="Times New Roman"/>
          <w:bCs/>
          <w:sz w:val="28"/>
          <w:szCs w:val="28"/>
        </w:rPr>
        <w:t>малого и среднего предпринимательства</w:t>
      </w:r>
      <w:r w:rsidR="005D43C0">
        <w:rPr>
          <w:rFonts w:ascii="Times New Roman" w:hAnsi="Times New Roman"/>
          <w:bCs/>
          <w:sz w:val="28"/>
          <w:szCs w:val="28"/>
        </w:rPr>
        <w:t>. При этом</w:t>
      </w:r>
      <w:r w:rsidRPr="00E324F4">
        <w:rPr>
          <w:rFonts w:ascii="Times New Roman" w:hAnsi="Times New Roman"/>
          <w:bCs/>
          <w:sz w:val="28"/>
          <w:szCs w:val="28"/>
        </w:rPr>
        <w:t xml:space="preserve"> еще на стадии подготовки к участию в закупках зачастую субъекты </w:t>
      </w:r>
      <w:r w:rsidR="00EB6F88" w:rsidRPr="00EB6F88">
        <w:rPr>
          <w:rFonts w:ascii="Times New Roman" w:hAnsi="Times New Roman"/>
          <w:bCs/>
          <w:sz w:val="28"/>
          <w:szCs w:val="28"/>
        </w:rPr>
        <w:t>малого и среднего предпринимательства</w:t>
      </w:r>
      <w:r w:rsidRPr="00E324F4">
        <w:rPr>
          <w:rFonts w:ascii="Times New Roman" w:hAnsi="Times New Roman"/>
          <w:bCs/>
          <w:sz w:val="28"/>
          <w:szCs w:val="28"/>
        </w:rPr>
        <w:t xml:space="preserve"> сталкиваются со значительным количеством барьеров, ограничивающих возможность принять участие в закупках.</w:t>
      </w:r>
    </w:p>
    <w:p w:rsidR="0068434D" w:rsidRPr="00E324F4"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E324F4">
        <w:rPr>
          <w:rFonts w:ascii="Times New Roman" w:hAnsi="Times New Roman"/>
          <w:bCs/>
          <w:sz w:val="28"/>
          <w:szCs w:val="28"/>
        </w:rPr>
        <w:t xml:space="preserve">Кроме того, основной проблемой осуществления закупок отдельными видами юридических лиц является низкая конкурентность. </w:t>
      </w:r>
    </w:p>
    <w:p w:rsidR="0068434D" w:rsidRPr="00E324F4"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E324F4">
        <w:rPr>
          <w:rFonts w:ascii="Times New Roman" w:hAnsi="Times New Roman"/>
          <w:bCs/>
          <w:sz w:val="28"/>
          <w:szCs w:val="28"/>
        </w:rPr>
        <w:t>Только 5</w:t>
      </w:r>
      <w:r w:rsidR="005D43C0">
        <w:rPr>
          <w:rFonts w:ascii="Times New Roman" w:hAnsi="Times New Roman"/>
          <w:bCs/>
          <w:sz w:val="28"/>
          <w:szCs w:val="28"/>
        </w:rPr>
        <w:t> </w:t>
      </w:r>
      <w:r w:rsidR="004D2C9E">
        <w:rPr>
          <w:rFonts w:ascii="Times New Roman" w:hAnsi="Times New Roman"/>
          <w:bCs/>
          <w:sz w:val="28"/>
          <w:szCs w:val="28"/>
        </w:rPr>
        <w:t>%</w:t>
      </w:r>
      <w:r w:rsidR="00EB6F88">
        <w:rPr>
          <w:rFonts w:ascii="Times New Roman" w:hAnsi="Times New Roman"/>
          <w:bCs/>
          <w:sz w:val="28"/>
          <w:szCs w:val="28"/>
        </w:rPr>
        <w:t xml:space="preserve"> закупок осуществляю</w:t>
      </w:r>
      <w:r w:rsidRPr="00E324F4">
        <w:rPr>
          <w:rFonts w:ascii="Times New Roman" w:hAnsi="Times New Roman"/>
          <w:bCs/>
          <w:sz w:val="28"/>
          <w:szCs w:val="28"/>
        </w:rPr>
        <w:t>тся путем проведения конкурсов и аукционов в соответствии с гражданским законодательством. Закупки у единственного поставщика составляют более 36</w:t>
      </w:r>
      <w:r w:rsidR="004D2C9E">
        <w:rPr>
          <w:rFonts w:ascii="Times New Roman" w:hAnsi="Times New Roman"/>
          <w:bCs/>
          <w:sz w:val="28"/>
          <w:szCs w:val="28"/>
        </w:rPr>
        <w:t> %</w:t>
      </w:r>
      <w:r w:rsidRPr="00E324F4">
        <w:rPr>
          <w:rFonts w:ascii="Times New Roman" w:hAnsi="Times New Roman"/>
          <w:bCs/>
          <w:sz w:val="28"/>
          <w:szCs w:val="28"/>
        </w:rPr>
        <w:t xml:space="preserve">, а закупки с применением </w:t>
      </w:r>
      <w:r w:rsidR="004D2C9E">
        <w:rPr>
          <w:rFonts w:ascii="Times New Roman" w:hAnsi="Times New Roman"/>
          <w:bCs/>
          <w:sz w:val="28"/>
          <w:szCs w:val="28"/>
        </w:rPr>
        <w:t>«</w:t>
      </w:r>
      <w:r w:rsidRPr="00E324F4">
        <w:rPr>
          <w:rFonts w:ascii="Times New Roman" w:hAnsi="Times New Roman"/>
          <w:bCs/>
          <w:sz w:val="28"/>
          <w:szCs w:val="28"/>
        </w:rPr>
        <w:t>иных способов</w:t>
      </w:r>
      <w:r w:rsidR="004D2C9E">
        <w:rPr>
          <w:rFonts w:ascii="Times New Roman" w:hAnsi="Times New Roman"/>
          <w:bCs/>
          <w:sz w:val="28"/>
          <w:szCs w:val="28"/>
        </w:rPr>
        <w:t>»</w:t>
      </w:r>
      <w:r w:rsidR="00EB6F88">
        <w:rPr>
          <w:rFonts w:ascii="Times New Roman" w:hAnsi="Times New Roman"/>
          <w:bCs/>
          <w:sz w:val="28"/>
          <w:szCs w:val="28"/>
        </w:rPr>
        <w:t xml:space="preserve"> – </w:t>
      </w:r>
      <w:r w:rsidRPr="00E324F4">
        <w:rPr>
          <w:rFonts w:ascii="Times New Roman" w:hAnsi="Times New Roman"/>
          <w:bCs/>
          <w:sz w:val="28"/>
          <w:szCs w:val="28"/>
        </w:rPr>
        <w:t>более 59</w:t>
      </w:r>
      <w:r w:rsidR="005D43C0">
        <w:rPr>
          <w:rFonts w:ascii="Times New Roman" w:hAnsi="Times New Roman"/>
          <w:bCs/>
          <w:sz w:val="28"/>
          <w:szCs w:val="28"/>
        </w:rPr>
        <w:t> </w:t>
      </w:r>
      <w:r w:rsidR="004D2C9E">
        <w:rPr>
          <w:rFonts w:ascii="Times New Roman" w:hAnsi="Times New Roman"/>
          <w:bCs/>
          <w:sz w:val="28"/>
          <w:szCs w:val="28"/>
        </w:rPr>
        <w:t>%</w:t>
      </w:r>
      <w:r w:rsidRPr="00E324F4">
        <w:rPr>
          <w:rFonts w:ascii="Times New Roman" w:hAnsi="Times New Roman"/>
          <w:bCs/>
          <w:sz w:val="28"/>
          <w:szCs w:val="28"/>
        </w:rPr>
        <w:t xml:space="preserve"> общего объема закупок в 2016 году. Отсутствие в Законе </w:t>
      </w:r>
      <w:r w:rsidR="00E720B2">
        <w:rPr>
          <w:rFonts w:ascii="Times New Roman" w:hAnsi="Times New Roman"/>
          <w:bCs/>
          <w:sz w:val="28"/>
          <w:szCs w:val="28"/>
        </w:rPr>
        <w:t>№ </w:t>
      </w:r>
      <w:r w:rsidRPr="00E324F4">
        <w:rPr>
          <w:rFonts w:ascii="Times New Roman" w:hAnsi="Times New Roman"/>
          <w:bCs/>
          <w:sz w:val="28"/>
          <w:szCs w:val="28"/>
        </w:rPr>
        <w:t>223-ФЗ исчерпывающего перечня способов закупок привело к тому, что заказчиками применяется более 4</w:t>
      </w:r>
      <w:r w:rsidR="00993438">
        <w:rPr>
          <w:rFonts w:ascii="Times New Roman" w:hAnsi="Times New Roman"/>
          <w:bCs/>
          <w:sz w:val="28"/>
          <w:szCs w:val="28"/>
        </w:rPr>
        <w:t> </w:t>
      </w:r>
      <w:r w:rsidRPr="00E324F4">
        <w:rPr>
          <w:rFonts w:ascii="Times New Roman" w:hAnsi="Times New Roman"/>
          <w:bCs/>
          <w:sz w:val="28"/>
          <w:szCs w:val="28"/>
        </w:rPr>
        <w:t>480 способов определения поставщика, которые маскируют закупки у единственного поставщика.</w:t>
      </w:r>
    </w:p>
    <w:p w:rsidR="0068434D" w:rsidRPr="000863D3" w:rsidRDefault="0068434D" w:rsidP="00961BCD">
      <w:pPr>
        <w:autoSpaceDE w:val="0"/>
        <w:autoSpaceDN w:val="0"/>
        <w:adjustRightInd w:val="0"/>
        <w:spacing w:after="0" w:line="315" w:lineRule="exact"/>
        <w:ind w:firstLine="709"/>
        <w:jc w:val="both"/>
        <w:rPr>
          <w:rFonts w:ascii="Times New Roman" w:hAnsi="Times New Roman"/>
          <w:bCs/>
          <w:spacing w:val="-4"/>
          <w:sz w:val="28"/>
          <w:szCs w:val="28"/>
        </w:rPr>
      </w:pPr>
      <w:r w:rsidRPr="000863D3">
        <w:rPr>
          <w:rFonts w:ascii="Times New Roman" w:hAnsi="Times New Roman"/>
          <w:bCs/>
          <w:spacing w:val="-4"/>
          <w:sz w:val="28"/>
          <w:szCs w:val="28"/>
        </w:rPr>
        <w:t xml:space="preserve">Необходимо отметить, что общий объем закупок, осуществляемый </w:t>
      </w:r>
      <w:r w:rsidR="004D2C9E" w:rsidRPr="000863D3">
        <w:rPr>
          <w:rFonts w:ascii="Times New Roman" w:hAnsi="Times New Roman"/>
          <w:bCs/>
          <w:spacing w:val="-4"/>
          <w:sz w:val="28"/>
          <w:szCs w:val="28"/>
        </w:rPr>
        <w:t>«</w:t>
      </w:r>
      <w:r w:rsidRPr="000863D3">
        <w:rPr>
          <w:rFonts w:ascii="Times New Roman" w:hAnsi="Times New Roman"/>
          <w:bCs/>
          <w:spacing w:val="-4"/>
          <w:sz w:val="28"/>
          <w:szCs w:val="28"/>
        </w:rPr>
        <w:t>иными способами</w:t>
      </w:r>
      <w:r w:rsidR="004D2C9E" w:rsidRPr="000863D3">
        <w:rPr>
          <w:rFonts w:ascii="Times New Roman" w:hAnsi="Times New Roman"/>
          <w:bCs/>
          <w:spacing w:val="-4"/>
          <w:sz w:val="28"/>
          <w:szCs w:val="28"/>
        </w:rPr>
        <w:t>»</w:t>
      </w:r>
      <w:r w:rsidRPr="000863D3">
        <w:rPr>
          <w:rFonts w:ascii="Times New Roman" w:hAnsi="Times New Roman"/>
          <w:bCs/>
          <w:spacing w:val="-4"/>
          <w:sz w:val="28"/>
          <w:szCs w:val="28"/>
        </w:rPr>
        <w:t xml:space="preserve">, </w:t>
      </w:r>
      <w:r w:rsidR="00095408" w:rsidRPr="000863D3">
        <w:rPr>
          <w:rFonts w:ascii="Times New Roman" w:hAnsi="Times New Roman"/>
          <w:bCs/>
          <w:spacing w:val="-4"/>
          <w:sz w:val="28"/>
          <w:szCs w:val="28"/>
        </w:rPr>
        <w:t xml:space="preserve">в 2016 году </w:t>
      </w:r>
      <w:r w:rsidRPr="000863D3">
        <w:rPr>
          <w:rFonts w:ascii="Times New Roman" w:hAnsi="Times New Roman"/>
          <w:bCs/>
          <w:spacing w:val="-4"/>
          <w:sz w:val="28"/>
          <w:szCs w:val="28"/>
        </w:rPr>
        <w:t>увеличился на 16</w:t>
      </w:r>
      <w:r w:rsidR="005D43C0">
        <w:rPr>
          <w:rFonts w:ascii="Times New Roman" w:hAnsi="Times New Roman"/>
          <w:bCs/>
          <w:spacing w:val="-4"/>
          <w:sz w:val="28"/>
          <w:szCs w:val="28"/>
        </w:rPr>
        <w:t> </w:t>
      </w:r>
      <w:r w:rsidR="004D2C9E" w:rsidRPr="000863D3">
        <w:rPr>
          <w:rFonts w:ascii="Times New Roman" w:hAnsi="Times New Roman"/>
          <w:bCs/>
          <w:spacing w:val="-4"/>
          <w:sz w:val="28"/>
          <w:szCs w:val="28"/>
        </w:rPr>
        <w:t>%</w:t>
      </w:r>
      <w:r w:rsidRPr="000863D3">
        <w:rPr>
          <w:rFonts w:ascii="Times New Roman" w:hAnsi="Times New Roman"/>
          <w:bCs/>
          <w:spacing w:val="-4"/>
          <w:sz w:val="28"/>
          <w:szCs w:val="28"/>
        </w:rPr>
        <w:t xml:space="preserve"> по сравнению с 2015 годом.</w:t>
      </w:r>
    </w:p>
    <w:p w:rsidR="0068434D" w:rsidRPr="00E324F4"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E324F4">
        <w:rPr>
          <w:rFonts w:ascii="Times New Roman" w:hAnsi="Times New Roman"/>
          <w:bCs/>
          <w:sz w:val="28"/>
          <w:szCs w:val="28"/>
        </w:rPr>
        <w:t xml:space="preserve">В то же время закупки, проводимые </w:t>
      </w:r>
      <w:r w:rsidR="004D2C9E">
        <w:rPr>
          <w:rFonts w:ascii="Times New Roman" w:hAnsi="Times New Roman"/>
          <w:bCs/>
          <w:sz w:val="28"/>
          <w:szCs w:val="28"/>
        </w:rPr>
        <w:t>«</w:t>
      </w:r>
      <w:r w:rsidRPr="00E324F4">
        <w:rPr>
          <w:rFonts w:ascii="Times New Roman" w:hAnsi="Times New Roman"/>
          <w:bCs/>
          <w:sz w:val="28"/>
          <w:szCs w:val="28"/>
        </w:rPr>
        <w:t>иными способами</w:t>
      </w:r>
      <w:r w:rsidR="004D2C9E">
        <w:rPr>
          <w:rFonts w:ascii="Times New Roman" w:hAnsi="Times New Roman"/>
          <w:bCs/>
          <w:sz w:val="28"/>
          <w:szCs w:val="28"/>
        </w:rPr>
        <w:t>»</w:t>
      </w:r>
      <w:r w:rsidRPr="00E324F4">
        <w:rPr>
          <w:rFonts w:ascii="Times New Roman" w:hAnsi="Times New Roman"/>
          <w:bCs/>
          <w:sz w:val="28"/>
          <w:szCs w:val="28"/>
        </w:rPr>
        <w:t xml:space="preserve">, некоторые крупные заказчики относят к конкурентным. Среди таких закупок в соответствии с положениями о закупке можно выделить </w:t>
      </w:r>
      <w:r w:rsidR="004D2C9E">
        <w:rPr>
          <w:rFonts w:ascii="Times New Roman" w:hAnsi="Times New Roman"/>
          <w:bCs/>
          <w:sz w:val="28"/>
          <w:szCs w:val="28"/>
        </w:rPr>
        <w:t>«</w:t>
      </w:r>
      <w:r w:rsidRPr="00E324F4">
        <w:rPr>
          <w:rFonts w:ascii="Times New Roman" w:hAnsi="Times New Roman"/>
          <w:bCs/>
          <w:sz w:val="28"/>
          <w:szCs w:val="28"/>
        </w:rPr>
        <w:t>запрос цен</w:t>
      </w:r>
      <w:r w:rsidR="004D2C9E">
        <w:rPr>
          <w:rFonts w:ascii="Times New Roman" w:hAnsi="Times New Roman"/>
          <w:bCs/>
          <w:sz w:val="28"/>
          <w:szCs w:val="28"/>
        </w:rPr>
        <w:t>»</w:t>
      </w:r>
      <w:r w:rsidRPr="00E324F4">
        <w:rPr>
          <w:rFonts w:ascii="Times New Roman" w:hAnsi="Times New Roman"/>
          <w:bCs/>
          <w:sz w:val="28"/>
          <w:szCs w:val="28"/>
        </w:rPr>
        <w:t xml:space="preserve">, </w:t>
      </w:r>
      <w:r w:rsidR="004D2C9E">
        <w:rPr>
          <w:rFonts w:ascii="Times New Roman" w:hAnsi="Times New Roman"/>
          <w:bCs/>
          <w:sz w:val="28"/>
          <w:szCs w:val="28"/>
        </w:rPr>
        <w:t>«</w:t>
      </w:r>
      <w:r w:rsidRPr="00E324F4">
        <w:rPr>
          <w:rFonts w:ascii="Times New Roman" w:hAnsi="Times New Roman"/>
          <w:bCs/>
          <w:sz w:val="28"/>
          <w:szCs w:val="28"/>
        </w:rPr>
        <w:t>запрос предложений</w:t>
      </w:r>
      <w:r w:rsidR="004D2C9E">
        <w:rPr>
          <w:rFonts w:ascii="Times New Roman" w:hAnsi="Times New Roman"/>
          <w:bCs/>
          <w:sz w:val="28"/>
          <w:szCs w:val="28"/>
        </w:rPr>
        <w:t>»</w:t>
      </w:r>
      <w:r w:rsidRPr="00E324F4">
        <w:rPr>
          <w:rFonts w:ascii="Times New Roman" w:hAnsi="Times New Roman"/>
          <w:bCs/>
          <w:sz w:val="28"/>
          <w:szCs w:val="28"/>
        </w:rPr>
        <w:t xml:space="preserve">, </w:t>
      </w:r>
      <w:r w:rsidR="004D2C9E">
        <w:rPr>
          <w:rFonts w:ascii="Times New Roman" w:hAnsi="Times New Roman"/>
          <w:bCs/>
          <w:sz w:val="28"/>
          <w:szCs w:val="28"/>
        </w:rPr>
        <w:t>«</w:t>
      </w:r>
      <w:r w:rsidRPr="00E324F4">
        <w:rPr>
          <w:rFonts w:ascii="Times New Roman" w:hAnsi="Times New Roman"/>
          <w:bCs/>
          <w:sz w:val="28"/>
          <w:szCs w:val="28"/>
        </w:rPr>
        <w:t>запрос котировок</w:t>
      </w:r>
      <w:r w:rsidR="004D2C9E">
        <w:rPr>
          <w:rFonts w:ascii="Times New Roman" w:hAnsi="Times New Roman"/>
          <w:bCs/>
          <w:sz w:val="28"/>
          <w:szCs w:val="28"/>
        </w:rPr>
        <w:t>»</w:t>
      </w:r>
      <w:r w:rsidRPr="00E324F4">
        <w:rPr>
          <w:rFonts w:ascii="Times New Roman" w:hAnsi="Times New Roman"/>
          <w:bCs/>
          <w:sz w:val="28"/>
          <w:szCs w:val="28"/>
        </w:rPr>
        <w:t xml:space="preserve">, </w:t>
      </w:r>
      <w:r w:rsidR="004D2C9E">
        <w:rPr>
          <w:rFonts w:ascii="Times New Roman" w:hAnsi="Times New Roman"/>
          <w:bCs/>
          <w:sz w:val="28"/>
          <w:szCs w:val="28"/>
        </w:rPr>
        <w:t>«</w:t>
      </w:r>
      <w:r w:rsidRPr="00E324F4">
        <w:rPr>
          <w:rFonts w:ascii="Times New Roman" w:hAnsi="Times New Roman"/>
          <w:bCs/>
          <w:sz w:val="28"/>
          <w:szCs w:val="28"/>
        </w:rPr>
        <w:t>редукцион</w:t>
      </w:r>
      <w:r w:rsidR="004D2C9E">
        <w:rPr>
          <w:rFonts w:ascii="Times New Roman" w:hAnsi="Times New Roman"/>
          <w:bCs/>
          <w:sz w:val="28"/>
          <w:szCs w:val="28"/>
        </w:rPr>
        <w:t>»</w:t>
      </w:r>
      <w:r w:rsidRPr="00E324F4">
        <w:rPr>
          <w:rFonts w:ascii="Times New Roman" w:hAnsi="Times New Roman"/>
          <w:bCs/>
          <w:sz w:val="28"/>
          <w:szCs w:val="28"/>
        </w:rPr>
        <w:t>.</w:t>
      </w:r>
    </w:p>
    <w:p w:rsidR="0068434D"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E324F4">
        <w:rPr>
          <w:rFonts w:ascii="Times New Roman" w:hAnsi="Times New Roman"/>
          <w:bCs/>
          <w:sz w:val="28"/>
          <w:szCs w:val="28"/>
        </w:rPr>
        <w:t xml:space="preserve">Федеральным законом </w:t>
      </w:r>
      <w:r>
        <w:rPr>
          <w:rFonts w:ascii="Times New Roman" w:hAnsi="Times New Roman"/>
          <w:bCs/>
          <w:sz w:val="28"/>
          <w:szCs w:val="28"/>
        </w:rPr>
        <w:t>от 31</w:t>
      </w:r>
      <w:r w:rsidR="007E150F">
        <w:rPr>
          <w:rFonts w:ascii="Times New Roman" w:hAnsi="Times New Roman"/>
          <w:bCs/>
          <w:sz w:val="28"/>
          <w:szCs w:val="28"/>
        </w:rPr>
        <w:t xml:space="preserve"> декабря </w:t>
      </w:r>
      <w:r>
        <w:rPr>
          <w:rFonts w:ascii="Times New Roman" w:hAnsi="Times New Roman"/>
          <w:bCs/>
          <w:sz w:val="28"/>
          <w:szCs w:val="28"/>
        </w:rPr>
        <w:t>2017</w:t>
      </w:r>
      <w:r w:rsidR="007E150F">
        <w:rPr>
          <w:rFonts w:ascii="Times New Roman" w:hAnsi="Times New Roman"/>
          <w:bCs/>
          <w:sz w:val="28"/>
          <w:szCs w:val="28"/>
        </w:rPr>
        <w:t xml:space="preserve"> года</w:t>
      </w:r>
      <w:r w:rsidR="005D43C0">
        <w:rPr>
          <w:rFonts w:ascii="Times New Roman" w:hAnsi="Times New Roman"/>
          <w:bCs/>
          <w:sz w:val="28"/>
          <w:szCs w:val="28"/>
        </w:rPr>
        <w:t xml:space="preserve"> </w:t>
      </w:r>
      <w:r w:rsidR="00E720B2">
        <w:rPr>
          <w:rFonts w:ascii="Times New Roman" w:hAnsi="Times New Roman"/>
          <w:bCs/>
          <w:sz w:val="28"/>
          <w:szCs w:val="28"/>
        </w:rPr>
        <w:t>№ </w:t>
      </w:r>
      <w:r w:rsidRPr="00E324F4">
        <w:rPr>
          <w:rFonts w:ascii="Times New Roman" w:hAnsi="Times New Roman"/>
          <w:bCs/>
          <w:sz w:val="28"/>
          <w:szCs w:val="28"/>
        </w:rPr>
        <w:t xml:space="preserve">505-ФЗ </w:t>
      </w:r>
      <w:r w:rsidR="004D2C9E">
        <w:rPr>
          <w:rFonts w:ascii="Times New Roman" w:hAnsi="Times New Roman"/>
          <w:bCs/>
          <w:sz w:val="28"/>
          <w:szCs w:val="28"/>
        </w:rPr>
        <w:t>«</w:t>
      </w:r>
      <w:r w:rsidRPr="00E324F4">
        <w:rPr>
          <w:rFonts w:ascii="Times New Roman" w:hAnsi="Times New Roman"/>
          <w:bCs/>
          <w:sz w:val="28"/>
          <w:szCs w:val="28"/>
        </w:rPr>
        <w:t>О внесении изменений в отдельные законодательные акты</w:t>
      </w:r>
      <w:r w:rsidR="004D2C9E">
        <w:rPr>
          <w:rFonts w:ascii="Times New Roman" w:hAnsi="Times New Roman"/>
          <w:bCs/>
          <w:sz w:val="28"/>
          <w:szCs w:val="28"/>
        </w:rPr>
        <w:t>»</w:t>
      </w:r>
      <w:r w:rsidRPr="00E324F4">
        <w:rPr>
          <w:rFonts w:ascii="Times New Roman" w:hAnsi="Times New Roman"/>
          <w:bCs/>
          <w:sz w:val="28"/>
          <w:szCs w:val="28"/>
        </w:rPr>
        <w:t xml:space="preserve"> внесены поправки в Закон </w:t>
      </w:r>
      <w:r w:rsidR="00E720B2">
        <w:rPr>
          <w:rFonts w:ascii="Times New Roman" w:hAnsi="Times New Roman"/>
          <w:bCs/>
          <w:sz w:val="28"/>
          <w:szCs w:val="28"/>
        </w:rPr>
        <w:t>№ </w:t>
      </w:r>
      <w:r w:rsidRPr="00E324F4">
        <w:rPr>
          <w:rFonts w:ascii="Times New Roman" w:hAnsi="Times New Roman"/>
          <w:bCs/>
          <w:sz w:val="28"/>
          <w:szCs w:val="28"/>
        </w:rPr>
        <w:t xml:space="preserve">223-ФЗ в части уточнения сферы </w:t>
      </w:r>
      <w:r>
        <w:rPr>
          <w:rFonts w:ascii="Times New Roman" w:hAnsi="Times New Roman"/>
          <w:bCs/>
          <w:sz w:val="28"/>
          <w:szCs w:val="28"/>
        </w:rPr>
        <w:t xml:space="preserve">его </w:t>
      </w:r>
      <w:r w:rsidRPr="00E324F4">
        <w:rPr>
          <w:rFonts w:ascii="Times New Roman" w:hAnsi="Times New Roman"/>
          <w:bCs/>
          <w:sz w:val="28"/>
          <w:szCs w:val="28"/>
        </w:rPr>
        <w:t>применения, возможности утверждения и использования заказчиками типового положения о закупках, установления закрытого перечня конкурентных способов закупок, регламентаци</w:t>
      </w:r>
      <w:r w:rsidR="005D43C0">
        <w:rPr>
          <w:rFonts w:ascii="Times New Roman" w:hAnsi="Times New Roman"/>
          <w:bCs/>
          <w:sz w:val="28"/>
          <w:szCs w:val="28"/>
        </w:rPr>
        <w:t>и</w:t>
      </w:r>
      <w:r w:rsidRPr="00E324F4">
        <w:rPr>
          <w:rFonts w:ascii="Times New Roman" w:hAnsi="Times New Roman"/>
          <w:bCs/>
          <w:sz w:val="28"/>
          <w:szCs w:val="28"/>
        </w:rPr>
        <w:t xml:space="preserve"> способов закупок и перевод</w:t>
      </w:r>
      <w:r w:rsidR="005D43C0">
        <w:rPr>
          <w:rFonts w:ascii="Times New Roman" w:hAnsi="Times New Roman"/>
          <w:bCs/>
          <w:sz w:val="28"/>
          <w:szCs w:val="28"/>
        </w:rPr>
        <w:t>а</w:t>
      </w:r>
      <w:r w:rsidRPr="00E324F4">
        <w:rPr>
          <w:rFonts w:ascii="Times New Roman" w:hAnsi="Times New Roman"/>
          <w:bCs/>
          <w:sz w:val="28"/>
          <w:szCs w:val="28"/>
        </w:rPr>
        <w:t xml:space="preserve"> закупок для субъектов малого предпринимательства в электронную форму, регламентировано проведение закрытых способов закупок, а также усовершенствован порядок обжалования действий заказчиков</w:t>
      </w:r>
      <w:r>
        <w:rPr>
          <w:rFonts w:ascii="Times New Roman" w:hAnsi="Times New Roman"/>
          <w:bCs/>
          <w:sz w:val="28"/>
          <w:szCs w:val="28"/>
        </w:rPr>
        <w:t>, закупочной комиссии</w:t>
      </w:r>
      <w:r w:rsidRPr="00E324F4">
        <w:rPr>
          <w:rFonts w:ascii="Times New Roman" w:hAnsi="Times New Roman"/>
          <w:bCs/>
          <w:sz w:val="28"/>
          <w:szCs w:val="28"/>
        </w:rPr>
        <w:t xml:space="preserve"> и операторов электронных площадок при проведении закупок в соответствии с Законом </w:t>
      </w:r>
      <w:r w:rsidR="00E720B2">
        <w:rPr>
          <w:rFonts w:ascii="Times New Roman" w:hAnsi="Times New Roman"/>
          <w:bCs/>
          <w:sz w:val="28"/>
          <w:szCs w:val="28"/>
        </w:rPr>
        <w:t>№ </w:t>
      </w:r>
      <w:r w:rsidRPr="00E324F4">
        <w:rPr>
          <w:rFonts w:ascii="Times New Roman" w:hAnsi="Times New Roman"/>
          <w:bCs/>
          <w:sz w:val="28"/>
          <w:szCs w:val="28"/>
        </w:rPr>
        <w:t>223-ФЗ.</w:t>
      </w:r>
    </w:p>
    <w:p w:rsidR="0068434D" w:rsidRPr="00E324F4"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E324F4">
        <w:rPr>
          <w:rFonts w:ascii="Times New Roman" w:hAnsi="Times New Roman"/>
          <w:bCs/>
          <w:sz w:val="28"/>
          <w:szCs w:val="28"/>
        </w:rPr>
        <w:t>В частности, предусматрива</w:t>
      </w:r>
      <w:r w:rsidR="00095408">
        <w:rPr>
          <w:rFonts w:ascii="Times New Roman" w:hAnsi="Times New Roman"/>
          <w:bCs/>
          <w:sz w:val="28"/>
          <w:szCs w:val="28"/>
        </w:rPr>
        <w:t>ется</w:t>
      </w:r>
      <w:r w:rsidRPr="00E324F4">
        <w:rPr>
          <w:rFonts w:ascii="Times New Roman" w:hAnsi="Times New Roman"/>
          <w:bCs/>
          <w:sz w:val="28"/>
          <w:szCs w:val="28"/>
        </w:rPr>
        <w:t xml:space="preserve"> установление единого порядка проведения процедур отбора поставщиков (подрядчиков, исполнителей) при проведении </w:t>
      </w:r>
      <w:r w:rsidR="004D2C9E">
        <w:rPr>
          <w:rFonts w:ascii="Times New Roman" w:hAnsi="Times New Roman"/>
          <w:bCs/>
          <w:sz w:val="28"/>
          <w:szCs w:val="28"/>
        </w:rPr>
        <w:t>«</w:t>
      </w:r>
      <w:r w:rsidRPr="00E324F4">
        <w:rPr>
          <w:rFonts w:ascii="Times New Roman" w:hAnsi="Times New Roman"/>
          <w:bCs/>
          <w:sz w:val="28"/>
          <w:szCs w:val="28"/>
        </w:rPr>
        <w:t>специализированных</w:t>
      </w:r>
      <w:r w:rsidR="004D2C9E">
        <w:rPr>
          <w:rFonts w:ascii="Times New Roman" w:hAnsi="Times New Roman"/>
          <w:bCs/>
          <w:sz w:val="28"/>
          <w:szCs w:val="28"/>
        </w:rPr>
        <w:t>»</w:t>
      </w:r>
      <w:r w:rsidRPr="00E324F4">
        <w:rPr>
          <w:rFonts w:ascii="Times New Roman" w:hAnsi="Times New Roman"/>
          <w:bCs/>
          <w:sz w:val="28"/>
          <w:szCs w:val="28"/>
        </w:rPr>
        <w:t xml:space="preserve"> торгов для субъекто</w:t>
      </w:r>
      <w:r w:rsidR="00095408">
        <w:rPr>
          <w:rFonts w:ascii="Times New Roman" w:hAnsi="Times New Roman"/>
          <w:bCs/>
          <w:sz w:val="28"/>
          <w:szCs w:val="28"/>
        </w:rPr>
        <w:t>в</w:t>
      </w:r>
      <w:r w:rsidRPr="00E324F4">
        <w:rPr>
          <w:rFonts w:ascii="Times New Roman" w:hAnsi="Times New Roman"/>
          <w:bCs/>
          <w:sz w:val="28"/>
          <w:szCs w:val="28"/>
        </w:rPr>
        <w:t xml:space="preserve"> малого и среднего предпринимательства как в части установления закрытого перечня способов закупок, регламентации порядка проведения таких закупок, так и определения закрытого перечня электронных площадок, на которых должны проводиться закупки, с установлением соответствующих требований к программно-аппаратным комплексам электронных площадок.</w:t>
      </w:r>
    </w:p>
    <w:p w:rsidR="0068434D" w:rsidRDefault="0068434D" w:rsidP="00961BCD">
      <w:pPr>
        <w:autoSpaceDE w:val="0"/>
        <w:autoSpaceDN w:val="0"/>
        <w:adjustRightInd w:val="0"/>
        <w:spacing w:after="0" w:line="315" w:lineRule="exact"/>
        <w:ind w:firstLine="709"/>
        <w:jc w:val="both"/>
        <w:rPr>
          <w:rFonts w:ascii="Times New Roman" w:hAnsi="Times New Roman"/>
          <w:bCs/>
          <w:sz w:val="28"/>
          <w:szCs w:val="28"/>
        </w:rPr>
      </w:pPr>
      <w:r>
        <w:rPr>
          <w:rFonts w:ascii="Times New Roman" w:hAnsi="Times New Roman"/>
          <w:bCs/>
          <w:sz w:val="28"/>
          <w:szCs w:val="28"/>
        </w:rPr>
        <w:t>Внесение указанных изменений</w:t>
      </w:r>
      <w:r w:rsidRPr="00E324F4">
        <w:rPr>
          <w:rFonts w:ascii="Times New Roman" w:hAnsi="Times New Roman"/>
          <w:bCs/>
          <w:sz w:val="28"/>
          <w:szCs w:val="28"/>
        </w:rPr>
        <w:t xml:space="preserve"> будет способствовать повышению конкурентоспособности среди участников закупок, снижению субъективизма при выборе победителей закупок, что, в свою очередь, является дополнительным стимулированием участия в проводимых заказчиками закупках и будет способствовать расширению круга лиц, участвующих в таких закупках, в том числе среди субъектов малого и среднего предпринимательства.</w:t>
      </w:r>
    </w:p>
    <w:p w:rsidR="0068434D" w:rsidRDefault="003611BB" w:rsidP="000863D3">
      <w:pPr>
        <w:pStyle w:val="3"/>
        <w:ind w:firstLine="0"/>
        <w:jc w:val="center"/>
      </w:pPr>
      <w:bookmarkStart w:id="22" w:name="_Toc526253892"/>
      <w:r>
        <w:t>2.</w:t>
      </w:r>
      <w:r w:rsidR="004D2C9E">
        <w:t>4.</w:t>
      </w:r>
      <w:r w:rsidR="00704DEE">
        <w:t>3.</w:t>
      </w:r>
      <w:r w:rsidR="004D2C9E">
        <w:t> </w:t>
      </w:r>
      <w:r w:rsidR="0068434D" w:rsidRPr="00704DEE">
        <w:t>Система контрактации и электронных торговых площадок</w:t>
      </w:r>
      <w:bookmarkEnd w:id="22"/>
    </w:p>
    <w:p w:rsidR="0068434D" w:rsidRPr="00C252EF"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C252EF">
        <w:rPr>
          <w:rFonts w:ascii="Times New Roman" w:hAnsi="Times New Roman"/>
          <w:bCs/>
          <w:sz w:val="28"/>
          <w:szCs w:val="28"/>
        </w:rPr>
        <w:t>Отдельного упоминания заслуживают вопросы развития электронных торговых площадок, которые предоставляют собой совершенно новый уровень контрактных отношений между хозяйствующими субъектами.</w:t>
      </w:r>
    </w:p>
    <w:p w:rsidR="0068434D" w:rsidRPr="00C252EF"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C252EF">
        <w:rPr>
          <w:rFonts w:ascii="Times New Roman" w:hAnsi="Times New Roman"/>
          <w:bCs/>
          <w:sz w:val="28"/>
          <w:szCs w:val="28"/>
        </w:rPr>
        <w:t xml:space="preserve">Так, текущую ситуацию </w:t>
      </w:r>
      <w:r w:rsidR="00C02928" w:rsidRPr="009F285C">
        <w:rPr>
          <w:rFonts w:ascii="Times New Roman" w:hAnsi="Times New Roman"/>
          <w:bCs/>
          <w:sz w:val="28"/>
          <w:szCs w:val="28"/>
        </w:rPr>
        <w:t>в Российской Федерации</w:t>
      </w:r>
      <w:r w:rsidR="00C02928">
        <w:rPr>
          <w:rFonts w:ascii="Times New Roman" w:hAnsi="Times New Roman"/>
          <w:bCs/>
          <w:sz w:val="28"/>
          <w:szCs w:val="28"/>
        </w:rPr>
        <w:t xml:space="preserve"> </w:t>
      </w:r>
      <w:r w:rsidRPr="00C252EF">
        <w:rPr>
          <w:rFonts w:ascii="Times New Roman" w:hAnsi="Times New Roman"/>
          <w:bCs/>
          <w:sz w:val="28"/>
          <w:szCs w:val="28"/>
        </w:rPr>
        <w:t xml:space="preserve">можно проанализировать на примере электронной торговой площади в сфере железнодорожных перевозок. </w:t>
      </w:r>
    </w:p>
    <w:p w:rsidR="0068434D" w:rsidRPr="00C252EF" w:rsidRDefault="00095408" w:rsidP="004D2C9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w:t>
      </w:r>
      <w:r w:rsidR="0068434D" w:rsidRPr="00C252EF">
        <w:rPr>
          <w:rFonts w:ascii="Times New Roman" w:hAnsi="Times New Roman"/>
          <w:bCs/>
          <w:sz w:val="28"/>
          <w:szCs w:val="28"/>
        </w:rPr>
        <w:t xml:space="preserve">о итогам совещания у Председателя Правительства Российской Федерации Д.А.Медведева от 5 декабря 2017 года сформирован перечень поручений от 9 декабря 2017 года </w:t>
      </w:r>
      <w:r w:rsidR="00E720B2">
        <w:rPr>
          <w:rFonts w:ascii="Times New Roman" w:hAnsi="Times New Roman"/>
          <w:bCs/>
          <w:sz w:val="28"/>
          <w:szCs w:val="28"/>
        </w:rPr>
        <w:t>№ </w:t>
      </w:r>
      <w:r w:rsidR="0068434D" w:rsidRPr="00C252EF">
        <w:rPr>
          <w:rFonts w:ascii="Times New Roman" w:hAnsi="Times New Roman"/>
          <w:bCs/>
          <w:sz w:val="28"/>
          <w:szCs w:val="28"/>
        </w:rPr>
        <w:t>ДМ-П9-8220 (далее – Перечень).</w:t>
      </w:r>
    </w:p>
    <w:p w:rsidR="0068434D" w:rsidRPr="00C252EF"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C252EF">
        <w:rPr>
          <w:rFonts w:ascii="Times New Roman" w:hAnsi="Times New Roman"/>
          <w:bCs/>
          <w:sz w:val="28"/>
          <w:szCs w:val="28"/>
        </w:rPr>
        <w:t>В частности, одним из поручений является принятие согласованных мер по стимулированию функционирования электронных торговых площадок, включая возможность установления повышенного тарифа на порожний пробег грузовых вагонов, заключение договора на предоставление которых происходит не в рамках указанных электронных торговых площадок.</w:t>
      </w:r>
    </w:p>
    <w:p w:rsidR="0068434D" w:rsidRPr="00C252EF" w:rsidRDefault="0068434D" w:rsidP="000863D3">
      <w:pPr>
        <w:autoSpaceDE w:val="0"/>
        <w:autoSpaceDN w:val="0"/>
        <w:adjustRightInd w:val="0"/>
        <w:spacing w:after="0" w:line="320" w:lineRule="exact"/>
        <w:ind w:firstLine="709"/>
        <w:jc w:val="both"/>
        <w:rPr>
          <w:rFonts w:ascii="Times New Roman" w:hAnsi="Times New Roman"/>
          <w:bCs/>
          <w:sz w:val="28"/>
          <w:szCs w:val="28"/>
        </w:rPr>
      </w:pPr>
      <w:r w:rsidRPr="00C252EF">
        <w:rPr>
          <w:rFonts w:ascii="Times New Roman" w:hAnsi="Times New Roman"/>
          <w:bCs/>
          <w:sz w:val="28"/>
          <w:szCs w:val="28"/>
        </w:rPr>
        <w:t xml:space="preserve">Во </w:t>
      </w:r>
      <w:r w:rsidR="00095408">
        <w:rPr>
          <w:rFonts w:ascii="Times New Roman" w:hAnsi="Times New Roman"/>
          <w:bCs/>
          <w:sz w:val="28"/>
          <w:szCs w:val="28"/>
        </w:rPr>
        <w:t>исполнение указанного поручения согласно Перечню</w:t>
      </w:r>
      <w:r w:rsidRPr="00C252EF">
        <w:rPr>
          <w:rFonts w:ascii="Times New Roman" w:hAnsi="Times New Roman"/>
          <w:bCs/>
          <w:sz w:val="28"/>
          <w:szCs w:val="28"/>
        </w:rPr>
        <w:t xml:space="preserve"> ФАС России разработан проект приказа, направленный на обеспечение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xml:space="preserve"> развития электронной торговой площадки </w:t>
      </w:r>
      <w:r w:rsidR="004D2C9E">
        <w:rPr>
          <w:rFonts w:ascii="Times New Roman" w:hAnsi="Times New Roman"/>
          <w:bCs/>
          <w:sz w:val="28"/>
          <w:szCs w:val="28"/>
        </w:rPr>
        <w:t>«</w:t>
      </w:r>
      <w:r w:rsidRPr="00C252EF">
        <w:rPr>
          <w:rFonts w:ascii="Times New Roman" w:hAnsi="Times New Roman"/>
          <w:bCs/>
          <w:sz w:val="28"/>
          <w:szCs w:val="28"/>
        </w:rPr>
        <w:t>Грузовые перевозки</w:t>
      </w:r>
      <w:r w:rsidR="004D2C9E">
        <w:rPr>
          <w:rFonts w:ascii="Times New Roman" w:hAnsi="Times New Roman"/>
          <w:bCs/>
          <w:sz w:val="28"/>
          <w:szCs w:val="28"/>
        </w:rPr>
        <w:t>»</w:t>
      </w:r>
      <w:r w:rsidRPr="00C252EF">
        <w:rPr>
          <w:rFonts w:ascii="Times New Roman" w:hAnsi="Times New Roman"/>
          <w:bCs/>
          <w:sz w:val="28"/>
          <w:szCs w:val="28"/>
        </w:rPr>
        <w:t xml:space="preserve"> (ЭТП) путем осуществления следующих действий:</w:t>
      </w:r>
    </w:p>
    <w:p w:rsidR="0068434D" w:rsidRPr="00C252EF" w:rsidRDefault="0068434D" w:rsidP="000863D3">
      <w:pPr>
        <w:autoSpaceDE w:val="0"/>
        <w:autoSpaceDN w:val="0"/>
        <w:adjustRightInd w:val="0"/>
        <w:spacing w:after="0" w:line="320" w:lineRule="exact"/>
        <w:ind w:firstLine="709"/>
        <w:jc w:val="both"/>
        <w:rPr>
          <w:rFonts w:ascii="Times New Roman" w:hAnsi="Times New Roman"/>
          <w:bCs/>
          <w:sz w:val="28"/>
          <w:szCs w:val="28"/>
        </w:rPr>
      </w:pPr>
      <w:r w:rsidRPr="00C252EF">
        <w:rPr>
          <w:rFonts w:ascii="Times New Roman" w:hAnsi="Times New Roman"/>
          <w:bCs/>
          <w:sz w:val="28"/>
          <w:szCs w:val="28"/>
        </w:rPr>
        <w:t xml:space="preserve">разработать, согласовать с ФАС России, внедрить в работу внутренний документ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xml:space="preserve">, регламентирующий порядок доступа заинтересованных операторов железнодорожного подвижного состава на недискриминационных условиях к размещению на ЭТП предложений по предоставлению полувагонов, разработать внутренний документ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обеспечивающий реализацию системы экономических стимулов для операторов железнодорожного подвижного состава к размещению предложений по предоставлению полувагонов на ЭТП, по сравнению с иными способами подачи заявок на предоставление полувагонов;</w:t>
      </w:r>
    </w:p>
    <w:p w:rsidR="0068434D" w:rsidRPr="00C252EF" w:rsidRDefault="0068434D" w:rsidP="000863D3">
      <w:pPr>
        <w:autoSpaceDE w:val="0"/>
        <w:autoSpaceDN w:val="0"/>
        <w:adjustRightInd w:val="0"/>
        <w:spacing w:after="0" w:line="320" w:lineRule="exact"/>
        <w:ind w:firstLine="709"/>
        <w:jc w:val="both"/>
        <w:rPr>
          <w:rFonts w:ascii="Times New Roman" w:hAnsi="Times New Roman"/>
          <w:bCs/>
          <w:sz w:val="28"/>
          <w:szCs w:val="28"/>
        </w:rPr>
      </w:pPr>
      <w:r w:rsidRPr="00C252EF">
        <w:rPr>
          <w:rFonts w:ascii="Times New Roman" w:hAnsi="Times New Roman"/>
          <w:bCs/>
          <w:sz w:val="28"/>
          <w:szCs w:val="28"/>
        </w:rPr>
        <w:t>разработать методику определения экономически и технологически обоснованной цены при предоставлении полувагонов;</w:t>
      </w:r>
    </w:p>
    <w:p w:rsidR="0068434D" w:rsidRPr="00C252EF" w:rsidRDefault="0068434D" w:rsidP="000863D3">
      <w:pPr>
        <w:autoSpaceDE w:val="0"/>
        <w:autoSpaceDN w:val="0"/>
        <w:adjustRightInd w:val="0"/>
        <w:spacing w:after="0" w:line="320" w:lineRule="exact"/>
        <w:ind w:firstLine="709"/>
        <w:jc w:val="both"/>
        <w:rPr>
          <w:rFonts w:ascii="Times New Roman" w:hAnsi="Times New Roman"/>
          <w:bCs/>
          <w:sz w:val="28"/>
          <w:szCs w:val="28"/>
        </w:rPr>
      </w:pPr>
      <w:r w:rsidRPr="00C252EF">
        <w:rPr>
          <w:rFonts w:ascii="Times New Roman" w:hAnsi="Times New Roman"/>
          <w:bCs/>
          <w:sz w:val="28"/>
          <w:szCs w:val="28"/>
        </w:rPr>
        <w:t xml:space="preserve">осуществить публичное раскрытие информации (за исключением информации, содержащей государственную тайну) в режиме реального времени о нахождении порожних полувагонов, (доступных для заказа) на железнодорожных путях общего пользования с указанием оператора(-ов) указанного подвижного состава и его (их) контактных данных; разработать и внедрить в работу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xml:space="preserve"> систему учета (регистрации) сделок на предоставление полувагонов и систему автоматизированного расчета индексов цен (ставок) на услуги по предоставлению полувагонов в порядке, согласованном с ФАС России; разработать и утвердить правила рабо</w:t>
      </w:r>
      <w:r w:rsidR="00095408">
        <w:rPr>
          <w:rFonts w:ascii="Times New Roman" w:hAnsi="Times New Roman"/>
          <w:bCs/>
          <w:sz w:val="28"/>
          <w:szCs w:val="28"/>
        </w:rPr>
        <w:t>ты резервного парка полувагонов;</w:t>
      </w:r>
    </w:p>
    <w:p w:rsidR="0068434D" w:rsidRPr="00C252EF" w:rsidRDefault="0068434D" w:rsidP="000863D3">
      <w:pPr>
        <w:autoSpaceDE w:val="0"/>
        <w:autoSpaceDN w:val="0"/>
        <w:adjustRightInd w:val="0"/>
        <w:spacing w:after="0" w:line="320" w:lineRule="exact"/>
        <w:ind w:firstLine="709"/>
        <w:jc w:val="both"/>
        <w:rPr>
          <w:rFonts w:ascii="Times New Roman" w:hAnsi="Times New Roman"/>
          <w:bCs/>
          <w:sz w:val="28"/>
          <w:szCs w:val="28"/>
        </w:rPr>
      </w:pPr>
      <w:r w:rsidRPr="00C252EF">
        <w:rPr>
          <w:rFonts w:ascii="Times New Roman" w:hAnsi="Times New Roman"/>
          <w:bCs/>
          <w:sz w:val="28"/>
          <w:szCs w:val="28"/>
        </w:rPr>
        <w:t xml:space="preserve">разработать внутренний документ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xml:space="preserve">, определяющий правила функционирования и план развития ЭТП, а также порядок установления начальных цен на предоставление, размещаемых на ЭТП полувагонов; разместить на ЭТП по экономически обоснованным ценам предложения по предоставлению имеющегося в распоряжении организаций, входящих в группу лиц с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парка полувагонов в размере не менее 50</w:t>
      </w:r>
      <w:r w:rsidR="004D2C9E">
        <w:rPr>
          <w:rFonts w:ascii="Times New Roman" w:hAnsi="Times New Roman"/>
          <w:bCs/>
          <w:sz w:val="28"/>
          <w:szCs w:val="28"/>
        </w:rPr>
        <w:t> %</w:t>
      </w:r>
      <w:r w:rsidRPr="00C252EF">
        <w:rPr>
          <w:rFonts w:ascii="Times New Roman" w:hAnsi="Times New Roman"/>
          <w:bCs/>
          <w:sz w:val="28"/>
          <w:szCs w:val="28"/>
        </w:rPr>
        <w:t xml:space="preserve"> общего парка полувагонов организации.</w:t>
      </w:r>
    </w:p>
    <w:p w:rsidR="0068434D" w:rsidRPr="00C252EF" w:rsidRDefault="0068434D" w:rsidP="000863D3">
      <w:pPr>
        <w:autoSpaceDE w:val="0"/>
        <w:autoSpaceDN w:val="0"/>
        <w:adjustRightInd w:val="0"/>
        <w:spacing w:after="0" w:line="320" w:lineRule="exact"/>
        <w:ind w:firstLine="709"/>
        <w:jc w:val="both"/>
        <w:rPr>
          <w:rFonts w:ascii="Times New Roman" w:hAnsi="Times New Roman"/>
          <w:bCs/>
          <w:sz w:val="28"/>
          <w:szCs w:val="28"/>
        </w:rPr>
      </w:pPr>
      <w:r w:rsidRPr="00C252EF">
        <w:rPr>
          <w:rFonts w:ascii="Times New Roman" w:hAnsi="Times New Roman"/>
          <w:bCs/>
          <w:sz w:val="28"/>
          <w:szCs w:val="28"/>
        </w:rPr>
        <w:t>По результатам оценки инициатив ФАС России и поручений Правительства</w:t>
      </w:r>
      <w:r w:rsidR="00095408">
        <w:rPr>
          <w:rFonts w:ascii="Times New Roman" w:hAnsi="Times New Roman"/>
          <w:bCs/>
          <w:sz w:val="28"/>
          <w:szCs w:val="28"/>
        </w:rPr>
        <w:t xml:space="preserve"> Российской Федерации</w:t>
      </w:r>
      <w:r w:rsidRPr="00C252EF">
        <w:rPr>
          <w:rFonts w:ascii="Times New Roman" w:hAnsi="Times New Roman"/>
          <w:bCs/>
          <w:sz w:val="28"/>
          <w:szCs w:val="28"/>
        </w:rPr>
        <w:t xml:space="preserve"> выявлено, что одним</w:t>
      </w:r>
      <w:r w:rsidR="005D43C0">
        <w:rPr>
          <w:rFonts w:ascii="Times New Roman" w:hAnsi="Times New Roman"/>
          <w:bCs/>
          <w:sz w:val="28"/>
          <w:szCs w:val="28"/>
        </w:rPr>
        <w:t>и</w:t>
      </w:r>
      <w:r w:rsidRPr="00C252EF">
        <w:rPr>
          <w:rFonts w:ascii="Times New Roman" w:hAnsi="Times New Roman"/>
          <w:bCs/>
          <w:sz w:val="28"/>
          <w:szCs w:val="28"/>
        </w:rPr>
        <w:t xml:space="preserve"> из магистральных направлений деятельности </w:t>
      </w:r>
      <w:r w:rsidR="00095408" w:rsidRPr="00095408">
        <w:rPr>
          <w:rFonts w:ascii="Times New Roman" w:hAnsi="Times New Roman"/>
          <w:bCs/>
          <w:sz w:val="28"/>
          <w:szCs w:val="28"/>
        </w:rPr>
        <w:t>Федеральны</w:t>
      </w:r>
      <w:r w:rsidR="00095408">
        <w:rPr>
          <w:rFonts w:ascii="Times New Roman" w:hAnsi="Times New Roman"/>
          <w:bCs/>
          <w:sz w:val="28"/>
          <w:szCs w:val="28"/>
        </w:rPr>
        <w:t>х</w:t>
      </w:r>
      <w:r w:rsidR="00095408" w:rsidRPr="00095408">
        <w:rPr>
          <w:rFonts w:ascii="Times New Roman" w:hAnsi="Times New Roman"/>
          <w:bCs/>
          <w:sz w:val="28"/>
          <w:szCs w:val="28"/>
        </w:rPr>
        <w:t xml:space="preserve"> орган</w:t>
      </w:r>
      <w:r w:rsidR="00095408">
        <w:rPr>
          <w:rFonts w:ascii="Times New Roman" w:hAnsi="Times New Roman"/>
          <w:bCs/>
          <w:sz w:val="28"/>
          <w:szCs w:val="28"/>
        </w:rPr>
        <w:t>ов</w:t>
      </w:r>
      <w:r w:rsidR="00095408" w:rsidRPr="00095408">
        <w:rPr>
          <w:rFonts w:ascii="Times New Roman" w:hAnsi="Times New Roman"/>
          <w:bCs/>
          <w:sz w:val="28"/>
          <w:szCs w:val="28"/>
        </w:rPr>
        <w:t xml:space="preserve"> исполнительной власти</w:t>
      </w:r>
      <w:r w:rsidRPr="00C252EF">
        <w:rPr>
          <w:rFonts w:ascii="Times New Roman" w:hAnsi="Times New Roman"/>
          <w:bCs/>
          <w:sz w:val="28"/>
          <w:szCs w:val="28"/>
        </w:rPr>
        <w:t xml:space="preserve"> в 2018</w:t>
      </w:r>
      <w:r w:rsidR="0099069F">
        <w:rPr>
          <w:rFonts w:ascii="Times New Roman" w:hAnsi="Times New Roman"/>
          <w:bCs/>
          <w:sz w:val="28"/>
          <w:szCs w:val="28"/>
        </w:rPr>
        <w:t> </w:t>
      </w:r>
      <w:r w:rsidRPr="00C252EF">
        <w:rPr>
          <w:rFonts w:ascii="Times New Roman" w:hAnsi="Times New Roman"/>
          <w:bCs/>
          <w:sz w:val="28"/>
          <w:szCs w:val="28"/>
        </w:rPr>
        <w:t>году буд</w:t>
      </w:r>
      <w:r w:rsidR="005D43C0">
        <w:rPr>
          <w:rFonts w:ascii="Times New Roman" w:hAnsi="Times New Roman"/>
          <w:bCs/>
          <w:sz w:val="28"/>
          <w:szCs w:val="28"/>
        </w:rPr>
        <w:t>у</w:t>
      </w:r>
      <w:r w:rsidRPr="00C252EF">
        <w:rPr>
          <w:rFonts w:ascii="Times New Roman" w:hAnsi="Times New Roman"/>
          <w:bCs/>
          <w:sz w:val="28"/>
          <w:szCs w:val="28"/>
        </w:rPr>
        <w:t>т являться разработка локальных актов, предусматривающих развитие ЭТП</w:t>
      </w:r>
      <w:r w:rsidR="005D43C0">
        <w:rPr>
          <w:rFonts w:ascii="Times New Roman" w:hAnsi="Times New Roman"/>
          <w:bCs/>
          <w:sz w:val="28"/>
          <w:szCs w:val="28"/>
        </w:rPr>
        <w:t>,</w:t>
      </w:r>
      <w:r w:rsidRPr="00C252EF">
        <w:rPr>
          <w:rFonts w:ascii="Times New Roman" w:hAnsi="Times New Roman"/>
          <w:bCs/>
          <w:sz w:val="28"/>
          <w:szCs w:val="28"/>
        </w:rPr>
        <w:t xml:space="preserve"> и прекращение практики заключения договоров вне ЭТП. </w:t>
      </w:r>
    </w:p>
    <w:p w:rsidR="0068434D" w:rsidRPr="00C252EF" w:rsidRDefault="005D43C0" w:rsidP="000863D3">
      <w:pPr>
        <w:autoSpaceDE w:val="0"/>
        <w:autoSpaceDN w:val="0"/>
        <w:adjustRightInd w:val="0"/>
        <w:spacing w:after="0" w:line="320" w:lineRule="exact"/>
        <w:ind w:firstLine="709"/>
        <w:jc w:val="both"/>
        <w:rPr>
          <w:rFonts w:ascii="Times New Roman" w:hAnsi="Times New Roman"/>
          <w:bCs/>
          <w:sz w:val="28"/>
          <w:szCs w:val="28"/>
        </w:rPr>
      </w:pPr>
      <w:r>
        <w:rPr>
          <w:rFonts w:ascii="Times New Roman" w:hAnsi="Times New Roman"/>
          <w:bCs/>
          <w:sz w:val="28"/>
          <w:szCs w:val="28"/>
        </w:rPr>
        <w:t>Вместе с тем</w:t>
      </w:r>
      <w:r w:rsidR="0068434D" w:rsidRPr="00C252EF">
        <w:rPr>
          <w:rFonts w:ascii="Times New Roman" w:hAnsi="Times New Roman"/>
          <w:bCs/>
          <w:sz w:val="28"/>
          <w:szCs w:val="28"/>
        </w:rPr>
        <w:t xml:space="preserve"> необходимо понимать, что у всех участников ЭТП (перевозчик, грузополучатели, грузоотправители, операторы) могут возникать следующие риски, связанные с развитием ЭТП.</w:t>
      </w:r>
    </w:p>
    <w:p w:rsidR="0068434D" w:rsidRPr="00B77E73" w:rsidRDefault="0068434D" w:rsidP="000863D3">
      <w:pPr>
        <w:pStyle w:val="7"/>
        <w:autoSpaceDE w:val="0"/>
        <w:autoSpaceDN w:val="0"/>
        <w:adjustRightInd w:val="0"/>
        <w:spacing w:line="320" w:lineRule="exact"/>
        <w:rPr>
          <w:bCs/>
        </w:rPr>
      </w:pPr>
      <w:r w:rsidRPr="00B77E73">
        <w:rPr>
          <w:bCs/>
        </w:rPr>
        <w:t>ЭТП – аспект доминирования на рынке</w:t>
      </w:r>
    </w:p>
    <w:p w:rsidR="0068434D" w:rsidRPr="00C252EF" w:rsidRDefault="0068434D" w:rsidP="000863D3">
      <w:pPr>
        <w:autoSpaceDE w:val="0"/>
        <w:autoSpaceDN w:val="0"/>
        <w:adjustRightInd w:val="0"/>
        <w:spacing w:after="0" w:line="320" w:lineRule="exact"/>
        <w:ind w:firstLine="709"/>
        <w:jc w:val="both"/>
        <w:rPr>
          <w:rFonts w:ascii="Times New Roman" w:hAnsi="Times New Roman"/>
          <w:bCs/>
          <w:sz w:val="28"/>
          <w:szCs w:val="28"/>
        </w:rPr>
      </w:pPr>
      <w:r w:rsidRPr="00C252EF">
        <w:rPr>
          <w:rFonts w:ascii="Times New Roman" w:hAnsi="Times New Roman"/>
          <w:bCs/>
          <w:sz w:val="28"/>
          <w:szCs w:val="28"/>
        </w:rPr>
        <w:t xml:space="preserve">ЭТП представляет </w:t>
      </w:r>
      <w:r w:rsidR="00095408">
        <w:rPr>
          <w:rFonts w:ascii="Times New Roman" w:hAnsi="Times New Roman"/>
          <w:bCs/>
          <w:sz w:val="28"/>
          <w:szCs w:val="28"/>
        </w:rPr>
        <w:t>собой</w:t>
      </w:r>
      <w:r w:rsidRPr="00C252EF">
        <w:rPr>
          <w:rFonts w:ascii="Times New Roman" w:hAnsi="Times New Roman"/>
          <w:bCs/>
          <w:sz w:val="28"/>
          <w:szCs w:val="28"/>
        </w:rPr>
        <w:t xml:space="preserve"> универсальную электронную площадку для организации контрактных отношений между всеми участниками перевозочного процесса на железных дорогах. Предполагается, что ЭТП позволит поднять на качественно иной уровень контрактации и в будущем уйти от заключения традиционных договоров перевозки и оперирования.</w:t>
      </w:r>
    </w:p>
    <w:p w:rsidR="0068434D" w:rsidRPr="00C252EF"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C252EF">
        <w:rPr>
          <w:rFonts w:ascii="Times New Roman" w:hAnsi="Times New Roman"/>
          <w:bCs/>
          <w:sz w:val="28"/>
          <w:szCs w:val="28"/>
        </w:rPr>
        <w:t xml:space="preserve">ЭТП представляет собой особый вид цифрового бизнес-актива, который сочетает возможность для собственника платформы агрегировать у себя значительные объемы данных о рынке, о его участниках, контрактации, ценах и пр., а также возможность оказывать влияние на общие условия обращения товара на рынке. </w:t>
      </w:r>
    </w:p>
    <w:p w:rsidR="0068434D" w:rsidRPr="00C252EF"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C252EF">
        <w:rPr>
          <w:rFonts w:ascii="Times New Roman" w:hAnsi="Times New Roman"/>
          <w:bCs/>
          <w:sz w:val="28"/>
          <w:szCs w:val="28"/>
        </w:rPr>
        <w:t xml:space="preserve">В ситуации, когда ЭТП </w:t>
      </w:r>
      <w:r>
        <w:rPr>
          <w:rFonts w:ascii="Times New Roman" w:hAnsi="Times New Roman"/>
          <w:bCs/>
          <w:sz w:val="28"/>
          <w:szCs w:val="28"/>
        </w:rPr>
        <w:t>управляется</w:t>
      </w:r>
      <w:r w:rsidRPr="00C252EF">
        <w:rPr>
          <w:rFonts w:ascii="Times New Roman" w:hAnsi="Times New Roman"/>
          <w:bCs/>
          <w:sz w:val="28"/>
          <w:szCs w:val="28"/>
        </w:rPr>
        <w:t xml:space="preserve"> и контролируется не независимым лицом, которое не является участником рынка железнодорожных перевозок, а на 100</w:t>
      </w:r>
      <w:r w:rsidR="004D2C9E">
        <w:rPr>
          <w:rFonts w:ascii="Times New Roman" w:hAnsi="Times New Roman"/>
          <w:bCs/>
          <w:sz w:val="28"/>
          <w:szCs w:val="28"/>
        </w:rPr>
        <w:t> %</w:t>
      </w:r>
      <w:r w:rsidRPr="00C252EF">
        <w:rPr>
          <w:rFonts w:ascii="Times New Roman" w:hAnsi="Times New Roman"/>
          <w:bCs/>
          <w:sz w:val="28"/>
          <w:szCs w:val="28"/>
        </w:rPr>
        <w:t xml:space="preserve"> подконтрольно одному из участников рынка железнодорожных перевозок – перевозчику и владельцу инфраструктуры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w:t>
      </w:r>
      <w:r w:rsidR="00095408">
        <w:rPr>
          <w:rFonts w:ascii="Times New Roman" w:hAnsi="Times New Roman"/>
          <w:bCs/>
          <w:sz w:val="28"/>
          <w:szCs w:val="28"/>
        </w:rPr>
        <w:t>,</w:t>
      </w:r>
      <w:r w:rsidRPr="00C252EF">
        <w:rPr>
          <w:rFonts w:ascii="Times New Roman" w:hAnsi="Times New Roman"/>
          <w:bCs/>
          <w:sz w:val="28"/>
          <w:szCs w:val="28"/>
        </w:rPr>
        <w:t xml:space="preserve"> ЭТП становится аспектом усиления доминирующего положения лица, которое контролирует ЭТП.</w:t>
      </w:r>
    </w:p>
    <w:p w:rsidR="0068434D" w:rsidRPr="00C252EF"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C252EF">
        <w:rPr>
          <w:rFonts w:ascii="Times New Roman" w:hAnsi="Times New Roman"/>
          <w:bCs/>
          <w:sz w:val="28"/>
          <w:szCs w:val="28"/>
        </w:rPr>
        <w:t xml:space="preserve">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xml:space="preserve"> в настоящее время, являясь по ряду направлений деятельности на рынке железнодорожного транспорта субъектом естественной монополии, в значительной мере определяет условия обращения товара на рынке для всех участников перевозочного процесса.</w:t>
      </w:r>
    </w:p>
    <w:p w:rsidR="0068434D" w:rsidRPr="00C252EF" w:rsidRDefault="0068434D" w:rsidP="004D2C9E">
      <w:pPr>
        <w:autoSpaceDE w:val="0"/>
        <w:autoSpaceDN w:val="0"/>
        <w:adjustRightInd w:val="0"/>
        <w:spacing w:after="0" w:line="240" w:lineRule="auto"/>
        <w:ind w:firstLine="709"/>
        <w:jc w:val="both"/>
        <w:rPr>
          <w:rFonts w:ascii="Times New Roman" w:hAnsi="Times New Roman"/>
          <w:bCs/>
          <w:sz w:val="28"/>
          <w:szCs w:val="28"/>
        </w:rPr>
      </w:pPr>
      <w:r w:rsidRPr="00C252EF">
        <w:rPr>
          <w:rFonts w:ascii="Times New Roman" w:hAnsi="Times New Roman"/>
          <w:bCs/>
          <w:sz w:val="28"/>
          <w:szCs w:val="28"/>
        </w:rPr>
        <w:t>Наличие доминирующего положения на рынке железнодорожных перевозок и обладание ресурсами ЭТП может в перспективе приводить к злоупотреблени</w:t>
      </w:r>
      <w:r w:rsidR="00993438">
        <w:rPr>
          <w:rFonts w:ascii="Times New Roman" w:hAnsi="Times New Roman"/>
          <w:bCs/>
          <w:sz w:val="28"/>
          <w:szCs w:val="28"/>
        </w:rPr>
        <w:t>ю</w:t>
      </w:r>
      <w:r w:rsidRPr="00C252EF">
        <w:rPr>
          <w:rFonts w:ascii="Times New Roman" w:hAnsi="Times New Roman"/>
          <w:bCs/>
          <w:sz w:val="28"/>
          <w:szCs w:val="28"/>
        </w:rPr>
        <w:t xml:space="preserve"> своими правами в отношении операторов и иных участников рынка со стороны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что может содержать признаки нарушения ст</w:t>
      </w:r>
      <w:r w:rsidR="00207B91">
        <w:rPr>
          <w:rFonts w:ascii="Times New Roman" w:hAnsi="Times New Roman"/>
          <w:bCs/>
          <w:sz w:val="28"/>
          <w:szCs w:val="28"/>
        </w:rPr>
        <w:t>атьи</w:t>
      </w:r>
      <w:r w:rsidRPr="00C252EF">
        <w:rPr>
          <w:rFonts w:ascii="Times New Roman" w:hAnsi="Times New Roman"/>
          <w:bCs/>
          <w:sz w:val="28"/>
          <w:szCs w:val="28"/>
        </w:rPr>
        <w:t xml:space="preserve"> 10 Федерального закона от 26</w:t>
      </w:r>
      <w:r w:rsidR="00704DEE">
        <w:rPr>
          <w:rFonts w:ascii="Times New Roman" w:hAnsi="Times New Roman"/>
          <w:bCs/>
          <w:sz w:val="28"/>
          <w:szCs w:val="28"/>
        </w:rPr>
        <w:t xml:space="preserve"> июля </w:t>
      </w:r>
      <w:r w:rsidRPr="00C252EF">
        <w:rPr>
          <w:rFonts w:ascii="Times New Roman" w:hAnsi="Times New Roman"/>
          <w:bCs/>
          <w:sz w:val="28"/>
          <w:szCs w:val="28"/>
        </w:rPr>
        <w:t>2006</w:t>
      </w:r>
      <w:r w:rsidR="00704DEE">
        <w:rPr>
          <w:rFonts w:ascii="Times New Roman" w:hAnsi="Times New Roman"/>
          <w:bCs/>
          <w:sz w:val="28"/>
          <w:szCs w:val="28"/>
        </w:rPr>
        <w:t xml:space="preserve"> года</w:t>
      </w:r>
      <w:r w:rsidRPr="00C252EF">
        <w:rPr>
          <w:rFonts w:ascii="Times New Roman" w:hAnsi="Times New Roman"/>
          <w:bCs/>
          <w:sz w:val="28"/>
          <w:szCs w:val="28"/>
        </w:rPr>
        <w:t xml:space="preserve"> </w:t>
      </w:r>
      <w:r w:rsidR="00E720B2">
        <w:rPr>
          <w:rFonts w:ascii="Times New Roman" w:hAnsi="Times New Roman"/>
          <w:bCs/>
          <w:sz w:val="28"/>
          <w:szCs w:val="28"/>
        </w:rPr>
        <w:t>№ </w:t>
      </w:r>
      <w:r w:rsidRPr="00C252EF">
        <w:rPr>
          <w:rFonts w:ascii="Times New Roman" w:hAnsi="Times New Roman"/>
          <w:bCs/>
          <w:sz w:val="28"/>
          <w:szCs w:val="28"/>
        </w:rPr>
        <w:t xml:space="preserve">135-ФЗ </w:t>
      </w:r>
      <w:r w:rsidR="00B77E73">
        <w:rPr>
          <w:rFonts w:ascii="Times New Roman" w:hAnsi="Times New Roman"/>
          <w:bCs/>
          <w:sz w:val="28"/>
          <w:szCs w:val="28"/>
        </w:rPr>
        <w:br/>
      </w:r>
      <w:r w:rsidR="004D2C9E">
        <w:rPr>
          <w:rFonts w:ascii="Times New Roman" w:hAnsi="Times New Roman"/>
          <w:bCs/>
          <w:sz w:val="28"/>
          <w:szCs w:val="28"/>
        </w:rPr>
        <w:t>«</w:t>
      </w:r>
      <w:r w:rsidRPr="00C252EF">
        <w:rPr>
          <w:rFonts w:ascii="Times New Roman" w:hAnsi="Times New Roman"/>
          <w:bCs/>
          <w:sz w:val="28"/>
          <w:szCs w:val="28"/>
        </w:rPr>
        <w:t>О защите конкуренции</w:t>
      </w:r>
      <w:r w:rsidR="004D2C9E">
        <w:rPr>
          <w:rFonts w:ascii="Times New Roman" w:hAnsi="Times New Roman"/>
          <w:bCs/>
          <w:sz w:val="28"/>
          <w:szCs w:val="28"/>
        </w:rPr>
        <w:t>»</w:t>
      </w:r>
      <w:r w:rsidRPr="00C252EF">
        <w:rPr>
          <w:rFonts w:ascii="Times New Roman" w:hAnsi="Times New Roman"/>
          <w:bCs/>
          <w:sz w:val="28"/>
          <w:szCs w:val="28"/>
        </w:rPr>
        <w:t xml:space="preserve">. Вместе с тем, учитывая, что ЭТП предполагает вовлечение всех участников рынка железнодорожных перевозок на электронную площадку, обеспечивающую их взаимодействие и контрактацию,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xml:space="preserve"> получит возможность получать экономическую выгоду от нарастающего сетевого эффекта, возможности обрабатывать и использовать информацию обо всех участниках рынка, а также возможности оказывать влияние на ценообразование во всей отрасли.</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 xml:space="preserve">Таким образом, неконтролируемый рост влияния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xml:space="preserve"> на товарный рынок может повлечь непрогнозируемые последствия для конкуренции и отрасли в целом. Данный аспект функционирования ЭТП подлежит дополнительной оценке на предмет потенциальных эффектов, оказываемых на рынок железнодорожных перевозок.</w:t>
      </w:r>
    </w:p>
    <w:p w:rsidR="0068434D" w:rsidRPr="004D2C9E" w:rsidRDefault="0068434D" w:rsidP="00961BCD">
      <w:pPr>
        <w:pStyle w:val="7"/>
        <w:autoSpaceDE w:val="0"/>
        <w:autoSpaceDN w:val="0"/>
        <w:adjustRightInd w:val="0"/>
        <w:spacing w:line="315" w:lineRule="exact"/>
        <w:rPr>
          <w:bCs/>
        </w:rPr>
      </w:pPr>
      <w:r w:rsidRPr="004D2C9E">
        <w:rPr>
          <w:bCs/>
        </w:rPr>
        <w:t>ЭТП – риски нового формата бизнеса</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 xml:space="preserve">Оценивая риски тотального введения механизма контрактации посредством ЭТП, следует отметить, что отсутствие учета особенностей ведения бизнеса, издержек и специфики положения операторов на </w:t>
      </w:r>
      <w:r w:rsidR="00207B91">
        <w:rPr>
          <w:rFonts w:ascii="Times New Roman" w:hAnsi="Times New Roman"/>
          <w:bCs/>
          <w:sz w:val="28"/>
          <w:szCs w:val="28"/>
        </w:rPr>
        <w:t xml:space="preserve">рынке железнодорожных перевозок </w:t>
      </w:r>
      <w:r w:rsidRPr="00C252EF">
        <w:rPr>
          <w:rFonts w:ascii="Times New Roman" w:hAnsi="Times New Roman"/>
          <w:bCs/>
          <w:sz w:val="28"/>
          <w:szCs w:val="28"/>
        </w:rPr>
        <w:t xml:space="preserve">ведет </w:t>
      </w:r>
      <w:r w:rsidR="00207B91">
        <w:rPr>
          <w:rFonts w:ascii="Times New Roman" w:hAnsi="Times New Roman"/>
          <w:bCs/>
          <w:sz w:val="28"/>
          <w:szCs w:val="28"/>
        </w:rPr>
        <w:t xml:space="preserve">к </w:t>
      </w:r>
      <w:r w:rsidRPr="00C252EF">
        <w:rPr>
          <w:rFonts w:ascii="Times New Roman" w:hAnsi="Times New Roman"/>
          <w:bCs/>
          <w:sz w:val="28"/>
          <w:szCs w:val="28"/>
        </w:rPr>
        <w:t>дисбалансу уже сложившихся бизнес-моделей и практики контрактации.</w:t>
      </w:r>
    </w:p>
    <w:p w:rsidR="0068434D" w:rsidRPr="000863D3" w:rsidRDefault="0068434D" w:rsidP="00961BCD">
      <w:pPr>
        <w:autoSpaceDE w:val="0"/>
        <w:autoSpaceDN w:val="0"/>
        <w:adjustRightInd w:val="0"/>
        <w:spacing w:after="0" w:line="315" w:lineRule="exact"/>
        <w:ind w:firstLine="709"/>
        <w:jc w:val="both"/>
        <w:rPr>
          <w:rFonts w:ascii="Times New Roman" w:hAnsi="Times New Roman"/>
          <w:bCs/>
          <w:spacing w:val="-4"/>
          <w:sz w:val="28"/>
          <w:szCs w:val="28"/>
        </w:rPr>
      </w:pPr>
      <w:r w:rsidRPr="00C252EF">
        <w:rPr>
          <w:rFonts w:ascii="Times New Roman" w:hAnsi="Times New Roman"/>
          <w:bCs/>
          <w:sz w:val="28"/>
          <w:szCs w:val="28"/>
        </w:rPr>
        <w:t xml:space="preserve">Так, разница в ведении бизнеса крупными и мелкими операторами в </w:t>
      </w:r>
      <w:r w:rsidRPr="000863D3">
        <w:rPr>
          <w:rFonts w:ascii="Times New Roman" w:hAnsi="Times New Roman"/>
          <w:bCs/>
          <w:spacing w:val="-4"/>
          <w:sz w:val="28"/>
          <w:szCs w:val="28"/>
        </w:rPr>
        <w:t>настоящее время не учитывается ни одним из аспектов функционирования ЭТП.</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Одним из главных аспектов функционирования крупных железнодорожных операторов является наличие сформированных контрактных связей с грузоотправителями/грузополучателями. Оформление указанных контрактных связей происходит посредством заключения долгосрочных контрактов операторов с грузоотправителями/грузополучателями. Соответствующим образом в условиях развивающегося рынка операторских услуг происходит ценообразование на услуги операторов.</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Отсутствие механизмов, а также каких-либо переходных периодов внедрения ЭТП создает опасность ликвидации существующих бизнес-связей для операторов и грузоотправителей/грузополучателей, ликвидации существующих в настоящее время обычаев делового оборота на данном рынке, а также к разрыву уже заключенных контрактов на предоставление подвижного состава.</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Кроме того, внедрение ЭТП в значительной мере скажется на перег</w:t>
      </w:r>
      <w:r w:rsidR="00207B91">
        <w:rPr>
          <w:rFonts w:ascii="Times New Roman" w:hAnsi="Times New Roman"/>
          <w:bCs/>
          <w:sz w:val="28"/>
          <w:szCs w:val="28"/>
        </w:rPr>
        <w:t>оворной силе участников рынка и в первую очередь</w:t>
      </w:r>
      <w:r w:rsidRPr="00C252EF">
        <w:rPr>
          <w:rFonts w:ascii="Times New Roman" w:hAnsi="Times New Roman"/>
          <w:bCs/>
          <w:sz w:val="28"/>
          <w:szCs w:val="28"/>
        </w:rPr>
        <w:t xml:space="preserve"> операторов подвижного состава. Так, отсутствие возможности вести переговоры напрямую, минуя ЭТП, потенциально скажется на возможности крупнейших операторов оказывать влияние на рынок железнодорожных перевозок, тем самым сохраняя баланс с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xml:space="preserve"> и грузоотправителями/грузополучателями. Для крупнейших операторов данны</w:t>
      </w:r>
      <w:r w:rsidR="00207B91">
        <w:rPr>
          <w:rFonts w:ascii="Times New Roman" w:hAnsi="Times New Roman"/>
          <w:bCs/>
          <w:sz w:val="28"/>
          <w:szCs w:val="28"/>
        </w:rPr>
        <w:t xml:space="preserve">й факт особенно примечателен, так </w:t>
      </w:r>
      <w:r w:rsidRPr="00C252EF">
        <w:rPr>
          <w:rFonts w:ascii="Times New Roman" w:hAnsi="Times New Roman"/>
          <w:bCs/>
          <w:sz w:val="28"/>
          <w:szCs w:val="28"/>
        </w:rPr>
        <w:t>к</w:t>
      </w:r>
      <w:r w:rsidR="00207B91">
        <w:rPr>
          <w:rFonts w:ascii="Times New Roman" w:hAnsi="Times New Roman"/>
          <w:bCs/>
          <w:sz w:val="28"/>
          <w:szCs w:val="28"/>
        </w:rPr>
        <w:t>ак</w:t>
      </w:r>
      <w:r w:rsidR="000863D3">
        <w:rPr>
          <w:rFonts w:ascii="Times New Roman" w:hAnsi="Times New Roman"/>
          <w:bCs/>
          <w:sz w:val="28"/>
          <w:szCs w:val="28"/>
        </w:rPr>
        <w:t xml:space="preserve"> в 2017 </w:t>
      </w:r>
      <w:r w:rsidRPr="00C252EF">
        <w:rPr>
          <w:rFonts w:ascii="Times New Roman" w:hAnsi="Times New Roman"/>
          <w:bCs/>
          <w:sz w:val="28"/>
          <w:szCs w:val="28"/>
        </w:rPr>
        <w:t>г</w:t>
      </w:r>
      <w:r w:rsidR="00704DEE">
        <w:rPr>
          <w:rFonts w:ascii="Times New Roman" w:hAnsi="Times New Roman"/>
          <w:bCs/>
          <w:sz w:val="28"/>
          <w:szCs w:val="28"/>
        </w:rPr>
        <w:t>оду</w:t>
      </w:r>
      <w:r w:rsidRPr="00C252EF">
        <w:rPr>
          <w:rFonts w:ascii="Times New Roman" w:hAnsi="Times New Roman"/>
          <w:bCs/>
          <w:sz w:val="28"/>
          <w:szCs w:val="28"/>
        </w:rPr>
        <w:t xml:space="preserve"> ФАС России констатировала наличие коллективного доминирования на рынке операторских услуг со стороны трех операторов (АО </w:t>
      </w:r>
      <w:r w:rsidR="004D2C9E">
        <w:rPr>
          <w:rFonts w:ascii="Times New Roman" w:hAnsi="Times New Roman"/>
          <w:bCs/>
          <w:sz w:val="28"/>
          <w:szCs w:val="28"/>
        </w:rPr>
        <w:t>«</w:t>
      </w:r>
      <w:r w:rsidR="00207B91" w:rsidRPr="00207B91">
        <w:rPr>
          <w:rFonts w:ascii="Times New Roman" w:hAnsi="Times New Roman"/>
          <w:bCs/>
          <w:sz w:val="28"/>
          <w:szCs w:val="28"/>
        </w:rPr>
        <w:t>Федеральная грузовая компания</w:t>
      </w:r>
      <w:r w:rsidR="004D2C9E">
        <w:rPr>
          <w:rFonts w:ascii="Times New Roman" w:hAnsi="Times New Roman"/>
          <w:bCs/>
          <w:sz w:val="28"/>
          <w:szCs w:val="28"/>
        </w:rPr>
        <w:t>»</w:t>
      </w:r>
      <w:r w:rsidRPr="00C252EF">
        <w:rPr>
          <w:rFonts w:ascii="Times New Roman" w:hAnsi="Times New Roman"/>
          <w:bCs/>
          <w:sz w:val="28"/>
          <w:szCs w:val="28"/>
        </w:rPr>
        <w:t xml:space="preserve">, АО </w:t>
      </w:r>
      <w:r w:rsidR="004D2C9E">
        <w:rPr>
          <w:rFonts w:ascii="Times New Roman" w:hAnsi="Times New Roman"/>
          <w:bCs/>
          <w:sz w:val="28"/>
          <w:szCs w:val="28"/>
        </w:rPr>
        <w:t>«</w:t>
      </w:r>
      <w:r w:rsidR="00207B91" w:rsidRPr="00207B91">
        <w:rPr>
          <w:rFonts w:ascii="Times New Roman" w:hAnsi="Times New Roman"/>
          <w:bCs/>
          <w:sz w:val="28"/>
          <w:szCs w:val="28"/>
        </w:rPr>
        <w:t xml:space="preserve">Первая </w:t>
      </w:r>
      <w:r w:rsidR="005D43C0">
        <w:rPr>
          <w:rFonts w:ascii="Times New Roman" w:hAnsi="Times New Roman"/>
          <w:bCs/>
          <w:sz w:val="28"/>
          <w:szCs w:val="28"/>
        </w:rPr>
        <w:t>г</w:t>
      </w:r>
      <w:r w:rsidR="00207B91" w:rsidRPr="00207B91">
        <w:rPr>
          <w:rFonts w:ascii="Times New Roman" w:hAnsi="Times New Roman"/>
          <w:bCs/>
          <w:sz w:val="28"/>
          <w:szCs w:val="28"/>
        </w:rPr>
        <w:t xml:space="preserve">рузовая </w:t>
      </w:r>
      <w:r w:rsidR="005D43C0">
        <w:rPr>
          <w:rFonts w:ascii="Times New Roman" w:hAnsi="Times New Roman"/>
          <w:bCs/>
          <w:sz w:val="28"/>
          <w:szCs w:val="28"/>
        </w:rPr>
        <w:t>к</w:t>
      </w:r>
      <w:r w:rsidR="00207B91" w:rsidRPr="00207B91">
        <w:rPr>
          <w:rFonts w:ascii="Times New Roman" w:hAnsi="Times New Roman"/>
          <w:bCs/>
          <w:sz w:val="28"/>
          <w:szCs w:val="28"/>
        </w:rPr>
        <w:t>омпания</w:t>
      </w:r>
      <w:r w:rsidR="004D2C9E" w:rsidRPr="00207B91">
        <w:rPr>
          <w:rFonts w:ascii="Times New Roman" w:hAnsi="Times New Roman"/>
          <w:bCs/>
          <w:sz w:val="28"/>
          <w:szCs w:val="28"/>
        </w:rPr>
        <w:t>»</w:t>
      </w:r>
      <w:r w:rsidRPr="00C252EF">
        <w:rPr>
          <w:rFonts w:ascii="Times New Roman" w:hAnsi="Times New Roman"/>
          <w:bCs/>
          <w:sz w:val="28"/>
          <w:szCs w:val="28"/>
        </w:rPr>
        <w:t xml:space="preserve"> и АО</w:t>
      </w:r>
      <w:r w:rsidR="00B77E73">
        <w:rPr>
          <w:rFonts w:ascii="Times New Roman" w:hAnsi="Times New Roman"/>
          <w:bCs/>
          <w:sz w:val="28"/>
          <w:szCs w:val="28"/>
        </w:rPr>
        <w:t> </w:t>
      </w:r>
      <w:r w:rsidR="004D2C9E">
        <w:rPr>
          <w:rFonts w:ascii="Times New Roman" w:hAnsi="Times New Roman"/>
          <w:bCs/>
          <w:sz w:val="28"/>
          <w:szCs w:val="28"/>
        </w:rPr>
        <w:t>«</w:t>
      </w:r>
      <w:r w:rsidR="00207B91" w:rsidRPr="00207B91">
        <w:rPr>
          <w:rFonts w:ascii="Times New Roman" w:hAnsi="Times New Roman"/>
          <w:bCs/>
          <w:sz w:val="28"/>
          <w:szCs w:val="28"/>
        </w:rPr>
        <w:t>Новая перевозочная компания</w:t>
      </w:r>
      <w:r w:rsidR="004D2C9E">
        <w:rPr>
          <w:rFonts w:ascii="Times New Roman" w:hAnsi="Times New Roman"/>
          <w:bCs/>
          <w:sz w:val="28"/>
          <w:szCs w:val="28"/>
        </w:rPr>
        <w:t>»</w:t>
      </w:r>
      <w:r w:rsidRPr="00C252EF">
        <w:rPr>
          <w:rFonts w:ascii="Times New Roman" w:hAnsi="Times New Roman"/>
          <w:bCs/>
          <w:sz w:val="28"/>
          <w:szCs w:val="28"/>
        </w:rPr>
        <w:t>). Так, на фоне работы ЭТП формальное отнесение трех операторов к занимающим коллективное доминирующее положение субъектам в действительности не будет иметь никакого смысла в связи с полной утратой указанными хозяйствующими субъектами переговорной силы и способности оказывать влияние на товарный рынок.</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При этом до настоящего времени остаются неясны те экономические стимулы для операторов железнодорожного подвижного состава к размещению предложений по пр</w:t>
      </w:r>
      <w:r w:rsidR="005D43C0">
        <w:rPr>
          <w:rFonts w:ascii="Times New Roman" w:hAnsi="Times New Roman"/>
          <w:bCs/>
          <w:sz w:val="28"/>
          <w:szCs w:val="28"/>
        </w:rPr>
        <w:t>едоставлению полувагонов на ЭТП</w:t>
      </w:r>
      <w:r w:rsidRPr="00C252EF">
        <w:rPr>
          <w:rFonts w:ascii="Times New Roman" w:hAnsi="Times New Roman"/>
          <w:bCs/>
          <w:sz w:val="28"/>
          <w:szCs w:val="28"/>
        </w:rPr>
        <w:t xml:space="preserve"> по сравнению с иными способами размещения предложений и контрактации, которые могут быть предложены со стороны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Экономический эффект ЭТП для операторов, грузоотправителей и грузополучателей не проработан и должным образом не оценен.</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 xml:space="preserve">Таким образом, ЭТП, представляя </w:t>
      </w:r>
      <w:r w:rsidR="00207B91">
        <w:rPr>
          <w:rFonts w:ascii="Times New Roman" w:hAnsi="Times New Roman"/>
          <w:bCs/>
          <w:sz w:val="28"/>
          <w:szCs w:val="28"/>
        </w:rPr>
        <w:t>собой</w:t>
      </w:r>
      <w:r w:rsidRPr="00C252EF">
        <w:rPr>
          <w:rFonts w:ascii="Times New Roman" w:hAnsi="Times New Roman"/>
          <w:bCs/>
          <w:sz w:val="28"/>
          <w:szCs w:val="28"/>
        </w:rPr>
        <w:t xml:space="preserve"> новый формат бизнеса для участников рынка железнодорожных перевозок, нуждается в тестировании с т</w:t>
      </w:r>
      <w:r w:rsidR="00207B91">
        <w:rPr>
          <w:rFonts w:ascii="Times New Roman" w:hAnsi="Times New Roman"/>
          <w:bCs/>
          <w:sz w:val="28"/>
          <w:szCs w:val="28"/>
        </w:rPr>
        <w:t xml:space="preserve">очки </w:t>
      </w:r>
      <w:r w:rsidRPr="00C252EF">
        <w:rPr>
          <w:rFonts w:ascii="Times New Roman" w:hAnsi="Times New Roman"/>
          <w:bCs/>
          <w:sz w:val="28"/>
          <w:szCs w:val="28"/>
        </w:rPr>
        <w:t>зр</w:t>
      </w:r>
      <w:r w:rsidR="00207B91">
        <w:rPr>
          <w:rFonts w:ascii="Times New Roman" w:hAnsi="Times New Roman"/>
          <w:bCs/>
          <w:sz w:val="28"/>
          <w:szCs w:val="28"/>
        </w:rPr>
        <w:t>ения</w:t>
      </w:r>
      <w:r w:rsidRPr="00C252EF">
        <w:rPr>
          <w:rFonts w:ascii="Times New Roman" w:hAnsi="Times New Roman"/>
          <w:bCs/>
          <w:sz w:val="28"/>
          <w:szCs w:val="28"/>
        </w:rPr>
        <w:t xml:space="preserve"> необходимости сохранения уже наработанных рыночных механизмов взаимодействия всех участников рынка, а также гармоничного перехода от старых методов контрактации к новым, без разрыва уже сложившихся межорганизационных корпоративных связей.</w:t>
      </w:r>
    </w:p>
    <w:p w:rsidR="0068434D" w:rsidRPr="004D2C9E" w:rsidRDefault="0068434D" w:rsidP="00961BCD">
      <w:pPr>
        <w:pStyle w:val="7"/>
        <w:autoSpaceDE w:val="0"/>
        <w:autoSpaceDN w:val="0"/>
        <w:adjustRightInd w:val="0"/>
        <w:spacing w:line="315" w:lineRule="exact"/>
        <w:rPr>
          <w:bCs/>
        </w:rPr>
      </w:pPr>
      <w:r w:rsidRPr="004D2C9E">
        <w:rPr>
          <w:bCs/>
        </w:rPr>
        <w:t>ЭТП – аспект координации и антиконкурентного взаимодействия</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 xml:space="preserve">Представляя из себя электронную площадку для контрактации участников рынка железнодорожного транспорта, ЭТП, находясь под контролем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создает ряд рисков, связанных с потенциальной возможностью антиконкурентного взаимодействия.</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 xml:space="preserve">Так, в частности, наличие доступа к ценам и процессам ценообразования на ЭТП может позволить ОАО </w:t>
      </w:r>
      <w:r w:rsidR="004D2C9E">
        <w:rPr>
          <w:rFonts w:ascii="Times New Roman" w:hAnsi="Times New Roman"/>
          <w:bCs/>
          <w:sz w:val="28"/>
          <w:szCs w:val="28"/>
        </w:rPr>
        <w:t>«</w:t>
      </w:r>
      <w:r w:rsidRPr="00C252EF">
        <w:rPr>
          <w:rFonts w:ascii="Times New Roman" w:hAnsi="Times New Roman"/>
          <w:bCs/>
          <w:sz w:val="28"/>
          <w:szCs w:val="28"/>
        </w:rPr>
        <w:t>РЖД</w:t>
      </w:r>
      <w:r w:rsidR="004D2C9E">
        <w:rPr>
          <w:rFonts w:ascii="Times New Roman" w:hAnsi="Times New Roman"/>
          <w:bCs/>
          <w:sz w:val="28"/>
          <w:szCs w:val="28"/>
        </w:rPr>
        <w:t>»</w:t>
      </w:r>
      <w:r w:rsidRPr="00C252EF">
        <w:rPr>
          <w:rFonts w:ascii="Times New Roman" w:hAnsi="Times New Roman"/>
          <w:bCs/>
          <w:sz w:val="28"/>
          <w:szCs w:val="28"/>
        </w:rPr>
        <w:t xml:space="preserve"> в перспективе осуществлять координацию хозяйственной деятельности операторов подвижного состава, что может содерж</w:t>
      </w:r>
      <w:r w:rsidR="00207B91">
        <w:rPr>
          <w:rFonts w:ascii="Times New Roman" w:hAnsi="Times New Roman"/>
          <w:bCs/>
          <w:sz w:val="28"/>
          <w:szCs w:val="28"/>
        </w:rPr>
        <w:t>ать признаки нарушения части</w:t>
      </w:r>
      <w:r w:rsidRPr="00C252EF">
        <w:rPr>
          <w:rFonts w:ascii="Times New Roman" w:hAnsi="Times New Roman"/>
          <w:bCs/>
          <w:sz w:val="28"/>
          <w:szCs w:val="28"/>
        </w:rPr>
        <w:t xml:space="preserve"> 5 с</w:t>
      </w:r>
      <w:r w:rsidR="00704DEE">
        <w:rPr>
          <w:rFonts w:ascii="Times New Roman" w:hAnsi="Times New Roman"/>
          <w:bCs/>
          <w:sz w:val="28"/>
          <w:szCs w:val="28"/>
        </w:rPr>
        <w:t>т</w:t>
      </w:r>
      <w:r w:rsidR="00207B91">
        <w:rPr>
          <w:rFonts w:ascii="Times New Roman" w:hAnsi="Times New Roman"/>
          <w:bCs/>
          <w:sz w:val="28"/>
          <w:szCs w:val="28"/>
        </w:rPr>
        <w:t>атьи</w:t>
      </w:r>
      <w:r w:rsidR="00704DEE">
        <w:rPr>
          <w:rFonts w:ascii="Times New Roman" w:hAnsi="Times New Roman"/>
          <w:bCs/>
          <w:sz w:val="28"/>
          <w:szCs w:val="28"/>
        </w:rPr>
        <w:t xml:space="preserve"> 11 Федерального закона от 26 июля </w:t>
      </w:r>
      <w:r w:rsidRPr="00C252EF">
        <w:rPr>
          <w:rFonts w:ascii="Times New Roman" w:hAnsi="Times New Roman"/>
          <w:bCs/>
          <w:sz w:val="28"/>
          <w:szCs w:val="28"/>
        </w:rPr>
        <w:t>2006</w:t>
      </w:r>
      <w:r w:rsidR="00704DEE">
        <w:rPr>
          <w:rFonts w:ascii="Times New Roman" w:hAnsi="Times New Roman"/>
          <w:bCs/>
          <w:sz w:val="28"/>
          <w:szCs w:val="28"/>
        </w:rPr>
        <w:t xml:space="preserve"> года</w:t>
      </w:r>
      <w:r w:rsidRPr="00C252EF">
        <w:rPr>
          <w:rFonts w:ascii="Times New Roman" w:hAnsi="Times New Roman"/>
          <w:bCs/>
          <w:sz w:val="28"/>
          <w:szCs w:val="28"/>
        </w:rPr>
        <w:t xml:space="preserve"> </w:t>
      </w:r>
      <w:r w:rsidR="00E720B2">
        <w:rPr>
          <w:rFonts w:ascii="Times New Roman" w:hAnsi="Times New Roman"/>
          <w:bCs/>
          <w:sz w:val="28"/>
          <w:szCs w:val="28"/>
        </w:rPr>
        <w:t>№ </w:t>
      </w:r>
      <w:r w:rsidRPr="00C252EF">
        <w:rPr>
          <w:rFonts w:ascii="Times New Roman" w:hAnsi="Times New Roman"/>
          <w:bCs/>
          <w:sz w:val="28"/>
          <w:szCs w:val="28"/>
        </w:rPr>
        <w:t xml:space="preserve">135-ФЗ </w:t>
      </w:r>
      <w:r w:rsidR="004D2C9E">
        <w:rPr>
          <w:rFonts w:ascii="Times New Roman" w:hAnsi="Times New Roman"/>
          <w:bCs/>
          <w:sz w:val="28"/>
          <w:szCs w:val="28"/>
        </w:rPr>
        <w:t>«</w:t>
      </w:r>
      <w:r w:rsidRPr="00C252EF">
        <w:rPr>
          <w:rFonts w:ascii="Times New Roman" w:hAnsi="Times New Roman"/>
          <w:bCs/>
          <w:sz w:val="28"/>
          <w:szCs w:val="28"/>
        </w:rPr>
        <w:t>О защите конкуренции</w:t>
      </w:r>
      <w:r w:rsidR="004D2C9E">
        <w:rPr>
          <w:rFonts w:ascii="Times New Roman" w:hAnsi="Times New Roman"/>
          <w:bCs/>
          <w:sz w:val="28"/>
          <w:szCs w:val="28"/>
        </w:rPr>
        <w:t>»</w:t>
      </w:r>
      <w:r w:rsidRPr="00C252EF">
        <w:rPr>
          <w:rFonts w:ascii="Times New Roman" w:hAnsi="Times New Roman"/>
          <w:bCs/>
          <w:sz w:val="28"/>
          <w:szCs w:val="28"/>
        </w:rPr>
        <w:t>.</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Кроме того, отсутствие прозрачных механизмов взаимодействия продавцов и покупателей операторских услуг может создавать риск вовлечения хозяйствующих субъектов в антиконкурентные соглашения и согласованные действия.</w:t>
      </w:r>
    </w:p>
    <w:p w:rsidR="0068434D" w:rsidRPr="00C252EF"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Так, в 2014 г</w:t>
      </w:r>
      <w:r w:rsidR="00704DEE">
        <w:rPr>
          <w:rFonts w:ascii="Times New Roman" w:hAnsi="Times New Roman"/>
          <w:bCs/>
          <w:sz w:val="28"/>
          <w:szCs w:val="28"/>
        </w:rPr>
        <w:t>оду</w:t>
      </w:r>
      <w:r w:rsidRPr="00C252EF">
        <w:rPr>
          <w:rFonts w:ascii="Times New Roman" w:hAnsi="Times New Roman"/>
          <w:bCs/>
          <w:sz w:val="28"/>
          <w:szCs w:val="28"/>
        </w:rPr>
        <w:t xml:space="preserve"> ФАС России было инициировано расследование в отношении деятельности участников торгов на Санкт-Петербургской международной товарно-сырьевой бирже в связи с выявлением фактов манипулирования ценами на бирже (https://www.kommersant.ru/doc/2618174).</w:t>
      </w:r>
    </w:p>
    <w:p w:rsidR="0068434D" w:rsidRDefault="0068434D" w:rsidP="00961BCD">
      <w:pPr>
        <w:autoSpaceDE w:val="0"/>
        <w:autoSpaceDN w:val="0"/>
        <w:adjustRightInd w:val="0"/>
        <w:spacing w:after="0" w:line="315" w:lineRule="exact"/>
        <w:ind w:firstLine="709"/>
        <w:jc w:val="both"/>
        <w:rPr>
          <w:rFonts w:ascii="Times New Roman" w:hAnsi="Times New Roman"/>
          <w:bCs/>
          <w:sz w:val="28"/>
          <w:szCs w:val="28"/>
        </w:rPr>
      </w:pPr>
      <w:r w:rsidRPr="00C252EF">
        <w:rPr>
          <w:rFonts w:ascii="Times New Roman" w:hAnsi="Times New Roman"/>
          <w:bCs/>
          <w:sz w:val="28"/>
          <w:szCs w:val="28"/>
        </w:rPr>
        <w:t>Таким образом, учитывая тот факт, что ЭТП является попыткой сымитировать биржевые торги на рынке железнодорожных перевозок,</w:t>
      </w:r>
      <w:r w:rsidR="00902564" w:rsidRPr="00902564">
        <w:t xml:space="preserve"> </w:t>
      </w:r>
      <w:r w:rsidR="00902564" w:rsidRPr="00902564">
        <w:rPr>
          <w:rFonts w:ascii="Times New Roman" w:hAnsi="Times New Roman"/>
          <w:bCs/>
          <w:sz w:val="28"/>
          <w:szCs w:val="28"/>
        </w:rPr>
        <w:t>основываясь на принципах открытости, недискриминационности, паритетности и конкурентности,</w:t>
      </w:r>
      <w:r w:rsidRPr="00C252EF">
        <w:rPr>
          <w:rFonts w:ascii="Times New Roman" w:hAnsi="Times New Roman"/>
          <w:bCs/>
          <w:sz w:val="28"/>
          <w:szCs w:val="28"/>
        </w:rPr>
        <w:t xml:space="preserve"> вопрос налаживани</w:t>
      </w:r>
      <w:r w:rsidR="00207B91">
        <w:rPr>
          <w:rFonts w:ascii="Times New Roman" w:hAnsi="Times New Roman"/>
          <w:bCs/>
          <w:sz w:val="28"/>
          <w:szCs w:val="28"/>
        </w:rPr>
        <w:t>я</w:t>
      </w:r>
      <w:r w:rsidRPr="00C252EF">
        <w:rPr>
          <w:rFonts w:ascii="Times New Roman" w:hAnsi="Times New Roman"/>
          <w:bCs/>
          <w:sz w:val="28"/>
          <w:szCs w:val="28"/>
        </w:rPr>
        <w:t xml:space="preserve"> меж</w:t>
      </w:r>
      <w:r w:rsidR="00207B91">
        <w:rPr>
          <w:rFonts w:ascii="Times New Roman" w:hAnsi="Times New Roman"/>
          <w:bCs/>
          <w:sz w:val="28"/>
          <w:szCs w:val="28"/>
        </w:rPr>
        <w:t>организационного взаимодействия</w:t>
      </w:r>
      <w:r w:rsidRPr="00C252EF">
        <w:rPr>
          <w:rFonts w:ascii="Times New Roman" w:hAnsi="Times New Roman"/>
          <w:bCs/>
          <w:sz w:val="28"/>
          <w:szCs w:val="28"/>
        </w:rPr>
        <w:t xml:space="preserve"> должен </w:t>
      </w:r>
      <w:r w:rsidR="00207B91">
        <w:rPr>
          <w:rFonts w:ascii="Times New Roman" w:hAnsi="Times New Roman"/>
          <w:bCs/>
          <w:sz w:val="28"/>
          <w:szCs w:val="28"/>
        </w:rPr>
        <w:t>быть приоритетным</w:t>
      </w:r>
      <w:r w:rsidRPr="00C252EF">
        <w:rPr>
          <w:rFonts w:ascii="Times New Roman" w:hAnsi="Times New Roman"/>
          <w:bCs/>
          <w:sz w:val="28"/>
          <w:szCs w:val="28"/>
        </w:rPr>
        <w:t xml:space="preserve"> </w:t>
      </w:r>
      <w:r w:rsidR="00207B91">
        <w:rPr>
          <w:rFonts w:ascii="Times New Roman" w:hAnsi="Times New Roman"/>
          <w:bCs/>
          <w:sz w:val="28"/>
          <w:szCs w:val="28"/>
        </w:rPr>
        <w:t>при</w:t>
      </w:r>
      <w:r w:rsidRPr="00C252EF">
        <w:rPr>
          <w:rFonts w:ascii="Times New Roman" w:hAnsi="Times New Roman"/>
          <w:bCs/>
          <w:sz w:val="28"/>
          <w:szCs w:val="28"/>
        </w:rPr>
        <w:t xml:space="preserve"> перевод</w:t>
      </w:r>
      <w:r w:rsidR="00207B91">
        <w:rPr>
          <w:rFonts w:ascii="Times New Roman" w:hAnsi="Times New Roman"/>
          <w:bCs/>
          <w:sz w:val="28"/>
          <w:szCs w:val="28"/>
        </w:rPr>
        <w:t>е</w:t>
      </w:r>
      <w:r w:rsidRPr="00C252EF">
        <w:rPr>
          <w:rFonts w:ascii="Times New Roman" w:hAnsi="Times New Roman"/>
          <w:bCs/>
          <w:sz w:val="28"/>
          <w:szCs w:val="28"/>
        </w:rPr>
        <w:t xml:space="preserve"> контрактации на цифровую платформу.</w:t>
      </w:r>
    </w:p>
    <w:p w:rsidR="0068434D" w:rsidRDefault="003611BB" w:rsidP="00961BCD">
      <w:pPr>
        <w:pStyle w:val="3"/>
        <w:spacing w:line="315" w:lineRule="exact"/>
        <w:ind w:firstLine="0"/>
        <w:jc w:val="center"/>
      </w:pPr>
      <w:bookmarkStart w:id="23" w:name="_Toc526253893"/>
      <w:r>
        <w:t>2.</w:t>
      </w:r>
      <w:r w:rsidR="004D2C9E">
        <w:t>4.4. </w:t>
      </w:r>
      <w:r w:rsidR="0068434D" w:rsidRPr="00704DEE">
        <w:t>Цифровизация контрольно-надзорной деятельности</w:t>
      </w:r>
      <w:bookmarkEnd w:id="23"/>
    </w:p>
    <w:p w:rsidR="003D1061" w:rsidRPr="001F585B" w:rsidRDefault="003D1061" w:rsidP="00483209">
      <w:pPr>
        <w:pStyle w:val="4"/>
      </w:pPr>
      <w:r w:rsidRPr="001F585B">
        <w:t>Азербайджанская Республика</w:t>
      </w:r>
    </w:p>
    <w:p w:rsidR="003D1061" w:rsidRPr="001F585B" w:rsidRDefault="003D1061" w:rsidP="003D1061">
      <w:pPr>
        <w:spacing w:after="0" w:line="315" w:lineRule="exact"/>
        <w:ind w:firstLine="709"/>
        <w:jc w:val="both"/>
        <w:rPr>
          <w:rFonts w:ascii="Times New Roman" w:hAnsi="Times New Roman"/>
          <w:sz w:val="28"/>
          <w:szCs w:val="28"/>
        </w:rPr>
      </w:pPr>
      <w:r w:rsidRPr="001F585B">
        <w:rPr>
          <w:rFonts w:ascii="Times New Roman" w:hAnsi="Times New Roman"/>
          <w:sz w:val="28"/>
          <w:szCs w:val="28"/>
        </w:rPr>
        <w:t xml:space="preserve">Стратегическая </w:t>
      </w:r>
      <w:r w:rsidR="00DD4604" w:rsidRPr="001F585B">
        <w:rPr>
          <w:rFonts w:ascii="Times New Roman" w:hAnsi="Times New Roman"/>
          <w:sz w:val="28"/>
          <w:szCs w:val="28"/>
        </w:rPr>
        <w:t>д</w:t>
      </w:r>
      <w:r w:rsidRPr="001F585B">
        <w:rPr>
          <w:rFonts w:ascii="Times New Roman" w:hAnsi="Times New Roman"/>
          <w:sz w:val="28"/>
          <w:szCs w:val="28"/>
        </w:rPr>
        <w:t xml:space="preserve">орожная </w:t>
      </w:r>
      <w:r w:rsidR="00DD4604" w:rsidRPr="001F585B">
        <w:rPr>
          <w:rFonts w:ascii="Times New Roman" w:hAnsi="Times New Roman"/>
          <w:sz w:val="28"/>
          <w:szCs w:val="28"/>
        </w:rPr>
        <w:t>к</w:t>
      </w:r>
      <w:r w:rsidRPr="001F585B">
        <w:rPr>
          <w:rFonts w:ascii="Times New Roman" w:hAnsi="Times New Roman"/>
          <w:sz w:val="28"/>
          <w:szCs w:val="28"/>
        </w:rPr>
        <w:t>арта по развитию финансовых услуг в Азербайджанской Республике определяет приоритетные мероприятия, которые будут способствовать укреплению финансовой инклюзивности, совершенствованию механизмов регулирования для ускорения цифровой трансформации в банковской системе, а также повышению профессиональных знаний и навыков участников рынка.</w:t>
      </w:r>
    </w:p>
    <w:p w:rsidR="003D1061" w:rsidRPr="001F585B" w:rsidRDefault="003D1061" w:rsidP="003D1061">
      <w:pPr>
        <w:spacing w:after="0" w:line="315" w:lineRule="exact"/>
        <w:ind w:firstLine="709"/>
        <w:jc w:val="both"/>
        <w:rPr>
          <w:rFonts w:ascii="Times New Roman" w:hAnsi="Times New Roman"/>
          <w:sz w:val="28"/>
          <w:szCs w:val="28"/>
        </w:rPr>
      </w:pPr>
      <w:r w:rsidRPr="001F585B">
        <w:rPr>
          <w:rFonts w:ascii="Times New Roman" w:hAnsi="Times New Roman"/>
          <w:sz w:val="28"/>
          <w:szCs w:val="28"/>
        </w:rPr>
        <w:t>В рамках реализации данной Стратегической дорожной карты для расширения доступа к финансовым услугам и формирования эффективной системы регулирования и контроля за небанковскими поставщиками платежных услуг и операторами платежных систем Палата по надзору за финансовыми рынками Азербайджанской Республики</w:t>
      </w:r>
      <w:r w:rsidR="00DD4604" w:rsidRPr="001F585B">
        <w:rPr>
          <w:rFonts w:ascii="Times New Roman" w:hAnsi="Times New Roman"/>
          <w:sz w:val="28"/>
          <w:szCs w:val="28"/>
        </w:rPr>
        <w:t xml:space="preserve"> (далее – Палата)</w:t>
      </w:r>
      <w:r w:rsidRPr="001F585B">
        <w:rPr>
          <w:rFonts w:ascii="Times New Roman" w:hAnsi="Times New Roman"/>
          <w:sz w:val="28"/>
          <w:szCs w:val="28"/>
        </w:rPr>
        <w:t xml:space="preserve"> разработала </w:t>
      </w:r>
      <w:r w:rsidR="00DD4604" w:rsidRPr="001F585B">
        <w:rPr>
          <w:rFonts w:ascii="Times New Roman" w:hAnsi="Times New Roman"/>
          <w:sz w:val="28"/>
          <w:szCs w:val="28"/>
        </w:rPr>
        <w:t>проект Закона</w:t>
      </w:r>
      <w:r w:rsidRPr="001F585B">
        <w:rPr>
          <w:rFonts w:ascii="Times New Roman" w:hAnsi="Times New Roman"/>
          <w:sz w:val="28"/>
          <w:szCs w:val="28"/>
        </w:rPr>
        <w:t xml:space="preserve"> «О плат</w:t>
      </w:r>
      <w:r w:rsidR="00DD4604" w:rsidRPr="001F585B">
        <w:rPr>
          <w:rFonts w:ascii="Times New Roman" w:hAnsi="Times New Roman"/>
          <w:sz w:val="28"/>
          <w:szCs w:val="28"/>
        </w:rPr>
        <w:t>ежных услугах и плате</w:t>
      </w:r>
      <w:r w:rsidRPr="001F585B">
        <w:rPr>
          <w:rFonts w:ascii="Times New Roman" w:hAnsi="Times New Roman"/>
          <w:sz w:val="28"/>
          <w:szCs w:val="28"/>
        </w:rPr>
        <w:t>жных системах». Законопроект определяет классификацию видов плат</w:t>
      </w:r>
      <w:r w:rsidR="00DD4604" w:rsidRPr="001F585B">
        <w:rPr>
          <w:rFonts w:ascii="Times New Roman" w:hAnsi="Times New Roman"/>
          <w:sz w:val="28"/>
          <w:szCs w:val="28"/>
        </w:rPr>
        <w:t>е</w:t>
      </w:r>
      <w:r w:rsidRPr="001F585B">
        <w:rPr>
          <w:rFonts w:ascii="Times New Roman" w:hAnsi="Times New Roman"/>
          <w:sz w:val="28"/>
          <w:szCs w:val="28"/>
        </w:rPr>
        <w:t xml:space="preserve">жных услуг, права и обязанности ее провайдеров, экономическую, правовую и организационную базу для создания и функционирования платежных институтов, организаций электронных денег и операторов платежных систем, а также определяет основные направления регулирования и контроля над указанными организациями. Закон позволит интегрировать микрофинансовые учреждения в платежные системы, укрепить конкурентную среду в платежной экосистеме и ускорить внедрение инновационных платежных решений в соответствующей сфере. При разработке </w:t>
      </w:r>
      <w:r w:rsidR="00DD4604" w:rsidRPr="001F585B">
        <w:rPr>
          <w:rFonts w:ascii="Times New Roman" w:hAnsi="Times New Roman"/>
          <w:sz w:val="28"/>
          <w:szCs w:val="28"/>
        </w:rPr>
        <w:t>указанного проекта З</w:t>
      </w:r>
      <w:r w:rsidRPr="001F585B">
        <w:rPr>
          <w:rFonts w:ascii="Times New Roman" w:hAnsi="Times New Roman"/>
          <w:sz w:val="28"/>
          <w:szCs w:val="28"/>
        </w:rPr>
        <w:t xml:space="preserve">акона была учтена передовая международная практика в соответствующей сфере. На основе данного </w:t>
      </w:r>
      <w:r w:rsidR="00DD4604" w:rsidRPr="001F585B">
        <w:rPr>
          <w:rFonts w:ascii="Times New Roman" w:hAnsi="Times New Roman"/>
          <w:sz w:val="28"/>
          <w:szCs w:val="28"/>
        </w:rPr>
        <w:t>З</w:t>
      </w:r>
      <w:r w:rsidRPr="001F585B">
        <w:rPr>
          <w:rFonts w:ascii="Times New Roman" w:hAnsi="Times New Roman"/>
          <w:sz w:val="28"/>
          <w:szCs w:val="28"/>
        </w:rPr>
        <w:t>акона будет определяться правовая основа для выпуска и использования электронных денег, являющи</w:t>
      </w:r>
      <w:r w:rsidR="00DD4604" w:rsidRPr="001F585B">
        <w:rPr>
          <w:rFonts w:ascii="Times New Roman" w:hAnsi="Times New Roman"/>
          <w:sz w:val="28"/>
          <w:szCs w:val="28"/>
        </w:rPr>
        <w:t>х</w:t>
      </w:r>
      <w:r w:rsidRPr="001F585B">
        <w:rPr>
          <w:rFonts w:ascii="Times New Roman" w:hAnsi="Times New Roman"/>
          <w:sz w:val="28"/>
          <w:szCs w:val="28"/>
        </w:rPr>
        <w:t>ся в международной практике одними из самых широко используемых инструментов развития электронной торговли и трансформации розничных платежей в безналичные расчеты.</w:t>
      </w:r>
    </w:p>
    <w:p w:rsidR="003D1061" w:rsidRPr="001F585B" w:rsidRDefault="003D1061" w:rsidP="003D1061">
      <w:pPr>
        <w:spacing w:after="0" w:line="315" w:lineRule="exact"/>
        <w:ind w:firstLine="709"/>
        <w:jc w:val="both"/>
        <w:rPr>
          <w:rFonts w:ascii="Times New Roman" w:hAnsi="Times New Roman"/>
          <w:sz w:val="28"/>
          <w:szCs w:val="28"/>
        </w:rPr>
      </w:pPr>
      <w:r w:rsidRPr="001F585B">
        <w:rPr>
          <w:rFonts w:ascii="Times New Roman" w:hAnsi="Times New Roman"/>
          <w:sz w:val="28"/>
          <w:szCs w:val="28"/>
        </w:rPr>
        <w:t xml:space="preserve">В конце 2017 года Палата в рамках предпринимаемых шагов по совершенствованию механизма регулирования для ускорения цифровой трансформации провела общую диагностику банковского сектора. Данный процесс включал электронные банковские услуги, рынок платежных карт, банковские </w:t>
      </w:r>
      <w:r w:rsidR="00D07756" w:rsidRPr="001F585B">
        <w:rPr>
          <w:rFonts w:ascii="Times New Roman" w:hAnsi="Times New Roman"/>
          <w:sz w:val="28"/>
          <w:szCs w:val="28"/>
        </w:rPr>
        <w:t>ИКТ</w:t>
      </w:r>
      <w:r w:rsidRPr="001F585B">
        <w:rPr>
          <w:rFonts w:ascii="Times New Roman" w:hAnsi="Times New Roman"/>
          <w:sz w:val="28"/>
          <w:szCs w:val="28"/>
        </w:rPr>
        <w:t>, уровень оцифровывания банковских услуг, организаци</w:t>
      </w:r>
      <w:r w:rsidR="00D07756" w:rsidRPr="001F585B">
        <w:rPr>
          <w:rFonts w:ascii="Times New Roman" w:hAnsi="Times New Roman"/>
          <w:sz w:val="28"/>
          <w:szCs w:val="28"/>
        </w:rPr>
        <w:t>ю</w:t>
      </w:r>
      <w:r w:rsidRPr="001F585B">
        <w:rPr>
          <w:rFonts w:ascii="Times New Roman" w:hAnsi="Times New Roman"/>
          <w:sz w:val="28"/>
          <w:szCs w:val="28"/>
        </w:rPr>
        <w:t xml:space="preserve"> работ с системами денежных переводов, а также законодательные рамки, регулирующие сферу цифровых банковских услуг. По результатам диагностики были определены основные реформы, которые должны быть реализованы в правовой структуре для обеспечения ускорения цифровой трансформации в банковской системе.</w:t>
      </w:r>
    </w:p>
    <w:p w:rsidR="003D1061" w:rsidRPr="001F585B" w:rsidRDefault="003D1061" w:rsidP="003D1061">
      <w:pPr>
        <w:spacing w:after="0" w:line="315" w:lineRule="exact"/>
        <w:ind w:firstLine="709"/>
        <w:jc w:val="both"/>
        <w:rPr>
          <w:rFonts w:ascii="Times New Roman" w:hAnsi="Times New Roman"/>
          <w:sz w:val="28"/>
          <w:szCs w:val="28"/>
        </w:rPr>
      </w:pPr>
      <w:r w:rsidRPr="001F585B">
        <w:rPr>
          <w:rFonts w:ascii="Times New Roman" w:hAnsi="Times New Roman"/>
          <w:sz w:val="28"/>
          <w:szCs w:val="28"/>
        </w:rPr>
        <w:t>Важным шагом в области цифровой трансформации в банковской системе является обеспечение возможности удаленного открытия банковских счетов. По текущему законодательству при открытии банковских счетов требуется физическое присутствие клиента. На основе изменений, которые готовятся со стороны Палаты, открытие банковских счетов с помощью аккредитованной электронной подписи, а также с использованием видеозвонка является приоритетным. Клиент, у которого уже имеется банковский счет, сможет открыть новый счет в том же банке, пользуясь соответствующим программным обеспечением банка.</w:t>
      </w:r>
    </w:p>
    <w:p w:rsidR="003D1061" w:rsidRPr="001F585B" w:rsidRDefault="003D1061" w:rsidP="003D1061">
      <w:pPr>
        <w:spacing w:after="0" w:line="315" w:lineRule="exact"/>
        <w:ind w:firstLine="709"/>
        <w:jc w:val="both"/>
        <w:rPr>
          <w:rFonts w:ascii="Times New Roman" w:hAnsi="Times New Roman"/>
          <w:sz w:val="28"/>
          <w:szCs w:val="28"/>
        </w:rPr>
      </w:pPr>
      <w:r w:rsidRPr="001F585B">
        <w:rPr>
          <w:rFonts w:ascii="Times New Roman" w:hAnsi="Times New Roman"/>
          <w:sz w:val="28"/>
          <w:szCs w:val="28"/>
        </w:rPr>
        <w:t>Одной из реформ, направленных на углубление цифровых трансформаций в банковской системе, было внесение соответствующих изменений в Правила эмиссии и использования плат</w:t>
      </w:r>
      <w:r w:rsidR="00D07756" w:rsidRPr="001F585B">
        <w:rPr>
          <w:rFonts w:ascii="Times New Roman" w:hAnsi="Times New Roman"/>
          <w:sz w:val="28"/>
          <w:szCs w:val="28"/>
        </w:rPr>
        <w:t>е</w:t>
      </w:r>
      <w:r w:rsidRPr="001F585B">
        <w:rPr>
          <w:rFonts w:ascii="Times New Roman" w:hAnsi="Times New Roman"/>
          <w:sz w:val="28"/>
          <w:szCs w:val="28"/>
        </w:rPr>
        <w:t>жных карт. Принятые изменения позволяют расширить внедрение инновационных технологий на рынке плат</w:t>
      </w:r>
      <w:r w:rsidR="00D07756" w:rsidRPr="001F585B">
        <w:rPr>
          <w:rFonts w:ascii="Times New Roman" w:hAnsi="Times New Roman"/>
          <w:sz w:val="28"/>
          <w:szCs w:val="28"/>
        </w:rPr>
        <w:t>е</w:t>
      </w:r>
      <w:r w:rsidRPr="001F585B">
        <w:rPr>
          <w:rFonts w:ascii="Times New Roman" w:hAnsi="Times New Roman"/>
          <w:sz w:val="28"/>
          <w:szCs w:val="28"/>
        </w:rPr>
        <w:t>жных карт, усилить меры в борьбе с мошенничеством в сфере электронных платежей, а также способствуют дальнейшему укреплению прав потребителей электронных услуг. Эти изменения обеспечат успешную реализацию проекта токенизации</w:t>
      </w:r>
      <w:r w:rsidR="00A81013" w:rsidRPr="001F585B">
        <w:rPr>
          <w:rFonts w:ascii="Times New Roman" w:hAnsi="Times New Roman"/>
          <w:sz w:val="28"/>
          <w:szCs w:val="28"/>
        </w:rPr>
        <w:t xml:space="preserve"> (технология, которая позволяет обезопасить электронные платежи с помощью надежной системы шифрования данных)</w:t>
      </w:r>
      <w:r w:rsidRPr="001F585B">
        <w:rPr>
          <w:rFonts w:ascii="Times New Roman" w:hAnsi="Times New Roman"/>
          <w:sz w:val="28"/>
          <w:szCs w:val="28"/>
        </w:rPr>
        <w:t xml:space="preserve"> в </w:t>
      </w:r>
      <w:r w:rsidR="00A81013" w:rsidRPr="001F585B">
        <w:rPr>
          <w:rFonts w:ascii="Times New Roman" w:hAnsi="Times New Roman"/>
          <w:sz w:val="28"/>
          <w:szCs w:val="28"/>
        </w:rPr>
        <w:t>государстве</w:t>
      </w:r>
      <w:r w:rsidRPr="001F585B">
        <w:rPr>
          <w:rFonts w:ascii="Times New Roman" w:hAnsi="Times New Roman"/>
          <w:sz w:val="28"/>
          <w:szCs w:val="28"/>
        </w:rPr>
        <w:t xml:space="preserve"> и послужат расширению бесконтактных плат</w:t>
      </w:r>
      <w:r w:rsidR="00A81013" w:rsidRPr="001F585B">
        <w:rPr>
          <w:rFonts w:ascii="Times New Roman" w:hAnsi="Times New Roman"/>
          <w:sz w:val="28"/>
          <w:szCs w:val="28"/>
        </w:rPr>
        <w:t>е</w:t>
      </w:r>
      <w:r w:rsidRPr="001F585B">
        <w:rPr>
          <w:rFonts w:ascii="Times New Roman" w:hAnsi="Times New Roman"/>
          <w:sz w:val="28"/>
          <w:szCs w:val="28"/>
        </w:rPr>
        <w:t>жных технологий.</w:t>
      </w:r>
    </w:p>
    <w:p w:rsidR="003D1061" w:rsidRPr="001F585B" w:rsidRDefault="00A81013" w:rsidP="003D1061">
      <w:pPr>
        <w:spacing w:after="0" w:line="315" w:lineRule="exact"/>
        <w:ind w:firstLine="709"/>
        <w:jc w:val="both"/>
        <w:rPr>
          <w:rFonts w:ascii="Times New Roman" w:hAnsi="Times New Roman"/>
          <w:sz w:val="28"/>
          <w:szCs w:val="28"/>
        </w:rPr>
      </w:pPr>
      <w:r w:rsidRPr="001F585B">
        <w:rPr>
          <w:rFonts w:ascii="Times New Roman" w:hAnsi="Times New Roman"/>
          <w:sz w:val="28"/>
          <w:szCs w:val="28"/>
        </w:rPr>
        <w:t>В целях</w:t>
      </w:r>
      <w:r w:rsidR="003D1061" w:rsidRPr="001F585B">
        <w:rPr>
          <w:rFonts w:ascii="Times New Roman" w:hAnsi="Times New Roman"/>
          <w:sz w:val="28"/>
          <w:szCs w:val="28"/>
        </w:rPr>
        <w:t xml:space="preserve"> привлечения розничных платежей к безналичному обороту, </w:t>
      </w:r>
      <w:r w:rsidRPr="001F585B">
        <w:rPr>
          <w:rFonts w:ascii="Times New Roman" w:hAnsi="Times New Roman"/>
          <w:sz w:val="28"/>
          <w:szCs w:val="28"/>
        </w:rPr>
        <w:t xml:space="preserve"> более че</w:t>
      </w:r>
      <w:r w:rsidR="003D1061" w:rsidRPr="001F585B">
        <w:rPr>
          <w:rFonts w:ascii="Times New Roman" w:hAnsi="Times New Roman"/>
          <w:sz w:val="28"/>
          <w:szCs w:val="28"/>
        </w:rPr>
        <w:t>ткого определения рамок процедур идентификации и проведения операций, а также повышения эффективности использования были увеличены текущие лимиты по предоплаченным плат</w:t>
      </w:r>
      <w:r w:rsidRPr="001F585B">
        <w:rPr>
          <w:rFonts w:ascii="Times New Roman" w:hAnsi="Times New Roman"/>
          <w:sz w:val="28"/>
          <w:szCs w:val="28"/>
        </w:rPr>
        <w:t>е</w:t>
      </w:r>
      <w:r w:rsidR="003D1061" w:rsidRPr="001F585B">
        <w:rPr>
          <w:rFonts w:ascii="Times New Roman" w:hAnsi="Times New Roman"/>
          <w:sz w:val="28"/>
          <w:szCs w:val="28"/>
        </w:rPr>
        <w:t xml:space="preserve">жным картам (prepaid cards). Кроме этого, изменения </w:t>
      </w:r>
      <w:r w:rsidR="00F75DC7" w:rsidRPr="001F585B">
        <w:rPr>
          <w:rFonts w:ascii="Times New Roman" w:hAnsi="Times New Roman"/>
          <w:sz w:val="28"/>
          <w:szCs w:val="28"/>
        </w:rPr>
        <w:t>включают</w:t>
      </w:r>
      <w:r w:rsidR="003D1061" w:rsidRPr="001F585B">
        <w:rPr>
          <w:rFonts w:ascii="Times New Roman" w:hAnsi="Times New Roman"/>
          <w:sz w:val="28"/>
          <w:szCs w:val="28"/>
        </w:rPr>
        <w:t xml:space="preserve"> работу банков-эквайеров с хозяйствующими субъектами в рамках противодействия мошенническим операциям в сфере плат</w:t>
      </w:r>
      <w:r w:rsidRPr="001F585B">
        <w:rPr>
          <w:rFonts w:ascii="Times New Roman" w:hAnsi="Times New Roman"/>
          <w:sz w:val="28"/>
          <w:szCs w:val="28"/>
        </w:rPr>
        <w:t>е</w:t>
      </w:r>
      <w:r w:rsidR="003D1061" w:rsidRPr="001F585B">
        <w:rPr>
          <w:rFonts w:ascii="Times New Roman" w:hAnsi="Times New Roman"/>
          <w:sz w:val="28"/>
          <w:szCs w:val="28"/>
        </w:rPr>
        <w:t>жных карт. Согласно новым изменениям банки-эквайеры должны выявлять подозрительные операции, проводимые с плат</w:t>
      </w:r>
      <w:r w:rsidRPr="001F585B">
        <w:rPr>
          <w:rFonts w:ascii="Times New Roman" w:hAnsi="Times New Roman"/>
          <w:sz w:val="28"/>
          <w:szCs w:val="28"/>
        </w:rPr>
        <w:t>е</w:t>
      </w:r>
      <w:r w:rsidR="003D1061" w:rsidRPr="001F585B">
        <w:rPr>
          <w:rFonts w:ascii="Times New Roman" w:hAnsi="Times New Roman"/>
          <w:sz w:val="28"/>
          <w:szCs w:val="28"/>
        </w:rPr>
        <w:t>жными картами и напрямую с карточного сч</w:t>
      </w:r>
      <w:r w:rsidRPr="001F585B">
        <w:rPr>
          <w:rFonts w:ascii="Times New Roman" w:hAnsi="Times New Roman"/>
          <w:sz w:val="28"/>
          <w:szCs w:val="28"/>
        </w:rPr>
        <w:t>е</w:t>
      </w:r>
      <w:r w:rsidR="003D1061" w:rsidRPr="001F585B">
        <w:rPr>
          <w:rFonts w:ascii="Times New Roman" w:hAnsi="Times New Roman"/>
          <w:sz w:val="28"/>
          <w:szCs w:val="28"/>
        </w:rPr>
        <w:t>та без предъявления карт, в своей сети обслуживания и своевременно реагировать при обнаружении постороннего вмешательства в работу банкоматов, ПОС-терминалов</w:t>
      </w:r>
      <w:r w:rsidR="00F75DC7" w:rsidRPr="001F585B">
        <w:rPr>
          <w:rFonts w:ascii="Times New Roman" w:hAnsi="Times New Roman"/>
          <w:sz w:val="28"/>
          <w:szCs w:val="28"/>
        </w:rPr>
        <w:t xml:space="preserve"> (электронное программно-техническое устройство для приема к оплате платежных карт)</w:t>
      </w:r>
      <w:r w:rsidR="003D1061" w:rsidRPr="001F585B">
        <w:rPr>
          <w:rFonts w:ascii="Times New Roman" w:hAnsi="Times New Roman"/>
          <w:sz w:val="28"/>
          <w:szCs w:val="28"/>
        </w:rPr>
        <w:t xml:space="preserve"> и других оборудований банка.</w:t>
      </w:r>
    </w:p>
    <w:p w:rsidR="003D1061" w:rsidRPr="001F585B" w:rsidRDefault="003D1061" w:rsidP="003D1061">
      <w:pPr>
        <w:spacing w:after="0" w:line="315" w:lineRule="exact"/>
        <w:ind w:firstLine="709"/>
        <w:jc w:val="both"/>
        <w:rPr>
          <w:rFonts w:ascii="Times New Roman" w:hAnsi="Times New Roman"/>
          <w:sz w:val="28"/>
          <w:szCs w:val="28"/>
        </w:rPr>
      </w:pPr>
      <w:r w:rsidRPr="001F585B">
        <w:rPr>
          <w:rFonts w:ascii="Times New Roman" w:hAnsi="Times New Roman"/>
          <w:sz w:val="28"/>
          <w:szCs w:val="28"/>
        </w:rPr>
        <w:t xml:space="preserve">Продолжая усиливать внедрение цифровой трансформации в банковский сектор и руководствуясь приоритетами Стратегической </w:t>
      </w:r>
      <w:r w:rsidR="00A81013" w:rsidRPr="001F585B">
        <w:rPr>
          <w:rFonts w:ascii="Times New Roman" w:hAnsi="Times New Roman"/>
          <w:sz w:val="28"/>
          <w:szCs w:val="28"/>
        </w:rPr>
        <w:t>д</w:t>
      </w:r>
      <w:r w:rsidRPr="001F585B">
        <w:rPr>
          <w:rFonts w:ascii="Times New Roman" w:hAnsi="Times New Roman"/>
          <w:sz w:val="28"/>
          <w:szCs w:val="28"/>
        </w:rPr>
        <w:t xml:space="preserve">орожной </w:t>
      </w:r>
      <w:r w:rsidR="00A81013" w:rsidRPr="001F585B">
        <w:rPr>
          <w:rFonts w:ascii="Times New Roman" w:hAnsi="Times New Roman"/>
          <w:sz w:val="28"/>
          <w:szCs w:val="28"/>
        </w:rPr>
        <w:t>к</w:t>
      </w:r>
      <w:r w:rsidRPr="001F585B">
        <w:rPr>
          <w:rFonts w:ascii="Times New Roman" w:hAnsi="Times New Roman"/>
          <w:sz w:val="28"/>
          <w:szCs w:val="28"/>
        </w:rPr>
        <w:t>арты по развитию финансовых услуг в Азербайджанской Республике, Палата в рамках усовершенствования механизмов регулирования начала работу над оцифровыванием процедур, в которых до сих пор используются бумажные носители. В связи с этим для выявления нормативн</w:t>
      </w:r>
      <w:r w:rsidR="00F75DC7" w:rsidRPr="001F585B">
        <w:rPr>
          <w:rFonts w:ascii="Times New Roman" w:hAnsi="Times New Roman"/>
          <w:sz w:val="28"/>
          <w:szCs w:val="28"/>
        </w:rPr>
        <w:t xml:space="preserve">ых </w:t>
      </w:r>
      <w:r w:rsidRPr="001F585B">
        <w:rPr>
          <w:rFonts w:ascii="Times New Roman" w:hAnsi="Times New Roman"/>
          <w:sz w:val="28"/>
          <w:szCs w:val="28"/>
        </w:rPr>
        <w:t xml:space="preserve">правовых документов, в которых необходимо провести изменения, проводятся обсуждения с банковским сектором и анализируется текущая нормативно-правовая база. </w:t>
      </w:r>
    </w:p>
    <w:p w:rsidR="003D1061" w:rsidRPr="001F585B" w:rsidRDefault="00A81013" w:rsidP="003D1061">
      <w:pPr>
        <w:spacing w:after="0" w:line="315" w:lineRule="exact"/>
        <w:ind w:firstLine="709"/>
        <w:jc w:val="both"/>
        <w:rPr>
          <w:rFonts w:ascii="Times New Roman" w:hAnsi="Times New Roman"/>
          <w:sz w:val="28"/>
          <w:szCs w:val="28"/>
        </w:rPr>
      </w:pPr>
      <w:r w:rsidRPr="001F585B">
        <w:rPr>
          <w:rFonts w:ascii="Times New Roman" w:hAnsi="Times New Roman"/>
          <w:sz w:val="28"/>
          <w:szCs w:val="28"/>
        </w:rPr>
        <w:t>В целях</w:t>
      </w:r>
      <w:r w:rsidR="003D1061" w:rsidRPr="001F585B">
        <w:rPr>
          <w:rFonts w:ascii="Times New Roman" w:hAnsi="Times New Roman"/>
          <w:sz w:val="28"/>
          <w:szCs w:val="28"/>
        </w:rPr>
        <w:t xml:space="preserve"> повышения компетенций сотрудников банковской системы проводятся семинары и конференции с участием международных организаций </w:t>
      </w:r>
      <w:r w:rsidR="00F75DC7" w:rsidRPr="001F585B">
        <w:rPr>
          <w:rFonts w:ascii="Times New Roman" w:hAnsi="Times New Roman"/>
          <w:sz w:val="28"/>
          <w:szCs w:val="28"/>
        </w:rPr>
        <w:t xml:space="preserve">по карточным платежным системам </w:t>
      </w:r>
      <w:r w:rsidR="003D1061" w:rsidRPr="001F585B">
        <w:rPr>
          <w:rFonts w:ascii="Times New Roman" w:hAnsi="Times New Roman"/>
          <w:sz w:val="28"/>
          <w:szCs w:val="28"/>
        </w:rPr>
        <w:t xml:space="preserve">и финансовых учреждений. </w:t>
      </w:r>
    </w:p>
    <w:p w:rsidR="003D1061" w:rsidRPr="003D1061" w:rsidRDefault="00A81013" w:rsidP="003D1061">
      <w:pPr>
        <w:spacing w:after="0" w:line="315" w:lineRule="exact"/>
        <w:ind w:firstLine="709"/>
        <w:jc w:val="both"/>
        <w:rPr>
          <w:rFonts w:ascii="Times New Roman" w:hAnsi="Times New Roman"/>
          <w:sz w:val="28"/>
          <w:szCs w:val="28"/>
        </w:rPr>
      </w:pPr>
      <w:r w:rsidRPr="001F585B">
        <w:rPr>
          <w:rFonts w:ascii="Times New Roman" w:hAnsi="Times New Roman"/>
          <w:sz w:val="28"/>
          <w:szCs w:val="28"/>
        </w:rPr>
        <w:t>Данные</w:t>
      </w:r>
      <w:r w:rsidR="003D1061" w:rsidRPr="001F585B">
        <w:rPr>
          <w:rFonts w:ascii="Times New Roman" w:hAnsi="Times New Roman"/>
          <w:sz w:val="28"/>
          <w:szCs w:val="28"/>
        </w:rPr>
        <w:t xml:space="preserve"> реформы и ряд других осуществляемых мероприятий позволят повысить уровень цифровой трансформации в банковском секторе.</w:t>
      </w:r>
    </w:p>
    <w:p w:rsidR="003D1061" w:rsidRPr="003D1061" w:rsidRDefault="003D1061" w:rsidP="00483209">
      <w:pPr>
        <w:pStyle w:val="4"/>
      </w:pPr>
      <w:r w:rsidRPr="003D1061">
        <w:t>Российская Федерация</w:t>
      </w:r>
    </w:p>
    <w:p w:rsidR="0068434D" w:rsidRDefault="0068434D" w:rsidP="00961BCD">
      <w:pPr>
        <w:spacing w:after="0" w:line="315" w:lineRule="exact"/>
        <w:ind w:firstLine="709"/>
        <w:jc w:val="both"/>
        <w:rPr>
          <w:rFonts w:ascii="Times New Roman" w:hAnsi="Times New Roman"/>
          <w:sz w:val="28"/>
          <w:szCs w:val="28"/>
        </w:rPr>
      </w:pPr>
      <w:r w:rsidRPr="00AB1909">
        <w:rPr>
          <w:rFonts w:ascii="Times New Roman" w:hAnsi="Times New Roman"/>
          <w:sz w:val="28"/>
          <w:szCs w:val="28"/>
        </w:rPr>
        <w:t>В соответствии с распоряжением Правительства Российской Федерации от 1</w:t>
      </w:r>
      <w:r w:rsidR="00BA2BEB">
        <w:rPr>
          <w:rFonts w:ascii="Times New Roman" w:hAnsi="Times New Roman"/>
          <w:sz w:val="28"/>
          <w:szCs w:val="28"/>
        </w:rPr>
        <w:t xml:space="preserve"> апреля </w:t>
      </w:r>
      <w:r w:rsidRPr="00AB1909">
        <w:rPr>
          <w:rFonts w:ascii="Times New Roman" w:hAnsi="Times New Roman"/>
          <w:sz w:val="28"/>
          <w:szCs w:val="28"/>
        </w:rPr>
        <w:t>2016 г</w:t>
      </w:r>
      <w:r w:rsidR="00BA2BEB">
        <w:rPr>
          <w:rFonts w:ascii="Times New Roman" w:hAnsi="Times New Roman"/>
          <w:sz w:val="28"/>
          <w:szCs w:val="28"/>
        </w:rPr>
        <w:t>ода</w:t>
      </w:r>
      <w:r w:rsidRPr="00AB1909">
        <w:rPr>
          <w:rFonts w:ascii="Times New Roman" w:hAnsi="Times New Roman"/>
          <w:sz w:val="28"/>
          <w:szCs w:val="28"/>
        </w:rPr>
        <w:t xml:space="preserve"> </w:t>
      </w:r>
      <w:r w:rsidR="00E720B2">
        <w:rPr>
          <w:rFonts w:ascii="Times New Roman" w:hAnsi="Times New Roman"/>
          <w:sz w:val="28"/>
          <w:szCs w:val="28"/>
        </w:rPr>
        <w:t>№ </w:t>
      </w:r>
      <w:r w:rsidRPr="00AB1909">
        <w:rPr>
          <w:rFonts w:ascii="Times New Roman" w:hAnsi="Times New Roman"/>
          <w:sz w:val="28"/>
          <w:szCs w:val="28"/>
        </w:rPr>
        <w:t xml:space="preserve">559-р </w:t>
      </w:r>
      <w:r w:rsidR="004D2C9E">
        <w:rPr>
          <w:rFonts w:ascii="Times New Roman" w:hAnsi="Times New Roman"/>
          <w:sz w:val="28"/>
          <w:szCs w:val="28"/>
        </w:rPr>
        <w:t>«</w:t>
      </w:r>
      <w:r w:rsidRPr="00AB1909">
        <w:rPr>
          <w:rFonts w:ascii="Times New Roman" w:hAnsi="Times New Roman"/>
          <w:sz w:val="28"/>
          <w:szCs w:val="28"/>
        </w:rPr>
        <w:t>Об утверждении плана мероприятий (</w:t>
      </w:r>
      <w:r w:rsidR="004D2C9E">
        <w:rPr>
          <w:rFonts w:ascii="Times New Roman" w:hAnsi="Times New Roman"/>
          <w:sz w:val="28"/>
          <w:szCs w:val="28"/>
        </w:rPr>
        <w:t>«</w:t>
      </w:r>
      <w:r w:rsidRPr="00AB1909">
        <w:rPr>
          <w:rFonts w:ascii="Times New Roman" w:hAnsi="Times New Roman"/>
          <w:sz w:val="28"/>
          <w:szCs w:val="28"/>
        </w:rPr>
        <w:t>дорожной карты</w:t>
      </w:r>
      <w:r w:rsidR="004D2C9E">
        <w:rPr>
          <w:rFonts w:ascii="Times New Roman" w:hAnsi="Times New Roman"/>
          <w:sz w:val="28"/>
          <w:szCs w:val="28"/>
        </w:rPr>
        <w:t>»</w:t>
      </w:r>
      <w:r w:rsidRPr="00AB1909">
        <w:rPr>
          <w:rFonts w:ascii="Times New Roman" w:hAnsi="Times New Roman"/>
          <w:sz w:val="28"/>
          <w:szCs w:val="28"/>
        </w:rPr>
        <w:t>) по совершенствованию контрольно-надзорной деятельности</w:t>
      </w:r>
      <w:r w:rsidR="00396D89">
        <w:rPr>
          <w:rFonts w:ascii="Times New Roman" w:hAnsi="Times New Roman"/>
          <w:sz w:val="28"/>
          <w:szCs w:val="28"/>
        </w:rPr>
        <w:t xml:space="preserve"> </w:t>
      </w:r>
      <w:r w:rsidRPr="00AB1909">
        <w:rPr>
          <w:rFonts w:ascii="Times New Roman" w:hAnsi="Times New Roman"/>
          <w:sz w:val="28"/>
          <w:szCs w:val="28"/>
        </w:rPr>
        <w:t>в Российской Федерации на 2016</w:t>
      </w:r>
      <w:r w:rsidR="00F9318B">
        <w:rPr>
          <w:rFonts w:ascii="Times New Roman" w:hAnsi="Times New Roman"/>
          <w:sz w:val="28"/>
          <w:szCs w:val="28"/>
        </w:rPr>
        <w:t>–</w:t>
      </w:r>
      <w:r w:rsidRPr="00AB1909">
        <w:rPr>
          <w:rFonts w:ascii="Times New Roman" w:hAnsi="Times New Roman"/>
          <w:sz w:val="28"/>
          <w:szCs w:val="28"/>
        </w:rPr>
        <w:t>2017 годы</w:t>
      </w:r>
      <w:r w:rsidR="004D2C9E">
        <w:rPr>
          <w:rFonts w:ascii="Times New Roman" w:hAnsi="Times New Roman"/>
          <w:sz w:val="28"/>
          <w:szCs w:val="28"/>
        </w:rPr>
        <w:t>»</w:t>
      </w:r>
      <w:r w:rsidRPr="00AB1909">
        <w:rPr>
          <w:rFonts w:ascii="Times New Roman" w:hAnsi="Times New Roman"/>
          <w:sz w:val="28"/>
          <w:szCs w:val="28"/>
        </w:rPr>
        <w:t xml:space="preserve"> мероприятия по совершенствованию </w:t>
      </w:r>
      <w:r w:rsidR="009A6C2E" w:rsidRPr="009A6C2E">
        <w:rPr>
          <w:rFonts w:ascii="Times New Roman" w:hAnsi="Times New Roman"/>
          <w:sz w:val="28"/>
          <w:szCs w:val="28"/>
        </w:rPr>
        <w:t>контрольно-надзорной деятельности</w:t>
      </w:r>
      <w:r w:rsidR="009A6C2E">
        <w:rPr>
          <w:rFonts w:ascii="Times New Roman" w:hAnsi="Times New Roman"/>
          <w:sz w:val="28"/>
          <w:szCs w:val="28"/>
        </w:rPr>
        <w:t xml:space="preserve"> (КНД)</w:t>
      </w:r>
      <w:r w:rsidRPr="00AB1909">
        <w:rPr>
          <w:rFonts w:ascii="Times New Roman" w:hAnsi="Times New Roman"/>
          <w:sz w:val="28"/>
          <w:szCs w:val="28"/>
        </w:rPr>
        <w:t xml:space="preserve"> направлены на повышение </w:t>
      </w:r>
      <w:r w:rsidR="009A6C2E">
        <w:rPr>
          <w:rFonts w:ascii="Times New Roman" w:hAnsi="Times New Roman"/>
          <w:sz w:val="28"/>
          <w:szCs w:val="28"/>
        </w:rPr>
        <w:t xml:space="preserve">ее </w:t>
      </w:r>
      <w:r w:rsidRPr="00AB1909">
        <w:rPr>
          <w:rFonts w:ascii="Times New Roman" w:hAnsi="Times New Roman"/>
          <w:sz w:val="28"/>
          <w:szCs w:val="28"/>
        </w:rPr>
        <w:t>результативности и эффективности, в том числе</w:t>
      </w:r>
      <w:r>
        <w:rPr>
          <w:rFonts w:ascii="Times New Roman" w:hAnsi="Times New Roman"/>
          <w:sz w:val="28"/>
          <w:szCs w:val="28"/>
        </w:rPr>
        <w:t xml:space="preserve"> </w:t>
      </w:r>
      <w:r w:rsidRPr="00AB1909">
        <w:rPr>
          <w:rFonts w:ascii="Times New Roman" w:hAnsi="Times New Roman"/>
          <w:sz w:val="28"/>
          <w:szCs w:val="28"/>
        </w:rPr>
        <w:t xml:space="preserve">посредством внедрения в деятельность </w:t>
      </w:r>
      <w:r w:rsidR="00902564" w:rsidRPr="00902564">
        <w:rPr>
          <w:rFonts w:ascii="Times New Roman" w:hAnsi="Times New Roman"/>
          <w:sz w:val="28"/>
          <w:szCs w:val="28"/>
        </w:rPr>
        <w:t xml:space="preserve">контрольно-надзорных органов </w:t>
      </w:r>
      <w:r w:rsidRPr="00AB1909">
        <w:rPr>
          <w:rFonts w:ascii="Times New Roman" w:hAnsi="Times New Roman"/>
          <w:sz w:val="28"/>
          <w:szCs w:val="28"/>
        </w:rPr>
        <w:t>риск-ориентированного подхода.</w:t>
      </w:r>
    </w:p>
    <w:p w:rsidR="0068434D" w:rsidRPr="00AB1909" w:rsidRDefault="0068434D" w:rsidP="004D2C9E">
      <w:pPr>
        <w:spacing w:after="0" w:line="240" w:lineRule="auto"/>
        <w:ind w:firstLine="709"/>
        <w:jc w:val="both"/>
        <w:rPr>
          <w:rFonts w:ascii="Times New Roman" w:hAnsi="Times New Roman"/>
          <w:sz w:val="28"/>
          <w:szCs w:val="28"/>
        </w:rPr>
      </w:pPr>
      <w:r w:rsidRPr="00AB1909">
        <w:rPr>
          <w:rFonts w:ascii="Times New Roman" w:hAnsi="Times New Roman"/>
          <w:sz w:val="28"/>
          <w:szCs w:val="28"/>
        </w:rPr>
        <w:t xml:space="preserve">Президиумом Совета при Президенте Российской Федерации по стратегическому развитию и приоритетным программам утвержден паспорт </w:t>
      </w:r>
      <w:r w:rsidR="00902564">
        <w:rPr>
          <w:rFonts w:ascii="Times New Roman" w:hAnsi="Times New Roman"/>
          <w:sz w:val="28"/>
          <w:szCs w:val="28"/>
        </w:rPr>
        <w:t>п</w:t>
      </w:r>
      <w:r w:rsidRPr="00AB1909">
        <w:rPr>
          <w:rFonts w:ascii="Times New Roman" w:hAnsi="Times New Roman"/>
          <w:sz w:val="28"/>
          <w:szCs w:val="28"/>
        </w:rPr>
        <w:t xml:space="preserve">риоритетной программы </w:t>
      </w:r>
      <w:r w:rsidR="004D2C9E">
        <w:rPr>
          <w:rFonts w:ascii="Times New Roman" w:hAnsi="Times New Roman"/>
          <w:sz w:val="28"/>
          <w:szCs w:val="28"/>
        </w:rPr>
        <w:t>«</w:t>
      </w:r>
      <w:r w:rsidRPr="00AB1909">
        <w:rPr>
          <w:rFonts w:ascii="Times New Roman" w:hAnsi="Times New Roman"/>
          <w:sz w:val="28"/>
          <w:szCs w:val="28"/>
        </w:rPr>
        <w:t>Реформа контрольной и надзорной деятельности</w:t>
      </w:r>
      <w:r w:rsidR="004D2C9E">
        <w:rPr>
          <w:rFonts w:ascii="Times New Roman" w:hAnsi="Times New Roman"/>
          <w:sz w:val="28"/>
          <w:szCs w:val="28"/>
        </w:rPr>
        <w:t>»</w:t>
      </w:r>
      <w:r w:rsidRPr="00AB1909">
        <w:rPr>
          <w:rFonts w:ascii="Times New Roman" w:hAnsi="Times New Roman"/>
          <w:sz w:val="28"/>
          <w:szCs w:val="28"/>
        </w:rPr>
        <w:t xml:space="preserve"> (протокол от 21 декабря 2016 г</w:t>
      </w:r>
      <w:r w:rsidR="00BA2BEB">
        <w:rPr>
          <w:rFonts w:ascii="Times New Roman" w:hAnsi="Times New Roman"/>
          <w:sz w:val="28"/>
          <w:szCs w:val="28"/>
        </w:rPr>
        <w:t>ода</w:t>
      </w:r>
      <w:r w:rsidRPr="00AB1909">
        <w:rPr>
          <w:rFonts w:ascii="Times New Roman" w:hAnsi="Times New Roman"/>
          <w:sz w:val="28"/>
          <w:szCs w:val="28"/>
        </w:rPr>
        <w:t xml:space="preserve"> </w:t>
      </w:r>
      <w:r w:rsidR="00E720B2">
        <w:rPr>
          <w:rFonts w:ascii="Times New Roman" w:hAnsi="Times New Roman"/>
          <w:sz w:val="28"/>
          <w:szCs w:val="28"/>
        </w:rPr>
        <w:t>№ </w:t>
      </w:r>
      <w:r w:rsidRPr="00AB1909">
        <w:rPr>
          <w:rFonts w:ascii="Times New Roman" w:hAnsi="Times New Roman"/>
          <w:sz w:val="28"/>
          <w:szCs w:val="28"/>
        </w:rPr>
        <w:t xml:space="preserve">12) (далее </w:t>
      </w:r>
      <w:r w:rsidR="00F9318B">
        <w:rPr>
          <w:rFonts w:ascii="Times New Roman" w:hAnsi="Times New Roman"/>
          <w:sz w:val="28"/>
          <w:szCs w:val="28"/>
        </w:rPr>
        <w:t xml:space="preserve">– </w:t>
      </w:r>
      <w:r w:rsidRPr="00AB1909">
        <w:rPr>
          <w:rFonts w:ascii="Times New Roman" w:hAnsi="Times New Roman"/>
          <w:sz w:val="28"/>
          <w:szCs w:val="28"/>
        </w:rPr>
        <w:t xml:space="preserve">Паспорт программы, приоритетная программа), закрепляющий направления реформирования КНД до 2025 года. </w:t>
      </w:r>
      <w:r>
        <w:rPr>
          <w:rFonts w:ascii="Times New Roman" w:hAnsi="Times New Roman"/>
          <w:sz w:val="28"/>
          <w:szCs w:val="28"/>
        </w:rPr>
        <w:t>Ц</w:t>
      </w:r>
      <w:r w:rsidRPr="00AB1909">
        <w:rPr>
          <w:rFonts w:ascii="Times New Roman" w:hAnsi="Times New Roman"/>
          <w:sz w:val="28"/>
          <w:szCs w:val="28"/>
        </w:rPr>
        <w:t>ел</w:t>
      </w:r>
      <w:r w:rsidR="00902564">
        <w:rPr>
          <w:rFonts w:ascii="Times New Roman" w:hAnsi="Times New Roman"/>
          <w:sz w:val="28"/>
          <w:szCs w:val="28"/>
        </w:rPr>
        <w:t>ями</w:t>
      </w:r>
      <w:r w:rsidRPr="00AB1909">
        <w:rPr>
          <w:rFonts w:ascii="Times New Roman" w:hAnsi="Times New Roman"/>
          <w:sz w:val="28"/>
          <w:szCs w:val="28"/>
        </w:rPr>
        <w:t xml:space="preserve"> реформы КНД явля</w:t>
      </w:r>
      <w:r w:rsidR="00902564">
        <w:rPr>
          <w:rFonts w:ascii="Times New Roman" w:hAnsi="Times New Roman"/>
          <w:sz w:val="28"/>
          <w:szCs w:val="28"/>
        </w:rPr>
        <w:t>ю</w:t>
      </w:r>
      <w:r w:rsidRPr="00AB1909">
        <w:rPr>
          <w:rFonts w:ascii="Times New Roman" w:hAnsi="Times New Roman"/>
          <w:sz w:val="28"/>
          <w:szCs w:val="28"/>
        </w:rPr>
        <w:t>тся снижение уровня ущерба охраняемым законом ценностям, в том числе жизни и здоровью граждан, уровня материального ущерба, административной нагрузки на организации и граждан, осуществляющих предпринимательскую и иные виды деятельности, рост индекса качества администрирования контрольно-надзорных функций, включая оптимизацию использования трудовых, материальных и финансовых ресурсов.</w:t>
      </w:r>
    </w:p>
    <w:p w:rsidR="0068434D" w:rsidRPr="006576F1" w:rsidRDefault="0068434D" w:rsidP="004D2C9E">
      <w:pPr>
        <w:spacing w:after="0" w:line="240" w:lineRule="auto"/>
        <w:ind w:firstLine="709"/>
        <w:jc w:val="both"/>
        <w:rPr>
          <w:rFonts w:ascii="Times New Roman" w:hAnsi="Times New Roman"/>
          <w:spacing w:val="-4"/>
          <w:sz w:val="28"/>
          <w:szCs w:val="28"/>
        </w:rPr>
      </w:pPr>
      <w:r w:rsidRPr="006576F1">
        <w:rPr>
          <w:rFonts w:ascii="Times New Roman" w:hAnsi="Times New Roman"/>
          <w:spacing w:val="-4"/>
          <w:sz w:val="28"/>
          <w:szCs w:val="28"/>
        </w:rPr>
        <w:t xml:space="preserve">Для достижения указанных целей приоритетной программой предусмотрено восемь направлений, одним из которых является автоматизация КНД. </w:t>
      </w:r>
    </w:p>
    <w:p w:rsidR="0068434D" w:rsidRPr="00AB1909" w:rsidRDefault="0068434D" w:rsidP="004D2C9E">
      <w:pPr>
        <w:spacing w:after="0" w:line="240" w:lineRule="auto"/>
        <w:ind w:firstLine="709"/>
        <w:jc w:val="both"/>
        <w:rPr>
          <w:rFonts w:ascii="Times New Roman" w:hAnsi="Times New Roman"/>
          <w:sz w:val="28"/>
          <w:szCs w:val="28"/>
        </w:rPr>
      </w:pPr>
      <w:r w:rsidRPr="00AB1909">
        <w:rPr>
          <w:rFonts w:ascii="Times New Roman" w:hAnsi="Times New Roman"/>
          <w:sz w:val="28"/>
          <w:szCs w:val="28"/>
        </w:rPr>
        <w:t>Основной задачей автоматизации КНД является создание условий для электронного взаимодействия между участниками КНД, как следствие</w:t>
      </w:r>
      <w:r w:rsidR="00F9318B">
        <w:rPr>
          <w:rFonts w:ascii="Times New Roman" w:hAnsi="Times New Roman"/>
          <w:sz w:val="28"/>
          <w:szCs w:val="28"/>
        </w:rPr>
        <w:t xml:space="preserve"> – </w:t>
      </w:r>
      <w:r w:rsidRPr="00AB1909">
        <w:rPr>
          <w:rFonts w:ascii="Times New Roman" w:hAnsi="Times New Roman"/>
          <w:sz w:val="28"/>
          <w:szCs w:val="28"/>
        </w:rPr>
        <w:t xml:space="preserve">оптимизация нагрузки на </w:t>
      </w:r>
      <w:r w:rsidR="009A6C2E" w:rsidRPr="009A6C2E">
        <w:rPr>
          <w:rFonts w:ascii="Times New Roman" w:hAnsi="Times New Roman"/>
          <w:sz w:val="28"/>
          <w:szCs w:val="28"/>
        </w:rPr>
        <w:t>контрольно-надзорны</w:t>
      </w:r>
      <w:r w:rsidR="009A6C2E">
        <w:rPr>
          <w:rFonts w:ascii="Times New Roman" w:hAnsi="Times New Roman"/>
          <w:sz w:val="28"/>
          <w:szCs w:val="28"/>
        </w:rPr>
        <w:t>е органы</w:t>
      </w:r>
      <w:r w:rsidRPr="009A6C2E">
        <w:rPr>
          <w:rFonts w:ascii="Times New Roman" w:hAnsi="Times New Roman"/>
          <w:sz w:val="28"/>
          <w:szCs w:val="28"/>
        </w:rPr>
        <w:t xml:space="preserve"> </w:t>
      </w:r>
      <w:r w:rsidRPr="00AB1909">
        <w:rPr>
          <w:rFonts w:ascii="Times New Roman" w:hAnsi="Times New Roman"/>
          <w:sz w:val="28"/>
          <w:szCs w:val="28"/>
        </w:rPr>
        <w:t>и снижение административной нагрузки на проверяемых лиц.</w:t>
      </w:r>
    </w:p>
    <w:p w:rsidR="0068434D" w:rsidRPr="00AB1909" w:rsidRDefault="0068434D" w:rsidP="004D2C9E">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AB1909">
        <w:rPr>
          <w:rFonts w:ascii="Times New Roman" w:hAnsi="Times New Roman"/>
          <w:sz w:val="28"/>
          <w:szCs w:val="28"/>
        </w:rPr>
        <w:t xml:space="preserve">дним из значимых мероприятий в рамках автоматизации КНД является разработка и внедрение функциональной архитектуры ЕИС КНД. Функциональная архитектура ЕИС КНД определяет основную структуру, выполняемые функции и взаимосвязь компонентов ЕИС КНД. Приоритетной программой предусмотрена модернизация входящих в ЕИС КНД информационных систем, в первую очередь </w:t>
      </w:r>
      <w:r w:rsidR="00902564" w:rsidRPr="00902564">
        <w:rPr>
          <w:rFonts w:ascii="Times New Roman" w:hAnsi="Times New Roman"/>
          <w:sz w:val="28"/>
          <w:szCs w:val="28"/>
        </w:rPr>
        <w:t xml:space="preserve">Федеральная государственная информационная система «Единый реестр проверок» (ФГИС ЕРП) </w:t>
      </w:r>
      <w:r w:rsidRPr="00AB1909">
        <w:rPr>
          <w:rFonts w:ascii="Times New Roman" w:hAnsi="Times New Roman"/>
          <w:sz w:val="28"/>
          <w:szCs w:val="28"/>
        </w:rPr>
        <w:t xml:space="preserve">и </w:t>
      </w:r>
      <w:r w:rsidR="00902564" w:rsidRPr="00902564">
        <w:rPr>
          <w:rFonts w:ascii="Times New Roman" w:hAnsi="Times New Roman"/>
          <w:sz w:val="28"/>
          <w:szCs w:val="28"/>
        </w:rPr>
        <w:t xml:space="preserve">Государственная автоматизированная информационная система </w:t>
      </w:r>
      <w:r w:rsidR="009A6C2E">
        <w:rPr>
          <w:rFonts w:ascii="Times New Roman" w:hAnsi="Times New Roman"/>
          <w:sz w:val="28"/>
          <w:szCs w:val="28"/>
        </w:rPr>
        <w:t>«</w:t>
      </w:r>
      <w:r w:rsidR="00902564" w:rsidRPr="00902564">
        <w:rPr>
          <w:rFonts w:ascii="Times New Roman" w:hAnsi="Times New Roman"/>
          <w:sz w:val="28"/>
          <w:szCs w:val="28"/>
        </w:rPr>
        <w:t>Управление</w:t>
      </w:r>
      <w:r w:rsidR="009A6C2E">
        <w:rPr>
          <w:rFonts w:ascii="Times New Roman" w:hAnsi="Times New Roman"/>
          <w:sz w:val="28"/>
          <w:szCs w:val="28"/>
        </w:rPr>
        <w:t>»</w:t>
      </w:r>
      <w:r w:rsidR="00902564" w:rsidRPr="00902564">
        <w:rPr>
          <w:rFonts w:ascii="Times New Roman" w:hAnsi="Times New Roman"/>
          <w:sz w:val="28"/>
          <w:szCs w:val="28"/>
        </w:rPr>
        <w:t xml:space="preserve"> </w:t>
      </w:r>
      <w:r w:rsidR="00902564">
        <w:rPr>
          <w:rFonts w:ascii="Times New Roman" w:hAnsi="Times New Roman"/>
          <w:sz w:val="28"/>
          <w:szCs w:val="28"/>
        </w:rPr>
        <w:t>(</w:t>
      </w:r>
      <w:r w:rsidRPr="00AB1909">
        <w:rPr>
          <w:rFonts w:ascii="Times New Roman" w:hAnsi="Times New Roman"/>
          <w:sz w:val="28"/>
          <w:szCs w:val="28"/>
        </w:rPr>
        <w:t>ГАСУ</w:t>
      </w:r>
      <w:r w:rsidR="00902564">
        <w:rPr>
          <w:rFonts w:ascii="Times New Roman" w:hAnsi="Times New Roman"/>
          <w:sz w:val="28"/>
          <w:szCs w:val="28"/>
        </w:rPr>
        <w:t>)</w:t>
      </w:r>
      <w:r w:rsidRPr="00AB1909">
        <w:rPr>
          <w:rFonts w:ascii="Times New Roman" w:hAnsi="Times New Roman"/>
          <w:sz w:val="28"/>
          <w:szCs w:val="28"/>
        </w:rPr>
        <w:t>.</w:t>
      </w:r>
    </w:p>
    <w:p w:rsidR="0068434D" w:rsidRPr="00AB1909" w:rsidRDefault="0068434D" w:rsidP="004D2C9E">
      <w:pPr>
        <w:spacing w:after="0" w:line="240" w:lineRule="auto"/>
        <w:ind w:firstLine="709"/>
        <w:jc w:val="both"/>
        <w:rPr>
          <w:rFonts w:ascii="Times New Roman" w:hAnsi="Times New Roman"/>
          <w:sz w:val="28"/>
          <w:szCs w:val="28"/>
        </w:rPr>
      </w:pPr>
      <w:r w:rsidRPr="00AB1909">
        <w:rPr>
          <w:rFonts w:ascii="Times New Roman" w:hAnsi="Times New Roman"/>
          <w:sz w:val="28"/>
          <w:szCs w:val="28"/>
        </w:rPr>
        <w:t>ЕИС КНД предназначена для обеспечения исполнения обязанностей, реализации прав и взаимодействия в электронной форме в ходе и в связи с КНД контрольные (надзорные) органы;</w:t>
      </w:r>
      <w:r>
        <w:rPr>
          <w:rFonts w:ascii="Times New Roman" w:hAnsi="Times New Roman"/>
          <w:sz w:val="28"/>
          <w:szCs w:val="28"/>
        </w:rPr>
        <w:t xml:space="preserve"> </w:t>
      </w:r>
      <w:r w:rsidRPr="00AB1909">
        <w:rPr>
          <w:rFonts w:ascii="Times New Roman" w:hAnsi="Times New Roman"/>
          <w:sz w:val="28"/>
          <w:szCs w:val="28"/>
        </w:rPr>
        <w:t>проверяемые лица;</w:t>
      </w:r>
      <w:r>
        <w:rPr>
          <w:rFonts w:ascii="Times New Roman" w:hAnsi="Times New Roman"/>
          <w:sz w:val="28"/>
          <w:szCs w:val="28"/>
        </w:rPr>
        <w:t xml:space="preserve"> </w:t>
      </w:r>
      <w:r w:rsidRPr="00AB1909">
        <w:rPr>
          <w:rFonts w:ascii="Times New Roman" w:hAnsi="Times New Roman"/>
          <w:sz w:val="28"/>
          <w:szCs w:val="28"/>
        </w:rPr>
        <w:t>органы прокуратуры;</w:t>
      </w:r>
      <w:r>
        <w:rPr>
          <w:rFonts w:ascii="Times New Roman" w:hAnsi="Times New Roman"/>
          <w:sz w:val="28"/>
          <w:szCs w:val="28"/>
        </w:rPr>
        <w:t xml:space="preserve"> </w:t>
      </w:r>
      <w:r w:rsidRPr="00AB1909">
        <w:rPr>
          <w:rFonts w:ascii="Times New Roman" w:hAnsi="Times New Roman"/>
          <w:sz w:val="28"/>
          <w:szCs w:val="28"/>
        </w:rPr>
        <w:t>поставщики сведений для КНД, не являющиеся участниками ЕИС КНД (внешние поставщики);</w:t>
      </w:r>
      <w:r>
        <w:rPr>
          <w:rFonts w:ascii="Times New Roman" w:hAnsi="Times New Roman"/>
          <w:sz w:val="28"/>
          <w:szCs w:val="28"/>
        </w:rPr>
        <w:t xml:space="preserve"> </w:t>
      </w:r>
      <w:r w:rsidRPr="00AB1909">
        <w:rPr>
          <w:rFonts w:ascii="Times New Roman" w:hAnsi="Times New Roman"/>
          <w:sz w:val="28"/>
          <w:szCs w:val="28"/>
        </w:rPr>
        <w:t xml:space="preserve">орган, уполномоченный на ведение реестров </w:t>
      </w:r>
      <w:r w:rsidR="009A6C2E" w:rsidRPr="009A6C2E">
        <w:rPr>
          <w:rFonts w:ascii="Times New Roman" w:hAnsi="Times New Roman"/>
          <w:sz w:val="28"/>
          <w:szCs w:val="28"/>
        </w:rPr>
        <w:t>контрольно-надзорны</w:t>
      </w:r>
      <w:r w:rsidR="009A6C2E">
        <w:rPr>
          <w:rFonts w:ascii="Times New Roman" w:hAnsi="Times New Roman"/>
          <w:sz w:val="28"/>
          <w:szCs w:val="28"/>
        </w:rPr>
        <w:t>х</w:t>
      </w:r>
      <w:r w:rsidR="009A6C2E" w:rsidRPr="009A6C2E">
        <w:rPr>
          <w:rFonts w:ascii="Times New Roman" w:hAnsi="Times New Roman"/>
          <w:sz w:val="28"/>
          <w:szCs w:val="28"/>
        </w:rPr>
        <w:t xml:space="preserve"> орган</w:t>
      </w:r>
      <w:r w:rsidR="009A6C2E">
        <w:rPr>
          <w:rFonts w:ascii="Times New Roman" w:hAnsi="Times New Roman"/>
          <w:sz w:val="28"/>
          <w:szCs w:val="28"/>
        </w:rPr>
        <w:t>ов</w:t>
      </w:r>
      <w:r w:rsidRPr="009A6C2E">
        <w:rPr>
          <w:rFonts w:ascii="Times New Roman" w:hAnsi="Times New Roman"/>
          <w:sz w:val="28"/>
          <w:szCs w:val="28"/>
        </w:rPr>
        <w:t>,</w:t>
      </w:r>
      <w:r w:rsidRPr="00AB1909">
        <w:rPr>
          <w:rFonts w:ascii="Times New Roman" w:hAnsi="Times New Roman"/>
          <w:sz w:val="28"/>
          <w:szCs w:val="28"/>
        </w:rPr>
        <w:t xml:space="preserve"> видов контроля, наборов обязательных требований;</w:t>
      </w:r>
      <w:r>
        <w:rPr>
          <w:rFonts w:ascii="Times New Roman" w:hAnsi="Times New Roman"/>
          <w:sz w:val="28"/>
          <w:szCs w:val="28"/>
        </w:rPr>
        <w:t xml:space="preserve"> </w:t>
      </w:r>
      <w:r w:rsidRPr="00AB1909">
        <w:rPr>
          <w:rFonts w:ascii="Times New Roman" w:hAnsi="Times New Roman"/>
          <w:sz w:val="28"/>
          <w:szCs w:val="28"/>
        </w:rPr>
        <w:t>Аппарат Правительства Российской Федерации, Администрация Президента Российской Федерации;</w:t>
      </w:r>
      <w:r>
        <w:rPr>
          <w:rFonts w:ascii="Times New Roman" w:hAnsi="Times New Roman"/>
          <w:sz w:val="28"/>
          <w:szCs w:val="28"/>
        </w:rPr>
        <w:t xml:space="preserve"> </w:t>
      </w:r>
      <w:r w:rsidRPr="00AB1909">
        <w:rPr>
          <w:rFonts w:ascii="Times New Roman" w:hAnsi="Times New Roman"/>
          <w:sz w:val="28"/>
          <w:szCs w:val="28"/>
        </w:rPr>
        <w:t>заинтересованные граждане и организации.</w:t>
      </w:r>
    </w:p>
    <w:p w:rsidR="0068434D" w:rsidRPr="00AB1909" w:rsidRDefault="0068434D" w:rsidP="004D2C9E">
      <w:pPr>
        <w:spacing w:after="0" w:line="240" w:lineRule="auto"/>
        <w:ind w:firstLine="709"/>
        <w:jc w:val="both"/>
        <w:rPr>
          <w:rFonts w:ascii="Times New Roman" w:hAnsi="Times New Roman"/>
          <w:sz w:val="28"/>
          <w:szCs w:val="28"/>
        </w:rPr>
      </w:pPr>
      <w:bookmarkStart w:id="24" w:name="bookmark15"/>
      <w:r w:rsidRPr="00AB1909">
        <w:rPr>
          <w:rFonts w:ascii="Times New Roman" w:hAnsi="Times New Roman"/>
          <w:sz w:val="28"/>
          <w:szCs w:val="28"/>
        </w:rPr>
        <w:t>Контрольно-надзорные органы</w:t>
      </w:r>
      <w:bookmarkEnd w:id="24"/>
      <w:r w:rsidRPr="00AB1909">
        <w:rPr>
          <w:rFonts w:ascii="Times New Roman" w:hAnsi="Times New Roman"/>
          <w:sz w:val="28"/>
          <w:szCs w:val="28"/>
        </w:rPr>
        <w:t xml:space="preserve"> при осуществлении управления рисками </w:t>
      </w:r>
      <w:r w:rsidR="00E716F8">
        <w:rPr>
          <w:rFonts w:ascii="Times New Roman" w:hAnsi="Times New Roman"/>
          <w:sz w:val="28"/>
          <w:szCs w:val="28"/>
        </w:rPr>
        <w:t>обязаны</w:t>
      </w:r>
      <w:r w:rsidRPr="00AB1909">
        <w:rPr>
          <w:rFonts w:ascii="Times New Roman" w:hAnsi="Times New Roman"/>
          <w:sz w:val="28"/>
          <w:szCs w:val="28"/>
        </w:rPr>
        <w:t>:</w:t>
      </w:r>
    </w:p>
    <w:p w:rsidR="0068434D" w:rsidRPr="00AB1909" w:rsidRDefault="0068434D" w:rsidP="004D2C9E">
      <w:pPr>
        <w:spacing w:after="0" w:line="240" w:lineRule="auto"/>
        <w:ind w:firstLine="709"/>
        <w:jc w:val="both"/>
        <w:rPr>
          <w:rFonts w:ascii="Times New Roman" w:hAnsi="Times New Roman"/>
          <w:sz w:val="28"/>
          <w:szCs w:val="28"/>
        </w:rPr>
      </w:pPr>
      <w:r w:rsidRPr="00AB1909">
        <w:rPr>
          <w:rFonts w:ascii="Times New Roman" w:hAnsi="Times New Roman"/>
          <w:sz w:val="28"/>
          <w:szCs w:val="28"/>
        </w:rPr>
        <w:t>вести реестр проверяемых субъектов и объектов;</w:t>
      </w:r>
    </w:p>
    <w:p w:rsidR="0068434D" w:rsidRPr="00961BCD" w:rsidRDefault="0068434D" w:rsidP="004D2C9E">
      <w:pPr>
        <w:spacing w:after="0" w:line="240" w:lineRule="auto"/>
        <w:ind w:firstLine="709"/>
        <w:jc w:val="both"/>
        <w:rPr>
          <w:rFonts w:ascii="Times New Roman" w:hAnsi="Times New Roman"/>
          <w:spacing w:val="-2"/>
          <w:sz w:val="28"/>
          <w:szCs w:val="28"/>
        </w:rPr>
      </w:pPr>
      <w:r w:rsidRPr="00961BCD">
        <w:rPr>
          <w:rFonts w:ascii="Times New Roman" w:hAnsi="Times New Roman"/>
          <w:spacing w:val="-2"/>
          <w:sz w:val="28"/>
          <w:szCs w:val="28"/>
        </w:rPr>
        <w:t>вести модель определения критериев и категорий риска причинения вреда;</w:t>
      </w:r>
    </w:p>
    <w:p w:rsidR="0068434D" w:rsidRPr="00AB1909" w:rsidRDefault="0068434D" w:rsidP="004D2C9E">
      <w:pPr>
        <w:spacing w:after="0" w:line="240" w:lineRule="auto"/>
        <w:ind w:firstLine="709"/>
        <w:jc w:val="both"/>
        <w:rPr>
          <w:rFonts w:ascii="Times New Roman" w:hAnsi="Times New Roman"/>
          <w:sz w:val="28"/>
          <w:szCs w:val="28"/>
        </w:rPr>
      </w:pPr>
      <w:r w:rsidRPr="00AB1909">
        <w:rPr>
          <w:rFonts w:ascii="Times New Roman" w:hAnsi="Times New Roman"/>
          <w:sz w:val="28"/>
          <w:szCs w:val="28"/>
        </w:rPr>
        <w:t>присваивать проверяемым лицам и объектам категории риска, классы опасности;</w:t>
      </w:r>
    </w:p>
    <w:p w:rsidR="0068434D" w:rsidRDefault="0068434D" w:rsidP="004D2C9E">
      <w:pPr>
        <w:spacing w:after="0" w:line="240" w:lineRule="auto"/>
        <w:ind w:firstLine="709"/>
        <w:jc w:val="both"/>
        <w:rPr>
          <w:rFonts w:ascii="Times New Roman" w:hAnsi="Times New Roman"/>
          <w:sz w:val="28"/>
          <w:szCs w:val="28"/>
        </w:rPr>
      </w:pPr>
      <w:r w:rsidRPr="00AB1909">
        <w:rPr>
          <w:rFonts w:ascii="Times New Roman" w:hAnsi="Times New Roman"/>
          <w:sz w:val="28"/>
          <w:szCs w:val="28"/>
        </w:rPr>
        <w:t xml:space="preserve">планировать </w:t>
      </w:r>
      <w:r w:rsidR="0057133C" w:rsidRPr="0057133C">
        <w:rPr>
          <w:rFonts w:ascii="Times New Roman" w:hAnsi="Times New Roman"/>
          <w:sz w:val="28"/>
          <w:szCs w:val="28"/>
        </w:rPr>
        <w:t>контрольно-надзорны</w:t>
      </w:r>
      <w:r w:rsidR="0057133C">
        <w:rPr>
          <w:rFonts w:ascii="Times New Roman" w:hAnsi="Times New Roman"/>
          <w:sz w:val="28"/>
          <w:szCs w:val="28"/>
        </w:rPr>
        <w:t>е</w:t>
      </w:r>
      <w:r w:rsidR="0057133C" w:rsidRPr="0057133C">
        <w:rPr>
          <w:rFonts w:ascii="Times New Roman" w:hAnsi="Times New Roman"/>
          <w:sz w:val="28"/>
          <w:szCs w:val="28"/>
        </w:rPr>
        <w:t xml:space="preserve"> мероприяти</w:t>
      </w:r>
      <w:r w:rsidR="0057133C">
        <w:rPr>
          <w:rFonts w:ascii="Times New Roman" w:hAnsi="Times New Roman"/>
          <w:sz w:val="28"/>
          <w:szCs w:val="28"/>
        </w:rPr>
        <w:t>я</w:t>
      </w:r>
      <w:r w:rsidRPr="00AB1909">
        <w:rPr>
          <w:rFonts w:ascii="Times New Roman" w:hAnsi="Times New Roman"/>
          <w:sz w:val="28"/>
          <w:szCs w:val="28"/>
        </w:rPr>
        <w:t xml:space="preserve"> с учетом присвоенных проверяемым лицам, объектам категорий риска, классов опасности;</w:t>
      </w:r>
    </w:p>
    <w:p w:rsidR="0068434D" w:rsidRDefault="0068434D" w:rsidP="004D2C9E">
      <w:pPr>
        <w:spacing w:after="0" w:line="240" w:lineRule="auto"/>
        <w:ind w:firstLine="709"/>
        <w:jc w:val="both"/>
        <w:rPr>
          <w:rFonts w:ascii="Times New Roman" w:hAnsi="Times New Roman"/>
          <w:sz w:val="28"/>
          <w:szCs w:val="28"/>
        </w:rPr>
      </w:pPr>
      <w:r w:rsidRPr="00AB1909">
        <w:rPr>
          <w:rFonts w:ascii="Times New Roman" w:hAnsi="Times New Roman"/>
          <w:sz w:val="28"/>
          <w:szCs w:val="28"/>
        </w:rPr>
        <w:t xml:space="preserve">обеспечивать межведомственное и межуровневое взаимодействие (совместное планирование </w:t>
      </w:r>
      <w:r w:rsidR="0057133C">
        <w:rPr>
          <w:rFonts w:ascii="Times New Roman" w:hAnsi="Times New Roman"/>
          <w:sz w:val="28"/>
          <w:szCs w:val="28"/>
        </w:rPr>
        <w:t>контрольно-надзорных</w:t>
      </w:r>
      <w:r w:rsidR="00902564" w:rsidRPr="00902564">
        <w:rPr>
          <w:rFonts w:ascii="Times New Roman" w:hAnsi="Times New Roman"/>
          <w:sz w:val="28"/>
          <w:szCs w:val="28"/>
        </w:rPr>
        <w:t xml:space="preserve"> мероприяти</w:t>
      </w:r>
      <w:r w:rsidR="0057133C">
        <w:rPr>
          <w:rFonts w:ascii="Times New Roman" w:hAnsi="Times New Roman"/>
          <w:sz w:val="28"/>
          <w:szCs w:val="28"/>
        </w:rPr>
        <w:t>й</w:t>
      </w:r>
      <w:r w:rsidRPr="00AB1909">
        <w:rPr>
          <w:rFonts w:ascii="Times New Roman" w:hAnsi="Times New Roman"/>
          <w:sz w:val="28"/>
          <w:szCs w:val="28"/>
        </w:rPr>
        <w:t>, использование сведений, находящихся в распоряжении иных органов, для оценки значений индикаторов риска).</w:t>
      </w:r>
    </w:p>
    <w:p w:rsidR="0068434D" w:rsidRPr="004D2C9E" w:rsidRDefault="004D2C9E" w:rsidP="000863D3">
      <w:pPr>
        <w:pStyle w:val="1"/>
        <w:spacing w:after="360"/>
      </w:pPr>
      <w:r>
        <w:br w:type="page"/>
      </w:r>
      <w:bookmarkStart w:id="25" w:name="_Toc526253894"/>
      <w:r w:rsidR="00EE4EA6" w:rsidRPr="004D2C9E">
        <w:t xml:space="preserve">Выводы и </w:t>
      </w:r>
      <w:r w:rsidR="0078327E">
        <w:t>предложения</w:t>
      </w:r>
      <w:bookmarkEnd w:id="25"/>
    </w:p>
    <w:p w:rsidR="0055335A" w:rsidRDefault="0055335A"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настоящем </w:t>
      </w:r>
      <w:r w:rsidR="0078327E">
        <w:rPr>
          <w:rFonts w:ascii="Times New Roman" w:hAnsi="Times New Roman"/>
          <w:sz w:val="28"/>
          <w:szCs w:val="28"/>
        </w:rPr>
        <w:t>Д</w:t>
      </w:r>
      <w:r>
        <w:rPr>
          <w:rFonts w:ascii="Times New Roman" w:hAnsi="Times New Roman"/>
          <w:sz w:val="28"/>
          <w:szCs w:val="28"/>
        </w:rPr>
        <w:t>окладе описан</w:t>
      </w:r>
      <w:r w:rsidR="009A6C2E">
        <w:rPr>
          <w:rFonts w:ascii="Times New Roman" w:hAnsi="Times New Roman"/>
          <w:sz w:val="28"/>
          <w:szCs w:val="28"/>
        </w:rPr>
        <w:t>ы</w:t>
      </w:r>
      <w:r>
        <w:rPr>
          <w:rFonts w:ascii="Times New Roman" w:hAnsi="Times New Roman"/>
          <w:sz w:val="28"/>
          <w:szCs w:val="28"/>
        </w:rPr>
        <w:t xml:space="preserve"> основны</w:t>
      </w:r>
      <w:r w:rsidR="009A6C2E">
        <w:rPr>
          <w:rFonts w:ascii="Times New Roman" w:hAnsi="Times New Roman"/>
          <w:sz w:val="28"/>
          <w:szCs w:val="28"/>
        </w:rPr>
        <w:t>е</w:t>
      </w:r>
      <w:r>
        <w:rPr>
          <w:rFonts w:ascii="Times New Roman" w:hAnsi="Times New Roman"/>
          <w:sz w:val="28"/>
          <w:szCs w:val="28"/>
        </w:rPr>
        <w:t xml:space="preserve"> угроз</w:t>
      </w:r>
      <w:r w:rsidR="009A6C2E">
        <w:rPr>
          <w:rFonts w:ascii="Times New Roman" w:hAnsi="Times New Roman"/>
          <w:sz w:val="28"/>
          <w:szCs w:val="28"/>
        </w:rPr>
        <w:t>ы</w:t>
      </w:r>
      <w:r>
        <w:rPr>
          <w:rFonts w:ascii="Times New Roman" w:hAnsi="Times New Roman"/>
          <w:sz w:val="28"/>
          <w:szCs w:val="28"/>
        </w:rPr>
        <w:t xml:space="preserve"> в области конкуренции</w:t>
      </w:r>
      <w:r w:rsidR="005F0E87">
        <w:rPr>
          <w:rFonts w:ascii="Times New Roman" w:hAnsi="Times New Roman"/>
          <w:sz w:val="28"/>
          <w:szCs w:val="28"/>
        </w:rPr>
        <w:t xml:space="preserve"> в государствах – участниках СНГ</w:t>
      </w:r>
      <w:r>
        <w:rPr>
          <w:rFonts w:ascii="Times New Roman" w:hAnsi="Times New Roman"/>
          <w:sz w:val="28"/>
          <w:szCs w:val="28"/>
        </w:rPr>
        <w:t xml:space="preserve">, </w:t>
      </w:r>
      <w:r w:rsidR="005F0E87">
        <w:rPr>
          <w:rFonts w:ascii="Times New Roman" w:hAnsi="Times New Roman"/>
          <w:sz w:val="28"/>
          <w:szCs w:val="28"/>
        </w:rPr>
        <w:t xml:space="preserve">представлены главные </w:t>
      </w:r>
      <w:r>
        <w:rPr>
          <w:rFonts w:ascii="Times New Roman" w:hAnsi="Times New Roman"/>
          <w:sz w:val="28"/>
          <w:szCs w:val="28"/>
        </w:rPr>
        <w:t>направлени</w:t>
      </w:r>
      <w:r w:rsidR="005F0E87">
        <w:rPr>
          <w:rFonts w:ascii="Times New Roman" w:hAnsi="Times New Roman"/>
          <w:sz w:val="28"/>
          <w:szCs w:val="28"/>
        </w:rPr>
        <w:t>я</w:t>
      </w:r>
      <w:r>
        <w:rPr>
          <w:rFonts w:ascii="Times New Roman" w:hAnsi="Times New Roman"/>
          <w:sz w:val="28"/>
          <w:szCs w:val="28"/>
        </w:rPr>
        <w:t xml:space="preserve"> развития необходимого инструментария для надлежащей защиты конкуренции</w:t>
      </w:r>
      <w:r w:rsidR="005F0E87">
        <w:rPr>
          <w:rFonts w:ascii="Times New Roman" w:hAnsi="Times New Roman"/>
          <w:sz w:val="28"/>
          <w:szCs w:val="28"/>
        </w:rPr>
        <w:t xml:space="preserve">. Сделан основной вывод, </w:t>
      </w:r>
      <w:r>
        <w:rPr>
          <w:rFonts w:ascii="Times New Roman" w:hAnsi="Times New Roman"/>
          <w:sz w:val="28"/>
          <w:szCs w:val="28"/>
        </w:rPr>
        <w:t>что антимонопольные органы государств – участников СНГ сталкиваются и будут сталкиваться со схожими проблемами в области защиты и развития конкуренции, что ожидаемо, учитывая характер глобальных цифровых правоотношений.</w:t>
      </w:r>
    </w:p>
    <w:p w:rsidR="00EE4EA6" w:rsidRDefault="00074A6B" w:rsidP="004D2C9E">
      <w:pPr>
        <w:spacing w:after="0" w:line="240" w:lineRule="auto"/>
        <w:ind w:firstLine="709"/>
        <w:jc w:val="both"/>
        <w:rPr>
          <w:rFonts w:ascii="Times New Roman" w:hAnsi="Times New Roman"/>
          <w:sz w:val="28"/>
          <w:szCs w:val="28"/>
        </w:rPr>
      </w:pPr>
      <w:r>
        <w:rPr>
          <w:rFonts w:ascii="Times New Roman" w:hAnsi="Times New Roman"/>
          <w:sz w:val="28"/>
          <w:szCs w:val="28"/>
        </w:rPr>
        <w:t>В целом государства – участники СНГ в настоящее время предпринимают необходимые и разумные меры по формированию благоприятной среды, необходимой для становления цифровой экономики – как в существующих реалиях, так и учитывающие будущее инновационное развитие.</w:t>
      </w:r>
    </w:p>
    <w:p w:rsidR="00074A6B" w:rsidRDefault="00074A6B" w:rsidP="004D2C9E">
      <w:pPr>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Государственные программы, реализуемые в настоящее время, в государствах – участниках СНГ схожи и охватывают следующие базовые направления:</w:t>
      </w:r>
    </w:p>
    <w:p w:rsidR="00074A6B" w:rsidRDefault="00074A6B" w:rsidP="004D2C9E">
      <w:pPr>
        <w:spacing w:after="0" w:line="240" w:lineRule="auto"/>
        <w:ind w:firstLine="709"/>
        <w:jc w:val="both"/>
        <w:rPr>
          <w:rFonts w:ascii="Times New Roman" w:hAnsi="Times New Roman"/>
          <w:sz w:val="28"/>
          <w:szCs w:val="28"/>
        </w:rPr>
      </w:pPr>
      <w:r>
        <w:rPr>
          <w:rFonts w:ascii="Times New Roman" w:hAnsi="Times New Roman"/>
          <w:sz w:val="28"/>
          <w:szCs w:val="28"/>
        </w:rPr>
        <w:t>развитие человеческого потенциала и обеспечение кадровых заделов для развития цифровой экономики, повышение благосостояния граждан и повсеместный доступ к благам цифровой экономики;</w:t>
      </w:r>
    </w:p>
    <w:p w:rsidR="00074A6B" w:rsidRDefault="00074A6B" w:rsidP="004D2C9E">
      <w:pPr>
        <w:spacing w:after="0" w:line="240" w:lineRule="auto"/>
        <w:ind w:firstLine="709"/>
        <w:jc w:val="both"/>
        <w:rPr>
          <w:rFonts w:ascii="Times New Roman" w:hAnsi="Times New Roman"/>
          <w:sz w:val="28"/>
          <w:szCs w:val="28"/>
        </w:rPr>
      </w:pPr>
      <w:r>
        <w:rPr>
          <w:rFonts w:ascii="Times New Roman" w:hAnsi="Times New Roman"/>
          <w:sz w:val="28"/>
          <w:szCs w:val="28"/>
        </w:rPr>
        <w:t>развитие инфраструктуры ИКТ и обеспечение ее безопасного функционирования;</w:t>
      </w:r>
    </w:p>
    <w:p w:rsidR="00C42898" w:rsidRDefault="00074A6B" w:rsidP="004D2C9E">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необходимых институтов для функционирования отраслей экономик</w:t>
      </w:r>
      <w:r w:rsidR="0078327E">
        <w:rPr>
          <w:rFonts w:ascii="Times New Roman" w:hAnsi="Times New Roman"/>
          <w:sz w:val="28"/>
          <w:szCs w:val="28"/>
        </w:rPr>
        <w:t>и</w:t>
      </w:r>
      <w:r w:rsidR="00C42898">
        <w:rPr>
          <w:rFonts w:ascii="Times New Roman" w:hAnsi="Times New Roman"/>
          <w:sz w:val="28"/>
          <w:szCs w:val="28"/>
        </w:rPr>
        <w:t>, обеспечение их цифровизации и становление условий для инновационного развития экономик</w:t>
      </w:r>
      <w:r w:rsidR="0078327E">
        <w:rPr>
          <w:rFonts w:ascii="Times New Roman" w:hAnsi="Times New Roman"/>
          <w:sz w:val="28"/>
          <w:szCs w:val="28"/>
        </w:rPr>
        <w:t>и, развитие научного потенциала;</w:t>
      </w:r>
    </w:p>
    <w:p w:rsidR="00C42898" w:rsidRDefault="00C42898" w:rsidP="004D2C9E">
      <w:pPr>
        <w:spacing w:after="0" w:line="240" w:lineRule="auto"/>
        <w:ind w:firstLine="709"/>
        <w:jc w:val="both"/>
        <w:rPr>
          <w:rFonts w:ascii="Times New Roman" w:hAnsi="Times New Roman"/>
          <w:sz w:val="28"/>
          <w:szCs w:val="28"/>
        </w:rPr>
      </w:pPr>
      <w:r>
        <w:rPr>
          <w:rFonts w:ascii="Times New Roman" w:hAnsi="Times New Roman"/>
          <w:sz w:val="28"/>
          <w:szCs w:val="28"/>
        </w:rPr>
        <w:t>цифровизация взаимодействия государства и граждан, государства и бизнеса, бизнеса и бизнеса.</w:t>
      </w:r>
    </w:p>
    <w:p w:rsidR="00DA24BD" w:rsidRDefault="00C42898" w:rsidP="004D2C9E">
      <w:pPr>
        <w:spacing w:after="0" w:line="240" w:lineRule="auto"/>
        <w:ind w:firstLine="709"/>
        <w:jc w:val="both"/>
        <w:rPr>
          <w:rFonts w:ascii="Times New Roman" w:hAnsi="Times New Roman"/>
          <w:sz w:val="28"/>
          <w:szCs w:val="28"/>
        </w:rPr>
      </w:pPr>
      <w:r>
        <w:rPr>
          <w:rFonts w:ascii="Times New Roman" w:hAnsi="Times New Roman"/>
          <w:sz w:val="28"/>
          <w:szCs w:val="28"/>
        </w:rPr>
        <w:t>Хотя программы развития цифровой экономики и общества находятся</w:t>
      </w:r>
      <w:r w:rsidR="005F0E87">
        <w:rPr>
          <w:rFonts w:ascii="Times New Roman" w:hAnsi="Times New Roman"/>
          <w:sz w:val="28"/>
          <w:szCs w:val="28"/>
        </w:rPr>
        <w:t xml:space="preserve"> в </w:t>
      </w:r>
      <w:r w:rsidR="0078327E">
        <w:rPr>
          <w:rFonts w:ascii="Times New Roman" w:hAnsi="Times New Roman"/>
          <w:sz w:val="28"/>
          <w:szCs w:val="28"/>
        </w:rPr>
        <w:t xml:space="preserve">государствах – участниках </w:t>
      </w:r>
      <w:r w:rsidR="005F0E87">
        <w:rPr>
          <w:rFonts w:ascii="Times New Roman" w:hAnsi="Times New Roman"/>
          <w:sz w:val="28"/>
          <w:szCs w:val="28"/>
        </w:rPr>
        <w:t>СНГ</w:t>
      </w:r>
      <w:r w:rsidR="0078327E">
        <w:rPr>
          <w:rFonts w:ascii="Times New Roman" w:hAnsi="Times New Roman"/>
          <w:sz w:val="28"/>
          <w:szCs w:val="28"/>
        </w:rPr>
        <w:t xml:space="preserve"> в большинстве</w:t>
      </w:r>
      <w:r>
        <w:rPr>
          <w:rFonts w:ascii="Times New Roman" w:hAnsi="Times New Roman"/>
          <w:sz w:val="28"/>
          <w:szCs w:val="28"/>
        </w:rPr>
        <w:t xml:space="preserve"> на начальном этапе реализации, предварительно можно сказать, что государства </w:t>
      </w:r>
      <w:r w:rsidR="005F0E87">
        <w:rPr>
          <w:rFonts w:ascii="Times New Roman" w:hAnsi="Times New Roman"/>
          <w:sz w:val="28"/>
          <w:szCs w:val="28"/>
        </w:rPr>
        <w:t xml:space="preserve">пока </w:t>
      </w:r>
      <w:r>
        <w:rPr>
          <w:rFonts w:ascii="Times New Roman" w:hAnsi="Times New Roman"/>
          <w:sz w:val="28"/>
          <w:szCs w:val="28"/>
        </w:rPr>
        <w:t>не уделяют до</w:t>
      </w:r>
      <w:r w:rsidR="005F0E87">
        <w:rPr>
          <w:rFonts w:ascii="Times New Roman" w:hAnsi="Times New Roman"/>
          <w:sz w:val="28"/>
          <w:szCs w:val="28"/>
        </w:rPr>
        <w:t>лжного</w:t>
      </w:r>
      <w:r>
        <w:rPr>
          <w:rFonts w:ascii="Times New Roman" w:hAnsi="Times New Roman"/>
          <w:sz w:val="28"/>
          <w:szCs w:val="28"/>
        </w:rPr>
        <w:t xml:space="preserve"> внимания формированию необходимых условий для развития конкуренции.</w:t>
      </w:r>
      <w:r w:rsidR="005F0E87">
        <w:rPr>
          <w:rFonts w:ascii="Times New Roman" w:hAnsi="Times New Roman"/>
          <w:sz w:val="28"/>
          <w:szCs w:val="28"/>
        </w:rPr>
        <w:t xml:space="preserve"> Ряд </w:t>
      </w:r>
      <w:r>
        <w:rPr>
          <w:rFonts w:ascii="Times New Roman" w:hAnsi="Times New Roman"/>
          <w:sz w:val="28"/>
          <w:szCs w:val="28"/>
        </w:rPr>
        <w:t xml:space="preserve">программ </w:t>
      </w:r>
      <w:r w:rsidR="005F0E87">
        <w:rPr>
          <w:rFonts w:ascii="Times New Roman" w:hAnsi="Times New Roman"/>
          <w:sz w:val="28"/>
          <w:szCs w:val="28"/>
        </w:rPr>
        <w:t xml:space="preserve">цифровизации </w:t>
      </w:r>
      <w:r>
        <w:rPr>
          <w:rFonts w:ascii="Times New Roman" w:hAnsi="Times New Roman"/>
          <w:sz w:val="28"/>
          <w:szCs w:val="28"/>
        </w:rPr>
        <w:t xml:space="preserve">формируют условия для монополизации инфраструктуры цифровой экономики – как физической инфраструктуры ИКТ, так и в сфере </w:t>
      </w:r>
      <w:r w:rsidR="007425BD">
        <w:rPr>
          <w:rFonts w:ascii="Times New Roman" w:hAnsi="Times New Roman"/>
          <w:sz w:val="28"/>
          <w:szCs w:val="28"/>
        </w:rPr>
        <w:t>формирования электронной инфраструктуры данных, определяя единственных поставщиков услуг на самом начальном этапе.</w:t>
      </w:r>
      <w:r w:rsidR="005F0E87">
        <w:rPr>
          <w:rFonts w:ascii="Times New Roman" w:hAnsi="Times New Roman"/>
          <w:sz w:val="28"/>
          <w:szCs w:val="28"/>
        </w:rPr>
        <w:t xml:space="preserve"> </w:t>
      </w:r>
      <w:r w:rsidR="00DA24BD">
        <w:rPr>
          <w:rFonts w:ascii="Times New Roman" w:hAnsi="Times New Roman"/>
          <w:sz w:val="28"/>
          <w:szCs w:val="28"/>
        </w:rPr>
        <w:t xml:space="preserve">Прослеживается, что государства </w:t>
      </w:r>
      <w:r w:rsidR="005F0E87">
        <w:rPr>
          <w:rFonts w:ascii="Times New Roman" w:hAnsi="Times New Roman"/>
          <w:sz w:val="28"/>
          <w:szCs w:val="28"/>
        </w:rPr>
        <w:t xml:space="preserve">традиционно </w:t>
      </w:r>
      <w:r w:rsidR="00BD5871">
        <w:rPr>
          <w:rFonts w:ascii="Times New Roman" w:hAnsi="Times New Roman"/>
          <w:sz w:val="28"/>
          <w:szCs w:val="28"/>
        </w:rPr>
        <w:t>стремятся к регулированию правоотношений в цифровой экономике по технологическому принципу.</w:t>
      </w:r>
    </w:p>
    <w:p w:rsidR="007425BD" w:rsidRDefault="007425BD"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Судя по подходам, формируемым при реализации программ цифровой экономики, </w:t>
      </w:r>
      <w:r w:rsidR="0078327E" w:rsidRPr="0078327E">
        <w:rPr>
          <w:rFonts w:ascii="Times New Roman" w:hAnsi="Times New Roman"/>
          <w:sz w:val="28"/>
          <w:szCs w:val="28"/>
        </w:rPr>
        <w:t>государства – участники СНГ</w:t>
      </w:r>
      <w:r w:rsidRPr="0078327E">
        <w:rPr>
          <w:rFonts w:ascii="Times New Roman" w:hAnsi="Times New Roman"/>
          <w:sz w:val="28"/>
          <w:szCs w:val="28"/>
        </w:rPr>
        <w:t xml:space="preserve"> </w:t>
      </w:r>
      <w:r>
        <w:rPr>
          <w:rFonts w:ascii="Times New Roman" w:hAnsi="Times New Roman"/>
          <w:sz w:val="28"/>
          <w:szCs w:val="28"/>
        </w:rPr>
        <w:t xml:space="preserve">осознают </w:t>
      </w:r>
      <w:r w:rsidR="005C4D55">
        <w:rPr>
          <w:rFonts w:ascii="Times New Roman" w:hAnsi="Times New Roman"/>
          <w:sz w:val="28"/>
          <w:szCs w:val="28"/>
        </w:rPr>
        <w:t>важность и степень влияния больших данных на все сферы жизни в условиях цифровой экономики, уделяют должное внимание безопасности обращения данных и необходимости их защиты, однако не предпринима</w:t>
      </w:r>
      <w:r w:rsidR="0078327E">
        <w:rPr>
          <w:rFonts w:ascii="Times New Roman" w:hAnsi="Times New Roman"/>
          <w:sz w:val="28"/>
          <w:szCs w:val="28"/>
        </w:rPr>
        <w:t>ют</w:t>
      </w:r>
      <w:r w:rsidR="005C4D55">
        <w:rPr>
          <w:rFonts w:ascii="Times New Roman" w:hAnsi="Times New Roman"/>
          <w:sz w:val="28"/>
          <w:szCs w:val="28"/>
        </w:rPr>
        <w:t xml:space="preserve"> надлежащих мер по </w:t>
      </w:r>
      <w:r w:rsidR="00BF6F4F">
        <w:rPr>
          <w:rFonts w:ascii="Times New Roman" w:hAnsi="Times New Roman"/>
          <w:sz w:val="28"/>
          <w:szCs w:val="28"/>
        </w:rPr>
        <w:t xml:space="preserve">обеспечению формирования взаимоувязанных распределенных экосистем </w:t>
      </w:r>
      <w:r w:rsidR="00A41BC8">
        <w:rPr>
          <w:rFonts w:ascii="Times New Roman" w:hAnsi="Times New Roman"/>
          <w:sz w:val="28"/>
          <w:szCs w:val="28"/>
        </w:rPr>
        <w:t xml:space="preserve">цифровой экономики, а также необходимой стандартизации процедур, что также может привести к ограничению конкуренции, и в последующем – </w:t>
      </w:r>
      <w:r w:rsidR="005F0E87">
        <w:rPr>
          <w:rFonts w:ascii="Times New Roman" w:hAnsi="Times New Roman"/>
          <w:sz w:val="28"/>
          <w:szCs w:val="28"/>
        </w:rPr>
        <w:t xml:space="preserve">к </w:t>
      </w:r>
      <w:r w:rsidR="00A41BC8">
        <w:rPr>
          <w:rFonts w:ascii="Times New Roman" w:hAnsi="Times New Roman"/>
          <w:sz w:val="28"/>
          <w:szCs w:val="28"/>
        </w:rPr>
        <w:t>замедлени</w:t>
      </w:r>
      <w:r w:rsidR="005F0E87">
        <w:rPr>
          <w:rFonts w:ascii="Times New Roman" w:hAnsi="Times New Roman"/>
          <w:sz w:val="28"/>
          <w:szCs w:val="28"/>
        </w:rPr>
        <w:t>ю</w:t>
      </w:r>
      <w:r w:rsidR="00A41BC8">
        <w:rPr>
          <w:rFonts w:ascii="Times New Roman" w:hAnsi="Times New Roman"/>
          <w:sz w:val="28"/>
          <w:szCs w:val="28"/>
        </w:rPr>
        <w:t xml:space="preserve"> цифрового развития.</w:t>
      </w:r>
    </w:p>
    <w:p w:rsidR="0064022F" w:rsidRPr="005F0E87" w:rsidRDefault="0064022F"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Исходя из изложенного, представляется целесообразным рекомендовать </w:t>
      </w:r>
      <w:r w:rsidRPr="005F0E87">
        <w:rPr>
          <w:rFonts w:ascii="Times New Roman" w:hAnsi="Times New Roman"/>
          <w:sz w:val="28"/>
          <w:szCs w:val="28"/>
        </w:rPr>
        <w:t>государствам – участникам СНГ при планировании и реализации мероприятий по развитию цифровой экономики:</w:t>
      </w:r>
    </w:p>
    <w:p w:rsidR="0064022F" w:rsidRDefault="0064022F"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исходить из необходимости реализации в процессах регулирования принципов технологической и </w:t>
      </w:r>
      <w:r w:rsidRPr="0064022F">
        <w:rPr>
          <w:rFonts w:ascii="Times New Roman" w:hAnsi="Times New Roman"/>
          <w:sz w:val="28"/>
          <w:szCs w:val="28"/>
        </w:rPr>
        <w:t>сетевой нейтральности,</w:t>
      </w:r>
      <w:r w:rsidRPr="008A3D69">
        <w:rPr>
          <w:rFonts w:ascii="Times New Roman" w:hAnsi="Times New Roman"/>
          <w:sz w:val="28"/>
          <w:szCs w:val="28"/>
        </w:rPr>
        <w:t xml:space="preserve"> согласно котор</w:t>
      </w:r>
      <w:r>
        <w:rPr>
          <w:rFonts w:ascii="Times New Roman" w:hAnsi="Times New Roman"/>
          <w:sz w:val="28"/>
          <w:szCs w:val="28"/>
        </w:rPr>
        <w:t>ым, например,</w:t>
      </w:r>
      <w:r w:rsidRPr="008A3D69">
        <w:rPr>
          <w:rFonts w:ascii="Times New Roman" w:hAnsi="Times New Roman"/>
          <w:sz w:val="28"/>
          <w:szCs w:val="28"/>
        </w:rPr>
        <w:t xml:space="preserve"> провайдерам запрещается блокировать сайты или применять дискриминационные меры против любого интернет-трафика</w:t>
      </w:r>
      <w:r>
        <w:rPr>
          <w:rFonts w:ascii="Times New Roman" w:hAnsi="Times New Roman"/>
          <w:sz w:val="28"/>
          <w:szCs w:val="28"/>
        </w:rPr>
        <w:t>;</w:t>
      </w:r>
    </w:p>
    <w:p w:rsidR="0064022F" w:rsidRDefault="0064022F" w:rsidP="004D2C9E">
      <w:pPr>
        <w:spacing w:after="0" w:line="240" w:lineRule="auto"/>
        <w:ind w:firstLine="709"/>
        <w:jc w:val="both"/>
        <w:rPr>
          <w:rFonts w:ascii="Times New Roman" w:hAnsi="Times New Roman"/>
          <w:sz w:val="28"/>
          <w:szCs w:val="28"/>
        </w:rPr>
      </w:pPr>
      <w:r>
        <w:rPr>
          <w:rFonts w:ascii="Times New Roman" w:hAnsi="Times New Roman"/>
          <w:sz w:val="28"/>
          <w:szCs w:val="28"/>
        </w:rPr>
        <w:t>обеспечить функционирование единого электронного пространства на базе взаимоувязанных инфокоммуникационных инфраструктур, в том числе путем принятия единых правил и стандартов;</w:t>
      </w:r>
    </w:p>
    <w:p w:rsidR="0064022F" w:rsidRPr="00873540" w:rsidRDefault="0064022F" w:rsidP="004D2C9E">
      <w:pPr>
        <w:spacing w:after="0" w:line="240" w:lineRule="auto"/>
        <w:ind w:firstLine="709"/>
        <w:jc w:val="both"/>
        <w:rPr>
          <w:rFonts w:ascii="Times New Roman" w:hAnsi="Times New Roman"/>
          <w:sz w:val="28"/>
          <w:szCs w:val="28"/>
        </w:rPr>
      </w:pPr>
      <w:r>
        <w:rPr>
          <w:rFonts w:ascii="Times New Roman" w:hAnsi="Times New Roman"/>
          <w:sz w:val="28"/>
          <w:szCs w:val="28"/>
        </w:rPr>
        <w:t>не допускать монополизации рынков, в том числе путем определения единственного поставщика, за исключением случаев, когда такие решения обусловлены интересами безопасности государства, защиты жизни и здоровья граждан.</w:t>
      </w:r>
    </w:p>
    <w:p w:rsidR="00A41BC8" w:rsidRDefault="00A41BC8" w:rsidP="004D2C9E">
      <w:pPr>
        <w:spacing w:after="0" w:line="240" w:lineRule="auto"/>
        <w:ind w:firstLine="709"/>
        <w:jc w:val="both"/>
        <w:rPr>
          <w:rFonts w:ascii="Times New Roman" w:hAnsi="Times New Roman"/>
          <w:sz w:val="28"/>
          <w:szCs w:val="28"/>
        </w:rPr>
      </w:pPr>
      <w:r>
        <w:rPr>
          <w:rFonts w:ascii="Times New Roman" w:hAnsi="Times New Roman"/>
          <w:sz w:val="28"/>
          <w:szCs w:val="28"/>
        </w:rPr>
        <w:t>Рынки в цифровой экономике не функционируют изолированно, в отрыве от глобальных рынков, и государства – участники СНГ, понимая важность скорейшей цифровой трансфор</w:t>
      </w:r>
      <w:r w:rsidR="0078327E">
        <w:rPr>
          <w:rFonts w:ascii="Times New Roman" w:hAnsi="Times New Roman"/>
          <w:sz w:val="28"/>
          <w:szCs w:val="28"/>
        </w:rPr>
        <w:t>мации для развития экономик</w:t>
      </w:r>
      <w:r>
        <w:rPr>
          <w:rFonts w:ascii="Times New Roman" w:hAnsi="Times New Roman"/>
          <w:sz w:val="28"/>
          <w:szCs w:val="28"/>
        </w:rPr>
        <w:t>и</w:t>
      </w:r>
      <w:r w:rsidR="0078327E">
        <w:rPr>
          <w:rFonts w:ascii="Times New Roman" w:hAnsi="Times New Roman"/>
          <w:sz w:val="28"/>
          <w:szCs w:val="28"/>
        </w:rPr>
        <w:t xml:space="preserve"> и</w:t>
      </w:r>
      <w:r>
        <w:rPr>
          <w:rFonts w:ascii="Times New Roman" w:hAnsi="Times New Roman"/>
          <w:sz w:val="28"/>
          <w:szCs w:val="28"/>
        </w:rPr>
        <w:t xml:space="preserve"> обеспечения их конкурентоспособности на мировой арене, проводят необходимые мероприятия по цифровизации правоотношений и развитию человеческого потенциала.</w:t>
      </w:r>
    </w:p>
    <w:p w:rsidR="00A41BC8" w:rsidRDefault="0078327E" w:rsidP="004D2C9E">
      <w:pPr>
        <w:spacing w:after="0" w:line="240" w:lineRule="auto"/>
        <w:ind w:firstLine="709"/>
        <w:jc w:val="both"/>
        <w:rPr>
          <w:rFonts w:ascii="Times New Roman" w:hAnsi="Times New Roman"/>
          <w:sz w:val="28"/>
          <w:szCs w:val="28"/>
        </w:rPr>
      </w:pPr>
      <w:r>
        <w:rPr>
          <w:rFonts w:ascii="Times New Roman" w:hAnsi="Times New Roman"/>
          <w:sz w:val="28"/>
          <w:szCs w:val="28"/>
        </w:rPr>
        <w:t>Вместе с этим</w:t>
      </w:r>
      <w:r w:rsidR="00A41BC8">
        <w:rPr>
          <w:rFonts w:ascii="Times New Roman" w:hAnsi="Times New Roman"/>
          <w:sz w:val="28"/>
          <w:szCs w:val="28"/>
        </w:rPr>
        <w:t xml:space="preserve"> </w:t>
      </w:r>
      <w:r w:rsidR="000D20EE">
        <w:rPr>
          <w:rFonts w:ascii="Times New Roman" w:hAnsi="Times New Roman"/>
          <w:sz w:val="28"/>
          <w:szCs w:val="28"/>
        </w:rPr>
        <w:t xml:space="preserve">принятые государственные программы не </w:t>
      </w:r>
      <w:r w:rsidR="006D01CC">
        <w:rPr>
          <w:rFonts w:ascii="Times New Roman" w:hAnsi="Times New Roman"/>
          <w:sz w:val="28"/>
          <w:szCs w:val="28"/>
        </w:rPr>
        <w:t>предусматривают необходимых мероприятий по обеспечению конкурентоспособности национальных предприятий на глобальных рынках с учетом рыночной власти транснациональных корпораций, в том числе не предусматривают разработки надлежащих мер защиты конкуренции в условиях все нарастающей глобализации экономики.</w:t>
      </w:r>
    </w:p>
    <w:p w:rsidR="00BD5871" w:rsidRDefault="00BD5871" w:rsidP="004D2C9E">
      <w:pPr>
        <w:spacing w:after="0" w:line="240" w:lineRule="auto"/>
        <w:ind w:firstLine="709"/>
        <w:jc w:val="both"/>
        <w:rPr>
          <w:rFonts w:ascii="Times New Roman" w:hAnsi="Times New Roman"/>
          <w:sz w:val="28"/>
          <w:szCs w:val="28"/>
        </w:rPr>
      </w:pPr>
      <w:r>
        <w:rPr>
          <w:rFonts w:ascii="Times New Roman" w:hAnsi="Times New Roman"/>
          <w:sz w:val="28"/>
          <w:szCs w:val="28"/>
        </w:rPr>
        <w:t>Вполне логично, что изменение товара, способов его обращения, формирование многосторонних рынков с новыми качественными характеристиками, снижение транзакционных издержек – все те выгоды, к</w:t>
      </w:r>
      <w:r w:rsidR="0078327E">
        <w:rPr>
          <w:rFonts w:ascii="Times New Roman" w:hAnsi="Times New Roman"/>
          <w:sz w:val="28"/>
          <w:szCs w:val="28"/>
        </w:rPr>
        <w:t>оторые несет цифровая экономика,</w:t>
      </w:r>
      <w:r>
        <w:rPr>
          <w:rFonts w:ascii="Times New Roman" w:hAnsi="Times New Roman"/>
          <w:sz w:val="28"/>
          <w:szCs w:val="28"/>
        </w:rPr>
        <w:t xml:space="preserve"> порождают угрозы для конкуренции, не только схожие по характеру правоотношений в государствах – участниках СНГ, но и одинаковые по влиянию конкретных компаний на конкурентоспособность национальн</w:t>
      </w:r>
      <w:r w:rsidR="0078327E">
        <w:rPr>
          <w:rFonts w:ascii="Times New Roman" w:hAnsi="Times New Roman"/>
          <w:sz w:val="28"/>
          <w:szCs w:val="28"/>
        </w:rPr>
        <w:t>ой</w:t>
      </w:r>
      <w:r>
        <w:rPr>
          <w:rFonts w:ascii="Times New Roman" w:hAnsi="Times New Roman"/>
          <w:sz w:val="28"/>
          <w:szCs w:val="28"/>
        </w:rPr>
        <w:t xml:space="preserve"> экономик</w:t>
      </w:r>
      <w:r w:rsidR="0078327E">
        <w:rPr>
          <w:rFonts w:ascii="Times New Roman" w:hAnsi="Times New Roman"/>
          <w:sz w:val="28"/>
          <w:szCs w:val="28"/>
        </w:rPr>
        <w:t>и</w:t>
      </w:r>
      <w:r>
        <w:rPr>
          <w:rFonts w:ascii="Times New Roman" w:hAnsi="Times New Roman"/>
          <w:sz w:val="28"/>
          <w:szCs w:val="28"/>
        </w:rPr>
        <w:t>, поскольку транснациональные корпорации действуют во всех странах.</w:t>
      </w:r>
    </w:p>
    <w:p w:rsidR="000D2DF9" w:rsidRDefault="0078327E" w:rsidP="004D2C9E">
      <w:pPr>
        <w:spacing w:after="0" w:line="240" w:lineRule="auto"/>
        <w:ind w:firstLine="709"/>
        <w:jc w:val="both"/>
        <w:rPr>
          <w:rFonts w:ascii="Times New Roman" w:hAnsi="Times New Roman"/>
          <w:sz w:val="28"/>
          <w:szCs w:val="28"/>
        </w:rPr>
      </w:pPr>
      <w:r>
        <w:rPr>
          <w:rFonts w:ascii="Times New Roman" w:hAnsi="Times New Roman"/>
          <w:sz w:val="28"/>
          <w:szCs w:val="28"/>
        </w:rPr>
        <w:t>При этом</w:t>
      </w:r>
      <w:r w:rsidR="000D2DF9">
        <w:rPr>
          <w:rFonts w:ascii="Times New Roman" w:hAnsi="Times New Roman"/>
          <w:sz w:val="28"/>
          <w:szCs w:val="28"/>
        </w:rPr>
        <w:t xml:space="preserve"> в отличие от других стран, где идет активное обсуждение совершенствования методов антимонопольного воздействия, а в некоторых странах уже приняты необходимые поправки в законодательство и разработаны необходимые руководства, программы государств – участников СНГ не содержат </w:t>
      </w:r>
      <w:r w:rsidR="005F0E87" w:rsidRPr="005F0E87">
        <w:rPr>
          <w:rFonts w:ascii="Times New Roman" w:hAnsi="Times New Roman"/>
          <w:sz w:val="28"/>
          <w:szCs w:val="28"/>
        </w:rPr>
        <w:t>положений</w:t>
      </w:r>
      <w:r w:rsidR="005F0E87">
        <w:rPr>
          <w:rFonts w:ascii="Times New Roman" w:hAnsi="Times New Roman"/>
          <w:sz w:val="28"/>
          <w:szCs w:val="28"/>
        </w:rPr>
        <w:t>, необходимых для</w:t>
      </w:r>
      <w:r w:rsidR="000D2DF9">
        <w:rPr>
          <w:rFonts w:ascii="Times New Roman" w:hAnsi="Times New Roman"/>
          <w:sz w:val="28"/>
          <w:szCs w:val="28"/>
        </w:rPr>
        <w:t xml:space="preserve"> усиления антимонопольного регулирования и защиты конкуренции (только в Российской Федерации предусмотрено единственное мероприятие по адаптации антимонопольного законодательства).</w:t>
      </w:r>
    </w:p>
    <w:p w:rsidR="000D2DF9" w:rsidRDefault="000D2DF9"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Сложившаяся ситуация тем более вызывает опасения, что скорости формирования рыночной власти в условиях цифровой экономики многократно превышают темпы становления рынков в условиях индустриального уклада, что наглядно продемонстрировано в настоящем </w:t>
      </w:r>
      <w:r w:rsidR="0078327E">
        <w:rPr>
          <w:rFonts w:ascii="Times New Roman" w:hAnsi="Times New Roman"/>
          <w:sz w:val="28"/>
          <w:szCs w:val="28"/>
        </w:rPr>
        <w:t>Д</w:t>
      </w:r>
      <w:r>
        <w:rPr>
          <w:rFonts w:ascii="Times New Roman" w:hAnsi="Times New Roman"/>
          <w:sz w:val="28"/>
          <w:szCs w:val="28"/>
        </w:rPr>
        <w:t>окладе на примере формирования рыночной власти транснациональных корпораций.</w:t>
      </w:r>
    </w:p>
    <w:p w:rsidR="000D2DF9" w:rsidRDefault="000D2DF9" w:rsidP="004D2C9E">
      <w:pPr>
        <w:spacing w:after="0" w:line="240" w:lineRule="auto"/>
        <w:ind w:firstLine="709"/>
        <w:jc w:val="both"/>
        <w:rPr>
          <w:rFonts w:ascii="Times New Roman" w:hAnsi="Times New Roman"/>
          <w:sz w:val="28"/>
          <w:szCs w:val="28"/>
        </w:rPr>
      </w:pPr>
      <w:r>
        <w:rPr>
          <w:rFonts w:ascii="Times New Roman" w:hAnsi="Times New Roman"/>
          <w:sz w:val="28"/>
          <w:szCs w:val="28"/>
        </w:rPr>
        <w:t>Очевидно</w:t>
      </w:r>
      <w:r w:rsidR="00E716F8">
        <w:rPr>
          <w:rFonts w:ascii="Times New Roman" w:hAnsi="Times New Roman"/>
          <w:sz w:val="28"/>
          <w:szCs w:val="28"/>
        </w:rPr>
        <w:t xml:space="preserve"> наличие</w:t>
      </w:r>
      <w:r>
        <w:rPr>
          <w:rFonts w:ascii="Times New Roman" w:hAnsi="Times New Roman"/>
          <w:sz w:val="28"/>
          <w:szCs w:val="28"/>
        </w:rPr>
        <w:t xml:space="preserve"> тренд</w:t>
      </w:r>
      <w:r w:rsidR="00E716F8">
        <w:rPr>
          <w:rFonts w:ascii="Times New Roman" w:hAnsi="Times New Roman"/>
          <w:sz w:val="28"/>
          <w:szCs w:val="28"/>
        </w:rPr>
        <w:t>а</w:t>
      </w:r>
      <w:r>
        <w:rPr>
          <w:rFonts w:ascii="Times New Roman" w:hAnsi="Times New Roman"/>
          <w:sz w:val="28"/>
          <w:szCs w:val="28"/>
        </w:rPr>
        <w:t xml:space="preserve"> к созданию транснациональными корпорациями многосторонних систем, охватывающих не только несколько рынков в традиционном понимании, но и несколько отраслей, </w:t>
      </w:r>
      <w:r w:rsidR="00E716F8">
        <w:rPr>
          <w:rFonts w:ascii="Times New Roman" w:hAnsi="Times New Roman"/>
          <w:sz w:val="28"/>
          <w:szCs w:val="28"/>
        </w:rPr>
        <w:t xml:space="preserve">их стремление </w:t>
      </w:r>
      <w:r>
        <w:rPr>
          <w:rFonts w:ascii="Times New Roman" w:hAnsi="Times New Roman"/>
          <w:sz w:val="28"/>
          <w:szCs w:val="28"/>
        </w:rPr>
        <w:t xml:space="preserve">к формированию колоссального влияния на самые чувствительные для развития национального благосостояния </w:t>
      </w:r>
      <w:r w:rsidR="00BD5871">
        <w:rPr>
          <w:rFonts w:ascii="Times New Roman" w:hAnsi="Times New Roman"/>
          <w:sz w:val="28"/>
          <w:szCs w:val="28"/>
        </w:rPr>
        <w:t>сферы.</w:t>
      </w:r>
    </w:p>
    <w:p w:rsidR="00BD5871" w:rsidRDefault="00BD5871" w:rsidP="004D2C9E">
      <w:pPr>
        <w:spacing w:after="0" w:line="240" w:lineRule="auto"/>
        <w:ind w:firstLine="709"/>
        <w:jc w:val="both"/>
        <w:rPr>
          <w:rFonts w:ascii="Times New Roman" w:hAnsi="Times New Roman"/>
          <w:sz w:val="28"/>
          <w:szCs w:val="28"/>
        </w:rPr>
      </w:pPr>
      <w:r>
        <w:rPr>
          <w:rFonts w:ascii="Times New Roman" w:hAnsi="Times New Roman"/>
          <w:sz w:val="28"/>
          <w:szCs w:val="28"/>
        </w:rPr>
        <w:t>Отдельно следует отметить, что складывающиеся монопольные и олигопольные глобальные кластеры защищены правом интеллектуальной собственности, что необходимо учитывать при разработке необходимых мер защиты конкуренции в государствах – участниках СНГ.</w:t>
      </w:r>
      <w:r w:rsidR="00983FFC">
        <w:rPr>
          <w:rFonts w:ascii="Times New Roman" w:hAnsi="Times New Roman"/>
          <w:sz w:val="28"/>
          <w:szCs w:val="28"/>
        </w:rPr>
        <w:t xml:space="preserve"> Здесь важно отметить положительный опыт Республики Казахстан, где уже приняты необходимые изменения в антимонопольное законодательство и запрещено совершать действия, являющиеся реализацией исключительных прав, если это приводит к ограничению конкуренции.</w:t>
      </w:r>
    </w:p>
    <w:p w:rsidR="00BD5871" w:rsidRDefault="00A80C79" w:rsidP="004D2C9E">
      <w:pPr>
        <w:spacing w:after="0" w:line="240" w:lineRule="auto"/>
        <w:ind w:firstLine="709"/>
        <w:jc w:val="both"/>
        <w:rPr>
          <w:rFonts w:ascii="Times New Roman" w:hAnsi="Times New Roman"/>
          <w:sz w:val="28"/>
          <w:szCs w:val="28"/>
        </w:rPr>
      </w:pPr>
      <w:r>
        <w:rPr>
          <w:rFonts w:ascii="Times New Roman" w:hAnsi="Times New Roman"/>
          <w:sz w:val="28"/>
          <w:szCs w:val="28"/>
        </w:rPr>
        <w:t>Исходя из анализа сделок, рассматриваемых антимонопольными органами государств – участников СНГ, дел о нарушении антимонопольного законодательства, особенностей товарных рынков в условиях цифровой экономики, а также исходя из учета тенденций развития цифровых инструментов и их проникновения во все сферы деятельности, качественного инновационного изменения традиционных рынков, важно отметить, что баз</w:t>
      </w:r>
      <w:r w:rsidR="0078327E">
        <w:rPr>
          <w:rFonts w:ascii="Times New Roman" w:hAnsi="Times New Roman"/>
          <w:sz w:val="28"/>
          <w:szCs w:val="28"/>
        </w:rPr>
        <w:t>овые аспекты защиты конкуренции</w:t>
      </w:r>
      <w:r>
        <w:rPr>
          <w:rFonts w:ascii="Times New Roman" w:hAnsi="Times New Roman"/>
          <w:sz w:val="28"/>
          <w:szCs w:val="28"/>
        </w:rPr>
        <w:t xml:space="preserve"> в основном применимы к новым отношениям в цифровой экономике.</w:t>
      </w:r>
    </w:p>
    <w:p w:rsidR="00E716F8" w:rsidRPr="00E716F8" w:rsidRDefault="00E716F8" w:rsidP="004D2C9E">
      <w:pPr>
        <w:spacing w:after="0" w:line="240" w:lineRule="auto"/>
        <w:ind w:firstLine="709"/>
        <w:jc w:val="both"/>
        <w:rPr>
          <w:rFonts w:ascii="Times New Roman" w:hAnsi="Times New Roman"/>
          <w:sz w:val="28"/>
          <w:szCs w:val="28"/>
        </w:rPr>
      </w:pPr>
      <w:r w:rsidRPr="00BA2BEB">
        <w:rPr>
          <w:rFonts w:ascii="Times New Roman" w:hAnsi="Times New Roman"/>
          <w:sz w:val="28"/>
          <w:szCs w:val="28"/>
        </w:rPr>
        <w:t xml:space="preserve">Заслуживает внимания опыт использования лучших мировых практик в борьбе с трансграничными нарушениями (пример: совместная работа </w:t>
      </w:r>
      <w:r w:rsidR="0078327E">
        <w:rPr>
          <w:rFonts w:ascii="Times New Roman" w:hAnsi="Times New Roman"/>
          <w:sz w:val="28"/>
          <w:szCs w:val="28"/>
        </w:rPr>
        <w:t>ЕЭК</w:t>
      </w:r>
      <w:r w:rsidRPr="00BA2BEB">
        <w:rPr>
          <w:rFonts w:ascii="Times New Roman" w:hAnsi="Times New Roman"/>
          <w:sz w:val="28"/>
          <w:szCs w:val="28"/>
        </w:rPr>
        <w:t xml:space="preserve">, ФАС России, компании Caterpillar и ее дилеров по внесению изменений в международные соглашения по дистрибуции на территории </w:t>
      </w:r>
      <w:r w:rsidR="0078327E">
        <w:rPr>
          <w:rFonts w:ascii="Times New Roman" w:hAnsi="Times New Roman"/>
          <w:sz w:val="28"/>
          <w:szCs w:val="28"/>
        </w:rPr>
        <w:t>ЕАЭС</w:t>
      </w:r>
      <w:r w:rsidRPr="00BA2BEB">
        <w:rPr>
          <w:rFonts w:ascii="Times New Roman" w:hAnsi="Times New Roman"/>
          <w:sz w:val="28"/>
          <w:szCs w:val="28"/>
        </w:rPr>
        <w:t>).</w:t>
      </w:r>
    </w:p>
    <w:p w:rsidR="00A80C79" w:rsidRDefault="00A80C79"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Однако для эффективной защиты конкуренции </w:t>
      </w:r>
      <w:r w:rsidR="00E716F8">
        <w:rPr>
          <w:rFonts w:ascii="Times New Roman" w:hAnsi="Times New Roman"/>
          <w:sz w:val="28"/>
          <w:szCs w:val="28"/>
        </w:rPr>
        <w:t xml:space="preserve">недостаточно </w:t>
      </w:r>
      <w:r>
        <w:rPr>
          <w:rFonts w:ascii="Times New Roman" w:hAnsi="Times New Roman"/>
          <w:sz w:val="28"/>
          <w:szCs w:val="28"/>
        </w:rPr>
        <w:t>действующего в настоящее время антимонопольного инструментария</w:t>
      </w:r>
      <w:r w:rsidR="0078327E">
        <w:rPr>
          <w:rFonts w:ascii="Times New Roman" w:hAnsi="Times New Roman"/>
          <w:sz w:val="28"/>
          <w:szCs w:val="28"/>
        </w:rPr>
        <w:t>,</w:t>
      </w:r>
      <w:r>
        <w:rPr>
          <w:rFonts w:ascii="Times New Roman" w:hAnsi="Times New Roman"/>
          <w:sz w:val="28"/>
          <w:szCs w:val="28"/>
        </w:rPr>
        <w:t xml:space="preserve"> и в самое ближайшее время государства </w:t>
      </w:r>
      <w:r w:rsidR="00E716F8">
        <w:rPr>
          <w:rFonts w:ascii="Times New Roman" w:hAnsi="Times New Roman"/>
          <w:sz w:val="28"/>
          <w:szCs w:val="28"/>
        </w:rPr>
        <w:t xml:space="preserve">– участники СНГ </w:t>
      </w:r>
      <w:r>
        <w:rPr>
          <w:rFonts w:ascii="Times New Roman" w:hAnsi="Times New Roman"/>
          <w:sz w:val="28"/>
          <w:szCs w:val="28"/>
        </w:rPr>
        <w:t>могут столкнуться с отсутствием механизмов защиты конкуренции на наиболее значимых, в том числе на социально значимых рынках.</w:t>
      </w:r>
    </w:p>
    <w:p w:rsidR="00A80C79" w:rsidRDefault="008A3D69" w:rsidP="004D2C9E">
      <w:pPr>
        <w:spacing w:after="0" w:line="240" w:lineRule="auto"/>
        <w:ind w:firstLine="709"/>
        <w:jc w:val="both"/>
        <w:rPr>
          <w:rFonts w:ascii="Times New Roman" w:hAnsi="Times New Roman"/>
          <w:sz w:val="28"/>
          <w:szCs w:val="28"/>
        </w:rPr>
      </w:pPr>
      <w:r w:rsidRPr="0064022F">
        <w:rPr>
          <w:rFonts w:ascii="Times New Roman" w:hAnsi="Times New Roman"/>
          <w:sz w:val="28"/>
          <w:szCs w:val="28"/>
        </w:rPr>
        <w:t>Пре</w:t>
      </w:r>
      <w:r w:rsidR="00E86BEE" w:rsidRPr="0064022F">
        <w:rPr>
          <w:rFonts w:ascii="Times New Roman" w:hAnsi="Times New Roman"/>
          <w:sz w:val="28"/>
          <w:szCs w:val="28"/>
        </w:rPr>
        <w:t>дставляется целесообразным рекомендовать г</w:t>
      </w:r>
      <w:r w:rsidR="00A80C79" w:rsidRPr="0064022F">
        <w:rPr>
          <w:rFonts w:ascii="Times New Roman" w:hAnsi="Times New Roman"/>
          <w:sz w:val="28"/>
          <w:szCs w:val="28"/>
        </w:rPr>
        <w:t>осударствам – участникам СНГ в самое ближайшее время принять меры по совершенствованию антимонопольного законодательства,</w:t>
      </w:r>
      <w:r w:rsidR="00A80C79">
        <w:rPr>
          <w:rFonts w:ascii="Times New Roman" w:hAnsi="Times New Roman"/>
          <w:sz w:val="28"/>
          <w:szCs w:val="28"/>
        </w:rPr>
        <w:t xml:space="preserve"> в том числе предусмотреть:</w:t>
      </w:r>
    </w:p>
    <w:p w:rsidR="00A80C79" w:rsidRDefault="00A80C79" w:rsidP="004D2C9E">
      <w:pPr>
        <w:spacing w:after="0" w:line="240" w:lineRule="auto"/>
        <w:ind w:firstLine="709"/>
        <w:jc w:val="both"/>
        <w:rPr>
          <w:rFonts w:ascii="Times New Roman" w:hAnsi="Times New Roman"/>
          <w:sz w:val="28"/>
          <w:szCs w:val="28"/>
        </w:rPr>
      </w:pPr>
      <w:r>
        <w:rPr>
          <w:rFonts w:ascii="Times New Roman" w:hAnsi="Times New Roman"/>
          <w:sz w:val="28"/>
          <w:szCs w:val="28"/>
        </w:rPr>
        <w:t>возможность пресечения ограничения конкуренции в сферах, связанных с реализацией исключительных прав на результаты интеллектуальной деятельности и приравненных к ним средствам индивидуализации;</w:t>
      </w:r>
    </w:p>
    <w:p w:rsidR="00A80C79" w:rsidRDefault="00A80C79" w:rsidP="004D2C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возможность пресечения ограничения конкуренции лицами, не являющимися резидентами государства и (или) </w:t>
      </w:r>
      <w:r w:rsidR="00760F9D">
        <w:rPr>
          <w:rFonts w:ascii="Times New Roman" w:hAnsi="Times New Roman"/>
          <w:sz w:val="28"/>
          <w:szCs w:val="28"/>
        </w:rPr>
        <w:t>осуществляющими деятельность</w:t>
      </w:r>
      <w:r>
        <w:rPr>
          <w:rFonts w:ascii="Times New Roman" w:hAnsi="Times New Roman"/>
          <w:sz w:val="28"/>
          <w:szCs w:val="28"/>
        </w:rPr>
        <w:t xml:space="preserve"> за пределами территории государства</w:t>
      </w:r>
      <w:r w:rsidR="00760F9D">
        <w:rPr>
          <w:rFonts w:ascii="Times New Roman" w:hAnsi="Times New Roman"/>
          <w:sz w:val="28"/>
          <w:szCs w:val="28"/>
        </w:rPr>
        <w:t>;</w:t>
      </w:r>
    </w:p>
    <w:p w:rsidR="00760F9D" w:rsidRPr="0064022F" w:rsidRDefault="00760F9D" w:rsidP="004D2C9E">
      <w:pPr>
        <w:spacing w:after="0" w:line="240" w:lineRule="auto"/>
        <w:ind w:firstLine="709"/>
        <w:jc w:val="both"/>
        <w:rPr>
          <w:rFonts w:ascii="Times New Roman" w:hAnsi="Times New Roman"/>
          <w:sz w:val="28"/>
          <w:szCs w:val="28"/>
        </w:rPr>
      </w:pPr>
      <w:r>
        <w:rPr>
          <w:rFonts w:ascii="Times New Roman" w:hAnsi="Times New Roman"/>
          <w:sz w:val="28"/>
          <w:szCs w:val="28"/>
        </w:rPr>
        <w:t>введени</w:t>
      </w:r>
      <w:r w:rsidR="00E86BEE">
        <w:rPr>
          <w:rFonts w:ascii="Times New Roman" w:hAnsi="Times New Roman"/>
          <w:sz w:val="28"/>
          <w:szCs w:val="28"/>
        </w:rPr>
        <w:t>е</w:t>
      </w:r>
      <w:r>
        <w:rPr>
          <w:rFonts w:ascii="Times New Roman" w:hAnsi="Times New Roman"/>
          <w:sz w:val="28"/>
          <w:szCs w:val="28"/>
        </w:rPr>
        <w:t xml:space="preserve"> дополнительных инструментов проведения анализа рынка и, в частности, </w:t>
      </w:r>
      <w:r w:rsidR="00E86BEE" w:rsidRPr="0064022F">
        <w:rPr>
          <w:rFonts w:ascii="Times New Roman" w:hAnsi="Times New Roman"/>
          <w:sz w:val="28"/>
          <w:szCs w:val="28"/>
        </w:rPr>
        <w:t xml:space="preserve">на предмет </w:t>
      </w:r>
      <w:r w:rsidRPr="0064022F">
        <w:rPr>
          <w:rFonts w:ascii="Times New Roman" w:hAnsi="Times New Roman"/>
          <w:sz w:val="28"/>
          <w:szCs w:val="28"/>
        </w:rPr>
        <w:t>установления доминирующего положения с учетом специфики цифровых рынков;</w:t>
      </w:r>
    </w:p>
    <w:p w:rsidR="00760F9D" w:rsidRPr="0064022F" w:rsidRDefault="00760F9D" w:rsidP="004D2C9E">
      <w:pPr>
        <w:spacing w:after="0" w:line="240" w:lineRule="auto"/>
        <w:ind w:firstLine="709"/>
        <w:jc w:val="both"/>
        <w:rPr>
          <w:rFonts w:ascii="Times New Roman" w:hAnsi="Times New Roman"/>
          <w:sz w:val="28"/>
          <w:szCs w:val="28"/>
        </w:rPr>
      </w:pPr>
      <w:r w:rsidRPr="0064022F">
        <w:rPr>
          <w:rFonts w:ascii="Times New Roman" w:hAnsi="Times New Roman"/>
          <w:sz w:val="28"/>
          <w:szCs w:val="28"/>
        </w:rPr>
        <w:t>в</w:t>
      </w:r>
      <w:r w:rsidR="00FF08AC" w:rsidRPr="0064022F">
        <w:rPr>
          <w:rFonts w:ascii="Times New Roman" w:hAnsi="Times New Roman"/>
          <w:sz w:val="28"/>
          <w:szCs w:val="28"/>
        </w:rPr>
        <w:t>недрение</w:t>
      </w:r>
      <w:r w:rsidRPr="0064022F">
        <w:rPr>
          <w:rFonts w:ascii="Times New Roman" w:hAnsi="Times New Roman"/>
          <w:sz w:val="28"/>
          <w:szCs w:val="28"/>
        </w:rPr>
        <w:t xml:space="preserve"> дополнительных инструментов, обеспечивающих полное и всестороннее рассмотрение сделок с учетом особенностей функционирования рынков в условиях цифровой экономики;</w:t>
      </w:r>
    </w:p>
    <w:p w:rsidR="00760F9D" w:rsidRPr="0064022F" w:rsidRDefault="00760F9D" w:rsidP="004D2C9E">
      <w:pPr>
        <w:spacing w:after="0" w:line="240" w:lineRule="auto"/>
        <w:ind w:firstLine="709"/>
        <w:jc w:val="both"/>
        <w:rPr>
          <w:rFonts w:ascii="Times New Roman" w:hAnsi="Times New Roman"/>
          <w:sz w:val="28"/>
          <w:szCs w:val="28"/>
        </w:rPr>
      </w:pPr>
      <w:r w:rsidRPr="0064022F">
        <w:rPr>
          <w:rFonts w:ascii="Times New Roman" w:hAnsi="Times New Roman"/>
          <w:sz w:val="28"/>
          <w:szCs w:val="28"/>
        </w:rPr>
        <w:t>введени</w:t>
      </w:r>
      <w:r w:rsidR="00FF08AC" w:rsidRPr="0064022F">
        <w:rPr>
          <w:rFonts w:ascii="Times New Roman" w:hAnsi="Times New Roman"/>
          <w:sz w:val="28"/>
          <w:szCs w:val="28"/>
        </w:rPr>
        <w:t>е</w:t>
      </w:r>
      <w:r w:rsidRPr="0064022F">
        <w:rPr>
          <w:rFonts w:ascii="Times New Roman" w:hAnsi="Times New Roman"/>
          <w:sz w:val="28"/>
          <w:szCs w:val="28"/>
        </w:rPr>
        <w:t xml:space="preserve"> механизмов понуждения к исполнению требований об обеспечении условий конкуренции, соразмерных выявленному правонарушению, учитывающих особенности функционирования цифровых рынков, а также аспекты глобализации рынков.</w:t>
      </w:r>
    </w:p>
    <w:p w:rsidR="00760F9D" w:rsidRDefault="0078327E" w:rsidP="004D2C9E">
      <w:pPr>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00760F9D" w:rsidRPr="0064022F">
        <w:rPr>
          <w:rFonts w:ascii="Times New Roman" w:hAnsi="Times New Roman"/>
          <w:sz w:val="28"/>
          <w:szCs w:val="28"/>
        </w:rPr>
        <w:t xml:space="preserve"> антимонопольным органам государств – участников СНГ </w:t>
      </w:r>
      <w:r w:rsidR="00FF08AC" w:rsidRPr="0064022F">
        <w:rPr>
          <w:rFonts w:ascii="Times New Roman" w:hAnsi="Times New Roman"/>
          <w:sz w:val="28"/>
          <w:szCs w:val="28"/>
        </w:rPr>
        <w:t>целесообразно</w:t>
      </w:r>
      <w:r w:rsidR="00760F9D" w:rsidRPr="0064022F">
        <w:rPr>
          <w:rFonts w:ascii="Times New Roman" w:hAnsi="Times New Roman"/>
          <w:sz w:val="28"/>
          <w:szCs w:val="28"/>
        </w:rPr>
        <w:t xml:space="preserve"> о</w:t>
      </w:r>
      <w:r w:rsidR="00FF08AC" w:rsidRPr="0064022F">
        <w:rPr>
          <w:rFonts w:ascii="Times New Roman" w:hAnsi="Times New Roman"/>
          <w:sz w:val="28"/>
          <w:szCs w:val="28"/>
        </w:rPr>
        <w:t>существлять</w:t>
      </w:r>
      <w:r w:rsidR="00760F9D" w:rsidRPr="0064022F">
        <w:rPr>
          <w:rFonts w:ascii="Times New Roman" w:hAnsi="Times New Roman"/>
          <w:sz w:val="28"/>
          <w:szCs w:val="28"/>
        </w:rPr>
        <w:t xml:space="preserve"> постоянный обмен практиками о защите конкуренции, </w:t>
      </w:r>
      <w:r w:rsidR="00760F9D">
        <w:rPr>
          <w:rFonts w:ascii="Times New Roman" w:hAnsi="Times New Roman"/>
          <w:sz w:val="28"/>
          <w:szCs w:val="28"/>
        </w:rPr>
        <w:t xml:space="preserve">который будет способствовать выработке разумных подходов в деятельности антимонопольных органов, выявлению и пресечения нарушений, формированию условий для развития конкуренции с учетом интересов </w:t>
      </w:r>
      <w:r w:rsidRPr="0078327E">
        <w:rPr>
          <w:rFonts w:ascii="Times New Roman" w:hAnsi="Times New Roman"/>
          <w:sz w:val="28"/>
          <w:szCs w:val="28"/>
        </w:rPr>
        <w:t>государств – участников СНГ</w:t>
      </w:r>
      <w:r w:rsidR="00760F9D" w:rsidRPr="0078327E">
        <w:rPr>
          <w:rFonts w:ascii="Times New Roman" w:hAnsi="Times New Roman"/>
          <w:sz w:val="28"/>
          <w:szCs w:val="28"/>
        </w:rPr>
        <w:t>.</w:t>
      </w:r>
    </w:p>
    <w:p w:rsidR="00FB3AC9" w:rsidRPr="00BA2BEB" w:rsidRDefault="00FF08AC" w:rsidP="004D2C9E">
      <w:pPr>
        <w:spacing w:after="0" w:line="240" w:lineRule="auto"/>
        <w:ind w:firstLine="709"/>
        <w:jc w:val="both"/>
        <w:rPr>
          <w:rFonts w:ascii="Times New Roman" w:hAnsi="Times New Roman"/>
          <w:sz w:val="28"/>
          <w:szCs w:val="28"/>
        </w:rPr>
      </w:pPr>
      <w:r w:rsidRPr="00BA2BEB">
        <w:rPr>
          <w:rFonts w:ascii="Times New Roman" w:hAnsi="Times New Roman"/>
          <w:sz w:val="28"/>
          <w:szCs w:val="28"/>
        </w:rPr>
        <w:t>С</w:t>
      </w:r>
      <w:r w:rsidR="00FB3AC9" w:rsidRPr="00BA2BEB">
        <w:rPr>
          <w:rFonts w:ascii="Times New Roman" w:hAnsi="Times New Roman"/>
          <w:sz w:val="28"/>
          <w:szCs w:val="28"/>
        </w:rPr>
        <w:t xml:space="preserve">овместные действия </w:t>
      </w:r>
      <w:r w:rsidRPr="00BA2BEB">
        <w:rPr>
          <w:rFonts w:ascii="Times New Roman" w:hAnsi="Times New Roman"/>
          <w:sz w:val="28"/>
          <w:szCs w:val="28"/>
        </w:rPr>
        <w:t xml:space="preserve">государств – участников СНГ </w:t>
      </w:r>
      <w:r w:rsidR="00FB3AC9" w:rsidRPr="00BA2BEB">
        <w:rPr>
          <w:rFonts w:ascii="Times New Roman" w:hAnsi="Times New Roman"/>
          <w:sz w:val="28"/>
          <w:szCs w:val="28"/>
        </w:rPr>
        <w:t>в сфере международной конкурентной политики</w:t>
      </w:r>
      <w:r w:rsidRPr="00BA2BEB">
        <w:rPr>
          <w:rFonts w:ascii="Times New Roman" w:hAnsi="Times New Roman"/>
          <w:sz w:val="28"/>
          <w:szCs w:val="28"/>
        </w:rPr>
        <w:t xml:space="preserve"> позволят</w:t>
      </w:r>
      <w:r w:rsidR="00FB3AC9" w:rsidRPr="00BA2BEB">
        <w:rPr>
          <w:rFonts w:ascii="Times New Roman" w:hAnsi="Times New Roman"/>
          <w:sz w:val="28"/>
          <w:szCs w:val="28"/>
        </w:rPr>
        <w:t xml:space="preserve"> активизировать сотрудничество и объедин</w:t>
      </w:r>
      <w:r w:rsidR="0078327E">
        <w:rPr>
          <w:rFonts w:ascii="Times New Roman" w:hAnsi="Times New Roman"/>
          <w:sz w:val="28"/>
          <w:szCs w:val="28"/>
        </w:rPr>
        <w:t>и</w:t>
      </w:r>
      <w:r w:rsidR="00FB3AC9" w:rsidRPr="00BA2BEB">
        <w:rPr>
          <w:rFonts w:ascii="Times New Roman" w:hAnsi="Times New Roman"/>
          <w:sz w:val="28"/>
          <w:szCs w:val="28"/>
        </w:rPr>
        <w:t>ть усилия п</w:t>
      </w:r>
      <w:r w:rsidRPr="00BA2BEB">
        <w:rPr>
          <w:rFonts w:ascii="Times New Roman" w:hAnsi="Times New Roman"/>
          <w:sz w:val="28"/>
          <w:szCs w:val="28"/>
        </w:rPr>
        <w:t>ри</w:t>
      </w:r>
      <w:r w:rsidR="00FB3AC9" w:rsidRPr="00BA2BEB">
        <w:rPr>
          <w:rFonts w:ascii="Times New Roman" w:hAnsi="Times New Roman"/>
          <w:sz w:val="28"/>
          <w:szCs w:val="28"/>
        </w:rPr>
        <w:t xml:space="preserve"> разработке общих подходов к выявлению и борьбе с нарушениями антимонопольного законодательства. </w:t>
      </w:r>
    </w:p>
    <w:p w:rsidR="009A27EC" w:rsidRPr="00E716F8" w:rsidRDefault="00E86BEE" w:rsidP="004D2C9E">
      <w:pPr>
        <w:spacing w:after="0" w:line="240" w:lineRule="auto"/>
        <w:ind w:firstLine="709"/>
        <w:jc w:val="both"/>
        <w:rPr>
          <w:rFonts w:ascii="Times New Roman" w:hAnsi="Times New Roman"/>
          <w:sz w:val="28"/>
          <w:szCs w:val="28"/>
        </w:rPr>
      </w:pPr>
      <w:r w:rsidRPr="00BA2BEB">
        <w:rPr>
          <w:rFonts w:ascii="Times New Roman" w:hAnsi="Times New Roman"/>
          <w:sz w:val="28"/>
          <w:szCs w:val="28"/>
        </w:rPr>
        <w:t>Представляется, что с учетом перечисленных рекомендаций р</w:t>
      </w:r>
      <w:r w:rsidR="009A27EC" w:rsidRPr="00BA2BEB">
        <w:rPr>
          <w:rFonts w:ascii="Times New Roman" w:hAnsi="Times New Roman"/>
          <w:sz w:val="28"/>
          <w:szCs w:val="28"/>
        </w:rPr>
        <w:t>азвитие цифровой экономики будет способствовать открытому, широкому и равноправному</w:t>
      </w:r>
      <w:r w:rsidR="00047A88" w:rsidRPr="00BA2BEB">
        <w:rPr>
          <w:rFonts w:ascii="Times New Roman" w:hAnsi="Times New Roman"/>
          <w:sz w:val="28"/>
          <w:szCs w:val="28"/>
        </w:rPr>
        <w:t xml:space="preserve"> сотрудничеству государств – участников СНГ, хозяйствующих субъектов и граждан, росту эффективности и объемов экономики каждого из государств – участников СНГ, переходу на новый уровень экономического, технологического и социального развития.</w:t>
      </w:r>
    </w:p>
    <w:sectPr w:rsidR="009A27EC" w:rsidRPr="00E716F8" w:rsidSect="006B6DA1">
      <w:headerReference w:type="default" r:id="rId9"/>
      <w:footerReference w:type="default" r:id="rId10"/>
      <w:pgSz w:w="11906" w:h="16838" w:code="9"/>
      <w:pgMar w:top="1418" w:right="709" w:bottom="1134" w:left="1559"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A4" w:rsidRDefault="001C75A4" w:rsidP="0068434D">
      <w:pPr>
        <w:spacing w:after="0" w:line="240" w:lineRule="auto"/>
      </w:pPr>
      <w:r>
        <w:separator/>
      </w:r>
    </w:p>
  </w:endnote>
  <w:endnote w:type="continuationSeparator" w:id="0">
    <w:p w:rsidR="001C75A4" w:rsidRDefault="001C75A4" w:rsidP="0068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61" w:rsidRPr="006B6DA1" w:rsidRDefault="003D1061" w:rsidP="006B6DA1">
    <w:pPr>
      <w:pStyle w:val="ab"/>
      <w:jc w:val="right"/>
      <w:rPr>
        <w:rFonts w:ascii="Times New Roman" w:hAnsi="Times New Roman"/>
        <w:sz w:val="24"/>
        <w:szCs w:val="12"/>
        <w:lang w:eastAsia="ru-RU"/>
      </w:rPr>
    </w:pPr>
    <w:r w:rsidRPr="006B6DA1">
      <w:rPr>
        <w:rFonts w:ascii="Times New Roman" w:hAnsi="Times New Roman"/>
        <w:sz w:val="12"/>
        <w:szCs w:val="12"/>
      </w:rPr>
      <w:fldChar w:fldCharType="begin"/>
    </w:r>
    <w:r w:rsidRPr="006B6DA1">
      <w:rPr>
        <w:rFonts w:ascii="Times New Roman" w:hAnsi="Times New Roman"/>
        <w:sz w:val="12"/>
        <w:szCs w:val="12"/>
      </w:rPr>
      <w:instrText xml:space="preserve"> FILENAME \p </w:instrText>
    </w:r>
    <w:r w:rsidRPr="006B6DA1">
      <w:rPr>
        <w:rFonts w:ascii="Times New Roman" w:hAnsi="Times New Roman"/>
        <w:sz w:val="12"/>
        <w:szCs w:val="12"/>
      </w:rPr>
      <w:fldChar w:fldCharType="separate"/>
    </w:r>
    <w:r w:rsidR="00947605">
      <w:rPr>
        <w:rFonts w:ascii="Times New Roman" w:hAnsi="Times New Roman"/>
        <w:noProof/>
        <w:sz w:val="12"/>
        <w:szCs w:val="12"/>
      </w:rPr>
      <w:t>Z:\5 Экономический департамент\5-6\Белов\Цифровая экономика\После согласительного на ЭС\18-1505-5-6.doc</w:t>
    </w:r>
    <w:r w:rsidRPr="006B6DA1">
      <w:rPr>
        <w:rFonts w:ascii="Times New Roman" w:hAnsi="Times New Roman"/>
        <w:sz w:val="12"/>
        <w:szCs w:val="12"/>
      </w:rPr>
      <w:fldChar w:fldCharType="end"/>
    </w:r>
    <w:r w:rsidRPr="006B6DA1">
      <w:rPr>
        <w:rFonts w:ascii="Times New Roman" w:hAnsi="Times New Roman"/>
        <w:sz w:val="12"/>
        <w:szCs w:val="12"/>
      </w:rPr>
      <w:br/>
    </w:r>
    <w:r w:rsidRPr="006B6DA1">
      <w:rPr>
        <w:rFonts w:ascii="Times New Roman" w:hAnsi="Times New Roman"/>
        <w:sz w:val="12"/>
        <w:szCs w:val="12"/>
      </w:rPr>
      <w:fldChar w:fldCharType="begin"/>
    </w:r>
    <w:r w:rsidRPr="006B6DA1">
      <w:rPr>
        <w:rFonts w:ascii="Times New Roman" w:hAnsi="Times New Roman"/>
        <w:sz w:val="12"/>
        <w:szCs w:val="12"/>
      </w:rPr>
      <w:instrText xml:space="preserve"> PRINTDATE \@ "dd.MM.yyyy H:mm:ss" </w:instrText>
    </w:r>
    <w:r w:rsidRPr="006B6DA1">
      <w:rPr>
        <w:rFonts w:ascii="Times New Roman" w:hAnsi="Times New Roman"/>
        <w:sz w:val="12"/>
        <w:szCs w:val="12"/>
      </w:rPr>
      <w:fldChar w:fldCharType="separate"/>
    </w:r>
    <w:r w:rsidR="00947605">
      <w:rPr>
        <w:rFonts w:ascii="Times New Roman" w:hAnsi="Times New Roman"/>
        <w:noProof/>
        <w:sz w:val="12"/>
        <w:szCs w:val="12"/>
      </w:rPr>
      <w:t>05.12.2018 15:05:00</w:t>
    </w:r>
    <w:r w:rsidRPr="006B6DA1">
      <w:rPr>
        <w:rFonts w:ascii="Times New Roman" w:hAnsi="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A4" w:rsidRDefault="001C75A4" w:rsidP="0068434D">
      <w:pPr>
        <w:spacing w:after="0" w:line="240" w:lineRule="auto"/>
      </w:pPr>
      <w:r>
        <w:separator/>
      </w:r>
    </w:p>
  </w:footnote>
  <w:footnote w:type="continuationSeparator" w:id="0">
    <w:p w:rsidR="001C75A4" w:rsidRDefault="001C75A4" w:rsidP="0068434D">
      <w:pPr>
        <w:spacing w:after="0" w:line="240" w:lineRule="auto"/>
      </w:pPr>
      <w:r>
        <w:continuationSeparator/>
      </w:r>
    </w:p>
  </w:footnote>
  <w:footnote w:id="1">
    <w:p w:rsidR="00BD3904" w:rsidRPr="00BD3904" w:rsidRDefault="00BD3904" w:rsidP="00BD3904">
      <w:pPr>
        <w:pStyle w:val="a4"/>
        <w:jc w:val="both"/>
        <w:rPr>
          <w:rFonts w:ascii="Times New Roman" w:hAnsi="Times New Roman"/>
        </w:rPr>
      </w:pPr>
      <w:r w:rsidRPr="00BD3904">
        <w:rPr>
          <w:rStyle w:val="a6"/>
          <w:rFonts w:ascii="Times New Roman" w:hAnsi="Times New Roman"/>
        </w:rPr>
        <w:t>*</w:t>
      </w:r>
      <w:r w:rsidRPr="00BD3904">
        <w:rPr>
          <w:rFonts w:ascii="Times New Roman" w:hAnsi="Times New Roman"/>
        </w:rPr>
        <w:t> </w:t>
      </w:r>
      <w:r w:rsidRPr="00FD0B19">
        <w:rPr>
          <w:rFonts w:ascii="Times New Roman" w:hAnsi="Times New Roman"/>
        </w:rPr>
        <w:t>В данной инициативе активно участвует азербайджанская сторона. Так, в рамках Рабочей группы высокого уровня по развитию информационного общества Регионального содружества в области связи со стороны Азербайджана были представлены и приняты статистические показатели и методология расчета алгоритмов развития цифровой экономики в государствах – членах Регионального содружества в области связи на основе критериев Европейского союза в сфере цифровой экономики.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61" w:rsidRPr="004C6124" w:rsidRDefault="003D1061">
    <w:pPr>
      <w:pStyle w:val="a9"/>
      <w:jc w:val="center"/>
      <w:rPr>
        <w:rFonts w:ascii="Times New Roman" w:hAnsi="Times New Roman"/>
        <w:sz w:val="24"/>
        <w:szCs w:val="24"/>
      </w:rPr>
    </w:pPr>
    <w:r w:rsidRPr="004C6124">
      <w:rPr>
        <w:rFonts w:ascii="Times New Roman" w:hAnsi="Times New Roman"/>
        <w:sz w:val="24"/>
        <w:szCs w:val="24"/>
      </w:rPr>
      <w:fldChar w:fldCharType="begin"/>
    </w:r>
    <w:r w:rsidRPr="004C6124">
      <w:rPr>
        <w:rFonts w:ascii="Times New Roman" w:hAnsi="Times New Roman"/>
        <w:sz w:val="24"/>
        <w:szCs w:val="24"/>
      </w:rPr>
      <w:instrText>PAGE   \* MERGEFORMAT</w:instrText>
    </w:r>
    <w:r w:rsidRPr="004C6124">
      <w:rPr>
        <w:rFonts w:ascii="Times New Roman" w:hAnsi="Times New Roman"/>
        <w:sz w:val="24"/>
        <w:szCs w:val="24"/>
      </w:rPr>
      <w:fldChar w:fldCharType="separate"/>
    </w:r>
    <w:r w:rsidR="00A0071A">
      <w:rPr>
        <w:rFonts w:ascii="Times New Roman" w:hAnsi="Times New Roman"/>
        <w:noProof/>
        <w:sz w:val="24"/>
        <w:szCs w:val="24"/>
      </w:rPr>
      <w:t>135</w:t>
    </w:r>
    <w:r w:rsidRPr="004C612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E1B"/>
    <w:multiLevelType w:val="hybridMultilevel"/>
    <w:tmpl w:val="344A8140"/>
    <w:lvl w:ilvl="0" w:tplc="8C68DA4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9C4546"/>
    <w:multiLevelType w:val="hybridMultilevel"/>
    <w:tmpl w:val="A894A74A"/>
    <w:lvl w:ilvl="0" w:tplc="5574B9AA">
      <w:start w:val="1"/>
      <w:numFmt w:val="bullet"/>
      <w:lvlText w:val="•"/>
      <w:lvlJc w:val="left"/>
      <w:pPr>
        <w:tabs>
          <w:tab w:val="num" w:pos="720"/>
        </w:tabs>
        <w:ind w:left="720" w:hanging="360"/>
      </w:pPr>
      <w:rPr>
        <w:rFonts w:ascii="Arial" w:hAnsi="Arial" w:hint="default"/>
      </w:rPr>
    </w:lvl>
    <w:lvl w:ilvl="1" w:tplc="43440548" w:tentative="1">
      <w:start w:val="1"/>
      <w:numFmt w:val="bullet"/>
      <w:lvlText w:val="•"/>
      <w:lvlJc w:val="left"/>
      <w:pPr>
        <w:tabs>
          <w:tab w:val="num" w:pos="1440"/>
        </w:tabs>
        <w:ind w:left="1440" w:hanging="360"/>
      </w:pPr>
      <w:rPr>
        <w:rFonts w:ascii="Arial" w:hAnsi="Arial" w:hint="default"/>
      </w:rPr>
    </w:lvl>
    <w:lvl w:ilvl="2" w:tplc="0726C11A" w:tentative="1">
      <w:start w:val="1"/>
      <w:numFmt w:val="bullet"/>
      <w:lvlText w:val="•"/>
      <w:lvlJc w:val="left"/>
      <w:pPr>
        <w:tabs>
          <w:tab w:val="num" w:pos="2160"/>
        </w:tabs>
        <w:ind w:left="2160" w:hanging="360"/>
      </w:pPr>
      <w:rPr>
        <w:rFonts w:ascii="Arial" w:hAnsi="Arial" w:hint="default"/>
      </w:rPr>
    </w:lvl>
    <w:lvl w:ilvl="3" w:tplc="9D462BBE" w:tentative="1">
      <w:start w:val="1"/>
      <w:numFmt w:val="bullet"/>
      <w:lvlText w:val="•"/>
      <w:lvlJc w:val="left"/>
      <w:pPr>
        <w:tabs>
          <w:tab w:val="num" w:pos="2880"/>
        </w:tabs>
        <w:ind w:left="2880" w:hanging="360"/>
      </w:pPr>
      <w:rPr>
        <w:rFonts w:ascii="Arial" w:hAnsi="Arial" w:hint="default"/>
      </w:rPr>
    </w:lvl>
    <w:lvl w:ilvl="4" w:tplc="60D89CB8" w:tentative="1">
      <w:start w:val="1"/>
      <w:numFmt w:val="bullet"/>
      <w:lvlText w:val="•"/>
      <w:lvlJc w:val="left"/>
      <w:pPr>
        <w:tabs>
          <w:tab w:val="num" w:pos="3600"/>
        </w:tabs>
        <w:ind w:left="3600" w:hanging="360"/>
      </w:pPr>
      <w:rPr>
        <w:rFonts w:ascii="Arial" w:hAnsi="Arial" w:hint="default"/>
      </w:rPr>
    </w:lvl>
    <w:lvl w:ilvl="5" w:tplc="D2E8A310" w:tentative="1">
      <w:start w:val="1"/>
      <w:numFmt w:val="bullet"/>
      <w:lvlText w:val="•"/>
      <w:lvlJc w:val="left"/>
      <w:pPr>
        <w:tabs>
          <w:tab w:val="num" w:pos="4320"/>
        </w:tabs>
        <w:ind w:left="4320" w:hanging="360"/>
      </w:pPr>
      <w:rPr>
        <w:rFonts w:ascii="Arial" w:hAnsi="Arial" w:hint="default"/>
      </w:rPr>
    </w:lvl>
    <w:lvl w:ilvl="6" w:tplc="07A47850" w:tentative="1">
      <w:start w:val="1"/>
      <w:numFmt w:val="bullet"/>
      <w:lvlText w:val="•"/>
      <w:lvlJc w:val="left"/>
      <w:pPr>
        <w:tabs>
          <w:tab w:val="num" w:pos="5040"/>
        </w:tabs>
        <w:ind w:left="5040" w:hanging="360"/>
      </w:pPr>
      <w:rPr>
        <w:rFonts w:ascii="Arial" w:hAnsi="Arial" w:hint="default"/>
      </w:rPr>
    </w:lvl>
    <w:lvl w:ilvl="7" w:tplc="F6CC98A4" w:tentative="1">
      <w:start w:val="1"/>
      <w:numFmt w:val="bullet"/>
      <w:lvlText w:val="•"/>
      <w:lvlJc w:val="left"/>
      <w:pPr>
        <w:tabs>
          <w:tab w:val="num" w:pos="5760"/>
        </w:tabs>
        <w:ind w:left="5760" w:hanging="360"/>
      </w:pPr>
      <w:rPr>
        <w:rFonts w:ascii="Arial" w:hAnsi="Arial" w:hint="default"/>
      </w:rPr>
    </w:lvl>
    <w:lvl w:ilvl="8" w:tplc="3014E2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B846B1"/>
    <w:multiLevelType w:val="multilevel"/>
    <w:tmpl w:val="617E8848"/>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rPr>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8F401A"/>
    <w:multiLevelType w:val="multilevel"/>
    <w:tmpl w:val="CE900EF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2DAD7B82"/>
    <w:multiLevelType w:val="hybridMultilevel"/>
    <w:tmpl w:val="02E0BE8E"/>
    <w:lvl w:ilvl="0" w:tplc="D5000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2AA5C49"/>
    <w:multiLevelType w:val="multilevel"/>
    <w:tmpl w:val="D16A4822"/>
    <w:lvl w:ilvl="0">
      <w:start w:val="1"/>
      <w:numFmt w:val="decimal"/>
      <w:lvlText w:val="%1."/>
      <w:lvlJc w:val="left"/>
      <w:pPr>
        <w:ind w:left="1637" w:hanging="360"/>
      </w:pPr>
      <w:rPr>
        <w:rFonts w:hint="default"/>
      </w:rPr>
    </w:lvl>
    <w:lvl w:ilvl="1">
      <w:start w:val="2"/>
      <w:numFmt w:val="decimal"/>
      <w:isLgl/>
      <w:lvlText w:val="%1.%2."/>
      <w:lvlJc w:val="left"/>
      <w:pPr>
        <w:ind w:left="2848"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6" w15:restartNumberingAfterBreak="0">
    <w:nsid w:val="43154EA8"/>
    <w:multiLevelType w:val="multilevel"/>
    <w:tmpl w:val="C80040C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7" w15:restartNumberingAfterBreak="0">
    <w:nsid w:val="46DB09C0"/>
    <w:multiLevelType w:val="multilevel"/>
    <w:tmpl w:val="5F2C7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025F96"/>
    <w:multiLevelType w:val="hybridMultilevel"/>
    <w:tmpl w:val="38C2D42C"/>
    <w:lvl w:ilvl="0" w:tplc="B3461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2026FF0"/>
    <w:multiLevelType w:val="multilevel"/>
    <w:tmpl w:val="9C90D8D8"/>
    <w:lvl w:ilvl="0">
      <w:start w:val="1"/>
      <w:numFmt w:val="decimal"/>
      <w:lvlText w:val="%1."/>
      <w:lvlJc w:val="left"/>
      <w:pPr>
        <w:ind w:left="1211" w:hanging="360"/>
      </w:pPr>
      <w:rPr>
        <w:rFonts w:hint="default"/>
      </w:rPr>
    </w:lvl>
    <w:lvl w:ilvl="1">
      <w:start w:val="1"/>
      <w:numFmt w:val="decimal"/>
      <w:isLgl/>
      <w:lvlText w:val="%2."/>
      <w:lvlJc w:val="left"/>
      <w:pPr>
        <w:ind w:left="1571" w:hanging="720"/>
      </w:pPr>
      <w:rPr>
        <w:rFonts w:ascii="Times New Roman" w:eastAsia="Calibr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54B84EA0"/>
    <w:multiLevelType w:val="hybridMultilevel"/>
    <w:tmpl w:val="F5D69F92"/>
    <w:lvl w:ilvl="0" w:tplc="D09227BE">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F1F3E8C"/>
    <w:multiLevelType w:val="multilevel"/>
    <w:tmpl w:val="8408B00C"/>
    <w:lvl w:ilvl="0">
      <w:start w:val="3"/>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79940100"/>
    <w:multiLevelType w:val="multilevel"/>
    <w:tmpl w:val="0CB62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6"/>
  </w:num>
  <w:num w:numId="4">
    <w:abstractNumId w:val="3"/>
  </w:num>
  <w:num w:numId="5">
    <w:abstractNumId w:val="2"/>
  </w:num>
  <w:num w:numId="6">
    <w:abstractNumId w:val="5"/>
  </w:num>
  <w:num w:numId="7">
    <w:abstractNumId w:val="7"/>
  </w:num>
  <w:num w:numId="8">
    <w:abstractNumId w:val="12"/>
  </w:num>
  <w:num w:numId="9">
    <w:abstractNumId w:val="1"/>
  </w:num>
  <w:num w:numId="10">
    <w:abstractNumId w:val="1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21"/>
    <w:rsid w:val="00015795"/>
    <w:rsid w:val="00015C15"/>
    <w:rsid w:val="00020610"/>
    <w:rsid w:val="0002095C"/>
    <w:rsid w:val="00032601"/>
    <w:rsid w:val="00042B26"/>
    <w:rsid w:val="00045D44"/>
    <w:rsid w:val="00047A88"/>
    <w:rsid w:val="00054CD0"/>
    <w:rsid w:val="00061FAF"/>
    <w:rsid w:val="000639F8"/>
    <w:rsid w:val="00064124"/>
    <w:rsid w:val="00074A6B"/>
    <w:rsid w:val="0008100C"/>
    <w:rsid w:val="000841F2"/>
    <w:rsid w:val="000863D3"/>
    <w:rsid w:val="00091834"/>
    <w:rsid w:val="00094777"/>
    <w:rsid w:val="00095408"/>
    <w:rsid w:val="000A1BBC"/>
    <w:rsid w:val="000A2A78"/>
    <w:rsid w:val="000B2707"/>
    <w:rsid w:val="000C007B"/>
    <w:rsid w:val="000C7647"/>
    <w:rsid w:val="000D20EE"/>
    <w:rsid w:val="000D2DF9"/>
    <w:rsid w:val="000D39EE"/>
    <w:rsid w:val="000E6D54"/>
    <w:rsid w:val="000F72A6"/>
    <w:rsid w:val="000F7D1A"/>
    <w:rsid w:val="00106AA9"/>
    <w:rsid w:val="00107ED5"/>
    <w:rsid w:val="00112364"/>
    <w:rsid w:val="001123EA"/>
    <w:rsid w:val="00123588"/>
    <w:rsid w:val="00125819"/>
    <w:rsid w:val="001260D0"/>
    <w:rsid w:val="001340CA"/>
    <w:rsid w:val="00147715"/>
    <w:rsid w:val="0015128B"/>
    <w:rsid w:val="001577B2"/>
    <w:rsid w:val="001577C4"/>
    <w:rsid w:val="0016281C"/>
    <w:rsid w:val="00162A58"/>
    <w:rsid w:val="001765D0"/>
    <w:rsid w:val="00176A37"/>
    <w:rsid w:val="00176A70"/>
    <w:rsid w:val="001842D6"/>
    <w:rsid w:val="0018611A"/>
    <w:rsid w:val="00192789"/>
    <w:rsid w:val="00197A23"/>
    <w:rsid w:val="001A5C06"/>
    <w:rsid w:val="001A6A4D"/>
    <w:rsid w:val="001A730D"/>
    <w:rsid w:val="001B1315"/>
    <w:rsid w:val="001B417D"/>
    <w:rsid w:val="001B5F42"/>
    <w:rsid w:val="001C1257"/>
    <w:rsid w:val="001C5423"/>
    <w:rsid w:val="001C75A4"/>
    <w:rsid w:val="001D2BC0"/>
    <w:rsid w:val="001D5B19"/>
    <w:rsid w:val="001D7026"/>
    <w:rsid w:val="001E2415"/>
    <w:rsid w:val="001E3EA1"/>
    <w:rsid w:val="001E4879"/>
    <w:rsid w:val="001E4FEC"/>
    <w:rsid w:val="001E6E74"/>
    <w:rsid w:val="001F531B"/>
    <w:rsid w:val="001F585B"/>
    <w:rsid w:val="00203819"/>
    <w:rsid w:val="00206B43"/>
    <w:rsid w:val="00207B91"/>
    <w:rsid w:val="00213ED9"/>
    <w:rsid w:val="0022221A"/>
    <w:rsid w:val="00222C11"/>
    <w:rsid w:val="00223E29"/>
    <w:rsid w:val="002250B6"/>
    <w:rsid w:val="00227784"/>
    <w:rsid w:val="002306CA"/>
    <w:rsid w:val="002343A7"/>
    <w:rsid w:val="00241BCD"/>
    <w:rsid w:val="00242833"/>
    <w:rsid w:val="00244BAB"/>
    <w:rsid w:val="002450DC"/>
    <w:rsid w:val="00246362"/>
    <w:rsid w:val="00257FBA"/>
    <w:rsid w:val="00257FC0"/>
    <w:rsid w:val="00260A00"/>
    <w:rsid w:val="002624A7"/>
    <w:rsid w:val="00262641"/>
    <w:rsid w:val="00264AAF"/>
    <w:rsid w:val="00266D7D"/>
    <w:rsid w:val="002714B1"/>
    <w:rsid w:val="00271CD2"/>
    <w:rsid w:val="00274B6E"/>
    <w:rsid w:val="00280A79"/>
    <w:rsid w:val="00280AD2"/>
    <w:rsid w:val="00283358"/>
    <w:rsid w:val="0028754D"/>
    <w:rsid w:val="0029040B"/>
    <w:rsid w:val="002971ED"/>
    <w:rsid w:val="002A1769"/>
    <w:rsid w:val="002A377B"/>
    <w:rsid w:val="002A3F60"/>
    <w:rsid w:val="002A464A"/>
    <w:rsid w:val="002A6EE2"/>
    <w:rsid w:val="002B112E"/>
    <w:rsid w:val="002B30C6"/>
    <w:rsid w:val="002C099F"/>
    <w:rsid w:val="002C170D"/>
    <w:rsid w:val="002C44FB"/>
    <w:rsid w:val="002E19D2"/>
    <w:rsid w:val="002E4A02"/>
    <w:rsid w:val="002F1C23"/>
    <w:rsid w:val="002F32E5"/>
    <w:rsid w:val="002F4B12"/>
    <w:rsid w:val="002F5B9B"/>
    <w:rsid w:val="002F642E"/>
    <w:rsid w:val="00300621"/>
    <w:rsid w:val="0030213D"/>
    <w:rsid w:val="00303BBF"/>
    <w:rsid w:val="00304D3E"/>
    <w:rsid w:val="00307E3E"/>
    <w:rsid w:val="00310114"/>
    <w:rsid w:val="00314FC0"/>
    <w:rsid w:val="003366B3"/>
    <w:rsid w:val="003501BD"/>
    <w:rsid w:val="0035213A"/>
    <w:rsid w:val="0035305E"/>
    <w:rsid w:val="00354BAC"/>
    <w:rsid w:val="003611BB"/>
    <w:rsid w:val="003702EC"/>
    <w:rsid w:val="00371525"/>
    <w:rsid w:val="0037196F"/>
    <w:rsid w:val="0037459F"/>
    <w:rsid w:val="00390F32"/>
    <w:rsid w:val="00391177"/>
    <w:rsid w:val="003914F3"/>
    <w:rsid w:val="00393362"/>
    <w:rsid w:val="00394547"/>
    <w:rsid w:val="00395B4D"/>
    <w:rsid w:val="00396D89"/>
    <w:rsid w:val="003B6BEC"/>
    <w:rsid w:val="003C1E73"/>
    <w:rsid w:val="003C1F73"/>
    <w:rsid w:val="003C3245"/>
    <w:rsid w:val="003C3377"/>
    <w:rsid w:val="003C79D8"/>
    <w:rsid w:val="003D1061"/>
    <w:rsid w:val="003D2508"/>
    <w:rsid w:val="003D264B"/>
    <w:rsid w:val="003E145B"/>
    <w:rsid w:val="003E21EC"/>
    <w:rsid w:val="003E2967"/>
    <w:rsid w:val="003E477F"/>
    <w:rsid w:val="003E62F1"/>
    <w:rsid w:val="003F17A8"/>
    <w:rsid w:val="003F1CDF"/>
    <w:rsid w:val="003F5CF5"/>
    <w:rsid w:val="00400130"/>
    <w:rsid w:val="0040131B"/>
    <w:rsid w:val="00401BCD"/>
    <w:rsid w:val="004020DC"/>
    <w:rsid w:val="00402D6E"/>
    <w:rsid w:val="00406670"/>
    <w:rsid w:val="004068AA"/>
    <w:rsid w:val="00406ED2"/>
    <w:rsid w:val="0040750B"/>
    <w:rsid w:val="00413200"/>
    <w:rsid w:val="00416577"/>
    <w:rsid w:val="00416CE6"/>
    <w:rsid w:val="00416EF3"/>
    <w:rsid w:val="00423CB7"/>
    <w:rsid w:val="0042504F"/>
    <w:rsid w:val="00430115"/>
    <w:rsid w:val="00431C08"/>
    <w:rsid w:val="00432397"/>
    <w:rsid w:val="00434522"/>
    <w:rsid w:val="00436FEE"/>
    <w:rsid w:val="0044129F"/>
    <w:rsid w:val="00443236"/>
    <w:rsid w:val="00444716"/>
    <w:rsid w:val="00445637"/>
    <w:rsid w:val="00450AB0"/>
    <w:rsid w:val="004558A0"/>
    <w:rsid w:val="00464B10"/>
    <w:rsid w:val="00464E59"/>
    <w:rsid w:val="00470B46"/>
    <w:rsid w:val="00474B38"/>
    <w:rsid w:val="0047703C"/>
    <w:rsid w:val="0048021D"/>
    <w:rsid w:val="00480973"/>
    <w:rsid w:val="00483209"/>
    <w:rsid w:val="0049307B"/>
    <w:rsid w:val="004A132B"/>
    <w:rsid w:val="004A1A74"/>
    <w:rsid w:val="004A2912"/>
    <w:rsid w:val="004A2FA5"/>
    <w:rsid w:val="004A7903"/>
    <w:rsid w:val="004B066E"/>
    <w:rsid w:val="004B088C"/>
    <w:rsid w:val="004B1913"/>
    <w:rsid w:val="004C6124"/>
    <w:rsid w:val="004D06AA"/>
    <w:rsid w:val="004D0955"/>
    <w:rsid w:val="004D2C9E"/>
    <w:rsid w:val="004D315D"/>
    <w:rsid w:val="004D7846"/>
    <w:rsid w:val="004E1CCC"/>
    <w:rsid w:val="004E63F3"/>
    <w:rsid w:val="004E6DBD"/>
    <w:rsid w:val="004F0292"/>
    <w:rsid w:val="004F0F99"/>
    <w:rsid w:val="004F1241"/>
    <w:rsid w:val="004F7FF3"/>
    <w:rsid w:val="00504098"/>
    <w:rsid w:val="005050C5"/>
    <w:rsid w:val="00511904"/>
    <w:rsid w:val="00515A19"/>
    <w:rsid w:val="00520FAB"/>
    <w:rsid w:val="00521D1B"/>
    <w:rsid w:val="00522C54"/>
    <w:rsid w:val="00523CBC"/>
    <w:rsid w:val="00525BCC"/>
    <w:rsid w:val="00527900"/>
    <w:rsid w:val="0053549D"/>
    <w:rsid w:val="00544A93"/>
    <w:rsid w:val="00544E0E"/>
    <w:rsid w:val="0054579E"/>
    <w:rsid w:val="005458C3"/>
    <w:rsid w:val="00553266"/>
    <w:rsid w:val="0055335A"/>
    <w:rsid w:val="00555E97"/>
    <w:rsid w:val="0055668F"/>
    <w:rsid w:val="00560777"/>
    <w:rsid w:val="00561C2E"/>
    <w:rsid w:val="005621E7"/>
    <w:rsid w:val="005700E8"/>
    <w:rsid w:val="0057068C"/>
    <w:rsid w:val="0057133C"/>
    <w:rsid w:val="0057290A"/>
    <w:rsid w:val="00574481"/>
    <w:rsid w:val="005752E1"/>
    <w:rsid w:val="005766E4"/>
    <w:rsid w:val="00584527"/>
    <w:rsid w:val="00585294"/>
    <w:rsid w:val="00585E21"/>
    <w:rsid w:val="00586BD7"/>
    <w:rsid w:val="00590293"/>
    <w:rsid w:val="005A06DB"/>
    <w:rsid w:val="005A0EF5"/>
    <w:rsid w:val="005A282F"/>
    <w:rsid w:val="005A3406"/>
    <w:rsid w:val="005A4C8F"/>
    <w:rsid w:val="005A580A"/>
    <w:rsid w:val="005A627A"/>
    <w:rsid w:val="005B1CCC"/>
    <w:rsid w:val="005B453F"/>
    <w:rsid w:val="005B736B"/>
    <w:rsid w:val="005C1618"/>
    <w:rsid w:val="005C4D55"/>
    <w:rsid w:val="005C6805"/>
    <w:rsid w:val="005D43C0"/>
    <w:rsid w:val="005E3E34"/>
    <w:rsid w:val="005E4C02"/>
    <w:rsid w:val="005F0BD8"/>
    <w:rsid w:val="005F0E87"/>
    <w:rsid w:val="005F76DF"/>
    <w:rsid w:val="00617AE3"/>
    <w:rsid w:val="00624A55"/>
    <w:rsid w:val="0062779A"/>
    <w:rsid w:val="00632FB5"/>
    <w:rsid w:val="00633DC5"/>
    <w:rsid w:val="00636F0D"/>
    <w:rsid w:val="0064022F"/>
    <w:rsid w:val="006431C5"/>
    <w:rsid w:val="00646F3D"/>
    <w:rsid w:val="006506DD"/>
    <w:rsid w:val="00650846"/>
    <w:rsid w:val="00650C32"/>
    <w:rsid w:val="00653241"/>
    <w:rsid w:val="00654BCE"/>
    <w:rsid w:val="00655B0D"/>
    <w:rsid w:val="006576F1"/>
    <w:rsid w:val="00666854"/>
    <w:rsid w:val="006730FB"/>
    <w:rsid w:val="00674F38"/>
    <w:rsid w:val="00677584"/>
    <w:rsid w:val="0068434D"/>
    <w:rsid w:val="00696CBE"/>
    <w:rsid w:val="00697E56"/>
    <w:rsid w:val="006A5352"/>
    <w:rsid w:val="006A6C54"/>
    <w:rsid w:val="006B2AC6"/>
    <w:rsid w:val="006B6DA1"/>
    <w:rsid w:val="006C5CDD"/>
    <w:rsid w:val="006D01CC"/>
    <w:rsid w:val="006D0AF9"/>
    <w:rsid w:val="006D62A6"/>
    <w:rsid w:val="006E1297"/>
    <w:rsid w:val="006F0EA5"/>
    <w:rsid w:val="006F1EC3"/>
    <w:rsid w:val="006F23A1"/>
    <w:rsid w:val="0070455F"/>
    <w:rsid w:val="00704DEE"/>
    <w:rsid w:val="00706F86"/>
    <w:rsid w:val="00710E9D"/>
    <w:rsid w:val="00714027"/>
    <w:rsid w:val="0071575D"/>
    <w:rsid w:val="00720BEE"/>
    <w:rsid w:val="00722327"/>
    <w:rsid w:val="00727EF0"/>
    <w:rsid w:val="007420AA"/>
    <w:rsid w:val="007425BD"/>
    <w:rsid w:val="00743890"/>
    <w:rsid w:val="00744CD7"/>
    <w:rsid w:val="0074561A"/>
    <w:rsid w:val="00746C0C"/>
    <w:rsid w:val="00747A9F"/>
    <w:rsid w:val="00757070"/>
    <w:rsid w:val="00760F9D"/>
    <w:rsid w:val="00766286"/>
    <w:rsid w:val="00771A3D"/>
    <w:rsid w:val="00772162"/>
    <w:rsid w:val="00774E39"/>
    <w:rsid w:val="00780B21"/>
    <w:rsid w:val="007825FD"/>
    <w:rsid w:val="0078327E"/>
    <w:rsid w:val="007852B1"/>
    <w:rsid w:val="00786015"/>
    <w:rsid w:val="00786124"/>
    <w:rsid w:val="007910CC"/>
    <w:rsid w:val="0079428C"/>
    <w:rsid w:val="00797289"/>
    <w:rsid w:val="007A28E7"/>
    <w:rsid w:val="007C0030"/>
    <w:rsid w:val="007C0140"/>
    <w:rsid w:val="007C6ABA"/>
    <w:rsid w:val="007D0CA2"/>
    <w:rsid w:val="007E150F"/>
    <w:rsid w:val="007E15EF"/>
    <w:rsid w:val="007E7919"/>
    <w:rsid w:val="00803E57"/>
    <w:rsid w:val="0081302F"/>
    <w:rsid w:val="00813B85"/>
    <w:rsid w:val="00813FCE"/>
    <w:rsid w:val="008152CE"/>
    <w:rsid w:val="00816482"/>
    <w:rsid w:val="00817CE6"/>
    <w:rsid w:val="008222F0"/>
    <w:rsid w:val="0082392D"/>
    <w:rsid w:val="00831794"/>
    <w:rsid w:val="008338D6"/>
    <w:rsid w:val="00837173"/>
    <w:rsid w:val="00845161"/>
    <w:rsid w:val="0084567B"/>
    <w:rsid w:val="00851394"/>
    <w:rsid w:val="00857EBE"/>
    <w:rsid w:val="008611D6"/>
    <w:rsid w:val="008617FF"/>
    <w:rsid w:val="008625AA"/>
    <w:rsid w:val="00862620"/>
    <w:rsid w:val="00873540"/>
    <w:rsid w:val="00873B8D"/>
    <w:rsid w:val="0087628C"/>
    <w:rsid w:val="008774AF"/>
    <w:rsid w:val="008776E6"/>
    <w:rsid w:val="00877722"/>
    <w:rsid w:val="008804EB"/>
    <w:rsid w:val="008805F7"/>
    <w:rsid w:val="008842C8"/>
    <w:rsid w:val="008856DD"/>
    <w:rsid w:val="008A0148"/>
    <w:rsid w:val="008A3D69"/>
    <w:rsid w:val="008B3002"/>
    <w:rsid w:val="008C2AE0"/>
    <w:rsid w:val="008C64F2"/>
    <w:rsid w:val="008D28C9"/>
    <w:rsid w:val="008D38D9"/>
    <w:rsid w:val="008D5EF0"/>
    <w:rsid w:val="008E0139"/>
    <w:rsid w:val="008E1E23"/>
    <w:rsid w:val="008F3B37"/>
    <w:rsid w:val="00901E2C"/>
    <w:rsid w:val="0090252A"/>
    <w:rsid w:val="00902564"/>
    <w:rsid w:val="00903F7A"/>
    <w:rsid w:val="00904ED3"/>
    <w:rsid w:val="00911A7F"/>
    <w:rsid w:val="00914574"/>
    <w:rsid w:val="009158B5"/>
    <w:rsid w:val="0093193D"/>
    <w:rsid w:val="009404EE"/>
    <w:rsid w:val="00944043"/>
    <w:rsid w:val="009474CC"/>
    <w:rsid w:val="00947605"/>
    <w:rsid w:val="009531C3"/>
    <w:rsid w:val="00956B1B"/>
    <w:rsid w:val="00961BCD"/>
    <w:rsid w:val="00965C04"/>
    <w:rsid w:val="0096789F"/>
    <w:rsid w:val="00975304"/>
    <w:rsid w:val="009753ED"/>
    <w:rsid w:val="00976889"/>
    <w:rsid w:val="00983FFC"/>
    <w:rsid w:val="00985537"/>
    <w:rsid w:val="00987DF7"/>
    <w:rsid w:val="0099069F"/>
    <w:rsid w:val="0099256D"/>
    <w:rsid w:val="00993438"/>
    <w:rsid w:val="00996333"/>
    <w:rsid w:val="009A27EC"/>
    <w:rsid w:val="009A5858"/>
    <w:rsid w:val="009A6C2E"/>
    <w:rsid w:val="009B6885"/>
    <w:rsid w:val="009B7FB8"/>
    <w:rsid w:val="009C4D2F"/>
    <w:rsid w:val="009D23B6"/>
    <w:rsid w:val="009D2958"/>
    <w:rsid w:val="009D52E6"/>
    <w:rsid w:val="009F285C"/>
    <w:rsid w:val="009F2EF9"/>
    <w:rsid w:val="009F64F6"/>
    <w:rsid w:val="009F69BE"/>
    <w:rsid w:val="00A00346"/>
    <w:rsid w:val="00A0071A"/>
    <w:rsid w:val="00A01426"/>
    <w:rsid w:val="00A066D9"/>
    <w:rsid w:val="00A1010A"/>
    <w:rsid w:val="00A222CF"/>
    <w:rsid w:val="00A245D8"/>
    <w:rsid w:val="00A27F67"/>
    <w:rsid w:val="00A27FD7"/>
    <w:rsid w:val="00A307F4"/>
    <w:rsid w:val="00A33526"/>
    <w:rsid w:val="00A41BC8"/>
    <w:rsid w:val="00A451C4"/>
    <w:rsid w:val="00A468FA"/>
    <w:rsid w:val="00A47679"/>
    <w:rsid w:val="00A478CF"/>
    <w:rsid w:val="00A51018"/>
    <w:rsid w:val="00A51A37"/>
    <w:rsid w:val="00A5572B"/>
    <w:rsid w:val="00A5677E"/>
    <w:rsid w:val="00A60DE6"/>
    <w:rsid w:val="00A639B1"/>
    <w:rsid w:val="00A80C79"/>
    <w:rsid w:val="00A81013"/>
    <w:rsid w:val="00A83722"/>
    <w:rsid w:val="00A90555"/>
    <w:rsid w:val="00A91471"/>
    <w:rsid w:val="00A91E86"/>
    <w:rsid w:val="00A93F39"/>
    <w:rsid w:val="00A94749"/>
    <w:rsid w:val="00A973E8"/>
    <w:rsid w:val="00AB0CD1"/>
    <w:rsid w:val="00AB71EA"/>
    <w:rsid w:val="00AC0D4C"/>
    <w:rsid w:val="00AC6210"/>
    <w:rsid w:val="00AD2830"/>
    <w:rsid w:val="00AD3823"/>
    <w:rsid w:val="00AD4CCC"/>
    <w:rsid w:val="00AD5707"/>
    <w:rsid w:val="00AE021D"/>
    <w:rsid w:val="00AE183D"/>
    <w:rsid w:val="00AE2AB8"/>
    <w:rsid w:val="00AF078C"/>
    <w:rsid w:val="00AF44C3"/>
    <w:rsid w:val="00B01E5B"/>
    <w:rsid w:val="00B0254E"/>
    <w:rsid w:val="00B06080"/>
    <w:rsid w:val="00B25252"/>
    <w:rsid w:val="00B372D8"/>
    <w:rsid w:val="00B37AF9"/>
    <w:rsid w:val="00B41D71"/>
    <w:rsid w:val="00B440B3"/>
    <w:rsid w:val="00B45CBD"/>
    <w:rsid w:val="00B52207"/>
    <w:rsid w:val="00B53D39"/>
    <w:rsid w:val="00B56831"/>
    <w:rsid w:val="00B614E4"/>
    <w:rsid w:val="00B62F94"/>
    <w:rsid w:val="00B66A84"/>
    <w:rsid w:val="00B66E60"/>
    <w:rsid w:val="00B73C36"/>
    <w:rsid w:val="00B772E6"/>
    <w:rsid w:val="00B77E73"/>
    <w:rsid w:val="00B804E0"/>
    <w:rsid w:val="00B933DC"/>
    <w:rsid w:val="00B94B4A"/>
    <w:rsid w:val="00B963DF"/>
    <w:rsid w:val="00B97935"/>
    <w:rsid w:val="00B97EE2"/>
    <w:rsid w:val="00BA19F9"/>
    <w:rsid w:val="00BA2BEB"/>
    <w:rsid w:val="00BA6809"/>
    <w:rsid w:val="00BA6DDD"/>
    <w:rsid w:val="00BA70F4"/>
    <w:rsid w:val="00BC5B11"/>
    <w:rsid w:val="00BC6D31"/>
    <w:rsid w:val="00BD15D3"/>
    <w:rsid w:val="00BD2DA3"/>
    <w:rsid w:val="00BD30E1"/>
    <w:rsid w:val="00BD3904"/>
    <w:rsid w:val="00BD4DB0"/>
    <w:rsid w:val="00BD5211"/>
    <w:rsid w:val="00BD5871"/>
    <w:rsid w:val="00BD638F"/>
    <w:rsid w:val="00BE1561"/>
    <w:rsid w:val="00BE607E"/>
    <w:rsid w:val="00BF44B1"/>
    <w:rsid w:val="00BF6F4F"/>
    <w:rsid w:val="00BF747D"/>
    <w:rsid w:val="00C02928"/>
    <w:rsid w:val="00C0350F"/>
    <w:rsid w:val="00C049F7"/>
    <w:rsid w:val="00C06E4F"/>
    <w:rsid w:val="00C1039A"/>
    <w:rsid w:val="00C11C73"/>
    <w:rsid w:val="00C11D9F"/>
    <w:rsid w:val="00C1484B"/>
    <w:rsid w:val="00C26CFC"/>
    <w:rsid w:val="00C34626"/>
    <w:rsid w:val="00C346EE"/>
    <w:rsid w:val="00C36682"/>
    <w:rsid w:val="00C4045A"/>
    <w:rsid w:val="00C411DC"/>
    <w:rsid w:val="00C42898"/>
    <w:rsid w:val="00C4722A"/>
    <w:rsid w:val="00C540CC"/>
    <w:rsid w:val="00C57FAA"/>
    <w:rsid w:val="00C60771"/>
    <w:rsid w:val="00C725BB"/>
    <w:rsid w:val="00C72888"/>
    <w:rsid w:val="00C81184"/>
    <w:rsid w:val="00C81236"/>
    <w:rsid w:val="00C823F5"/>
    <w:rsid w:val="00C83436"/>
    <w:rsid w:val="00C845A2"/>
    <w:rsid w:val="00C949D3"/>
    <w:rsid w:val="00CA3DEF"/>
    <w:rsid w:val="00CA497D"/>
    <w:rsid w:val="00CB235A"/>
    <w:rsid w:val="00CC3E5B"/>
    <w:rsid w:val="00CE0FE9"/>
    <w:rsid w:val="00CE1E3F"/>
    <w:rsid w:val="00CE2F8F"/>
    <w:rsid w:val="00CE3777"/>
    <w:rsid w:val="00CE38F8"/>
    <w:rsid w:val="00CE4084"/>
    <w:rsid w:val="00CE46E2"/>
    <w:rsid w:val="00CE61B9"/>
    <w:rsid w:val="00CE6CC7"/>
    <w:rsid w:val="00CE7C0B"/>
    <w:rsid w:val="00CF6C98"/>
    <w:rsid w:val="00D0047D"/>
    <w:rsid w:val="00D02A01"/>
    <w:rsid w:val="00D03D79"/>
    <w:rsid w:val="00D03EB9"/>
    <w:rsid w:val="00D04E2E"/>
    <w:rsid w:val="00D07756"/>
    <w:rsid w:val="00D20310"/>
    <w:rsid w:val="00D22E4A"/>
    <w:rsid w:val="00D23013"/>
    <w:rsid w:val="00D246A1"/>
    <w:rsid w:val="00D2758C"/>
    <w:rsid w:val="00D4655B"/>
    <w:rsid w:val="00D4700C"/>
    <w:rsid w:val="00D505EF"/>
    <w:rsid w:val="00D51D6D"/>
    <w:rsid w:val="00D53848"/>
    <w:rsid w:val="00D62259"/>
    <w:rsid w:val="00D65482"/>
    <w:rsid w:val="00D71588"/>
    <w:rsid w:val="00D73353"/>
    <w:rsid w:val="00D73386"/>
    <w:rsid w:val="00D742CF"/>
    <w:rsid w:val="00D7643C"/>
    <w:rsid w:val="00D7737C"/>
    <w:rsid w:val="00D80DE3"/>
    <w:rsid w:val="00D91927"/>
    <w:rsid w:val="00DA24BD"/>
    <w:rsid w:val="00DC5514"/>
    <w:rsid w:val="00DC7EB9"/>
    <w:rsid w:val="00DD1FD6"/>
    <w:rsid w:val="00DD4604"/>
    <w:rsid w:val="00DD5186"/>
    <w:rsid w:val="00DE3CB6"/>
    <w:rsid w:val="00DE6DA7"/>
    <w:rsid w:val="00DF592D"/>
    <w:rsid w:val="00E0415B"/>
    <w:rsid w:val="00E1387C"/>
    <w:rsid w:val="00E1393C"/>
    <w:rsid w:val="00E167B7"/>
    <w:rsid w:val="00E174BD"/>
    <w:rsid w:val="00E24050"/>
    <w:rsid w:val="00E45268"/>
    <w:rsid w:val="00E456B0"/>
    <w:rsid w:val="00E45DB4"/>
    <w:rsid w:val="00E525D8"/>
    <w:rsid w:val="00E54B85"/>
    <w:rsid w:val="00E617BA"/>
    <w:rsid w:val="00E716F8"/>
    <w:rsid w:val="00E720B2"/>
    <w:rsid w:val="00E80606"/>
    <w:rsid w:val="00E8562F"/>
    <w:rsid w:val="00E86BEE"/>
    <w:rsid w:val="00E915FE"/>
    <w:rsid w:val="00E92FD9"/>
    <w:rsid w:val="00E9454A"/>
    <w:rsid w:val="00E9647C"/>
    <w:rsid w:val="00E966EA"/>
    <w:rsid w:val="00EA614C"/>
    <w:rsid w:val="00EB2D55"/>
    <w:rsid w:val="00EB43E5"/>
    <w:rsid w:val="00EB6EE9"/>
    <w:rsid w:val="00EB6F88"/>
    <w:rsid w:val="00EC0DBF"/>
    <w:rsid w:val="00EC2F1D"/>
    <w:rsid w:val="00EC3CDE"/>
    <w:rsid w:val="00EC4A02"/>
    <w:rsid w:val="00EC4FEE"/>
    <w:rsid w:val="00ED28FD"/>
    <w:rsid w:val="00ED2CEF"/>
    <w:rsid w:val="00EE4EA6"/>
    <w:rsid w:val="00EE6BBC"/>
    <w:rsid w:val="00EE7E9B"/>
    <w:rsid w:val="00EF1FCB"/>
    <w:rsid w:val="00EF52B4"/>
    <w:rsid w:val="00EF77DE"/>
    <w:rsid w:val="00F0396A"/>
    <w:rsid w:val="00F05844"/>
    <w:rsid w:val="00F10C5D"/>
    <w:rsid w:val="00F15420"/>
    <w:rsid w:val="00F16CE6"/>
    <w:rsid w:val="00F21C91"/>
    <w:rsid w:val="00F231F7"/>
    <w:rsid w:val="00F34390"/>
    <w:rsid w:val="00F35453"/>
    <w:rsid w:val="00F37202"/>
    <w:rsid w:val="00F45CB9"/>
    <w:rsid w:val="00F61C13"/>
    <w:rsid w:val="00F65566"/>
    <w:rsid w:val="00F6612A"/>
    <w:rsid w:val="00F7173F"/>
    <w:rsid w:val="00F7177D"/>
    <w:rsid w:val="00F7443F"/>
    <w:rsid w:val="00F753A6"/>
    <w:rsid w:val="00F75DC7"/>
    <w:rsid w:val="00F87371"/>
    <w:rsid w:val="00F90E48"/>
    <w:rsid w:val="00F9318B"/>
    <w:rsid w:val="00F94B12"/>
    <w:rsid w:val="00FA132B"/>
    <w:rsid w:val="00FA4C64"/>
    <w:rsid w:val="00FA4E60"/>
    <w:rsid w:val="00FA59CA"/>
    <w:rsid w:val="00FA5C9C"/>
    <w:rsid w:val="00FB00CF"/>
    <w:rsid w:val="00FB3AC9"/>
    <w:rsid w:val="00FC0FDF"/>
    <w:rsid w:val="00FC2D29"/>
    <w:rsid w:val="00FC419D"/>
    <w:rsid w:val="00FD0B19"/>
    <w:rsid w:val="00FD65C1"/>
    <w:rsid w:val="00FD7C65"/>
    <w:rsid w:val="00FE5897"/>
    <w:rsid w:val="00FE5AE2"/>
    <w:rsid w:val="00FF08AC"/>
    <w:rsid w:val="00FF1151"/>
    <w:rsid w:val="00FF2164"/>
    <w:rsid w:val="00FF4B68"/>
    <w:rsid w:val="00FF54D7"/>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95940D-DFB1-4E98-9ED5-E6CD38C8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34D"/>
    <w:pPr>
      <w:spacing w:after="160" w:line="259" w:lineRule="auto"/>
    </w:pPr>
    <w:rPr>
      <w:sz w:val="22"/>
      <w:szCs w:val="22"/>
      <w:lang w:eastAsia="en-US"/>
    </w:rPr>
  </w:style>
  <w:style w:type="paragraph" w:styleId="1">
    <w:name w:val="heading 1"/>
    <w:basedOn w:val="a"/>
    <w:next w:val="a"/>
    <w:link w:val="10"/>
    <w:uiPriority w:val="9"/>
    <w:qFormat/>
    <w:rsid w:val="00DD1FD6"/>
    <w:pPr>
      <w:keepNext/>
      <w:keepLines/>
      <w:spacing w:after="480" w:line="240" w:lineRule="auto"/>
      <w:contextualSpacing/>
      <w:jc w:val="center"/>
      <w:outlineLvl w:val="0"/>
    </w:pPr>
    <w:rPr>
      <w:rFonts w:ascii="Times New Roman" w:hAnsi="Times New Roman"/>
      <w:b/>
      <w:smallCaps/>
      <w:sz w:val="28"/>
      <w:szCs w:val="32"/>
    </w:rPr>
  </w:style>
  <w:style w:type="paragraph" w:styleId="2">
    <w:name w:val="heading 2"/>
    <w:basedOn w:val="a"/>
    <w:next w:val="a"/>
    <w:link w:val="20"/>
    <w:uiPriority w:val="9"/>
    <w:unhideWhenUsed/>
    <w:qFormat/>
    <w:rsid w:val="004C6124"/>
    <w:pPr>
      <w:keepNext/>
      <w:keepLines/>
      <w:spacing w:before="360" w:after="240" w:line="240" w:lineRule="auto"/>
      <w:jc w:val="center"/>
      <w:outlineLvl w:val="1"/>
    </w:pPr>
    <w:rPr>
      <w:rFonts w:ascii="Times New Roman" w:hAnsi="Times New Roman"/>
      <w:b/>
      <w:sz w:val="28"/>
      <w:szCs w:val="28"/>
    </w:rPr>
  </w:style>
  <w:style w:type="paragraph" w:styleId="3">
    <w:name w:val="heading 3"/>
    <w:basedOn w:val="a"/>
    <w:next w:val="a"/>
    <w:link w:val="30"/>
    <w:uiPriority w:val="9"/>
    <w:unhideWhenUsed/>
    <w:qFormat/>
    <w:rsid w:val="00BD638F"/>
    <w:pPr>
      <w:keepNext/>
      <w:autoSpaceDE w:val="0"/>
      <w:autoSpaceDN w:val="0"/>
      <w:adjustRightInd w:val="0"/>
      <w:spacing w:before="240" w:after="120" w:line="240" w:lineRule="auto"/>
      <w:ind w:firstLine="709"/>
      <w:contextualSpacing/>
      <w:outlineLvl w:val="2"/>
    </w:pPr>
    <w:rPr>
      <w:rFonts w:ascii="Times New Roman" w:hAnsi="Times New Roman"/>
      <w:b/>
      <w:color w:val="000000"/>
      <w:sz w:val="28"/>
      <w:szCs w:val="28"/>
    </w:rPr>
  </w:style>
  <w:style w:type="paragraph" w:styleId="4">
    <w:name w:val="heading 4"/>
    <w:basedOn w:val="a"/>
    <w:next w:val="a"/>
    <w:link w:val="40"/>
    <w:uiPriority w:val="9"/>
    <w:unhideWhenUsed/>
    <w:qFormat/>
    <w:rsid w:val="00BD638F"/>
    <w:pPr>
      <w:keepNext/>
      <w:keepLines/>
      <w:spacing w:before="240" w:after="60" w:line="240" w:lineRule="auto"/>
      <w:ind w:firstLine="709"/>
      <w:contextualSpacing/>
      <w:outlineLvl w:val="3"/>
    </w:pPr>
    <w:rPr>
      <w:rFonts w:ascii="Times New Roman" w:eastAsia="Times New Roman" w:hAnsi="Times New Roman"/>
      <w:b/>
      <w:bCs/>
      <w:sz w:val="28"/>
      <w:szCs w:val="28"/>
    </w:rPr>
  </w:style>
  <w:style w:type="paragraph" w:styleId="5">
    <w:name w:val="heading 5"/>
    <w:basedOn w:val="a"/>
    <w:next w:val="a"/>
    <w:link w:val="50"/>
    <w:uiPriority w:val="9"/>
    <w:unhideWhenUsed/>
    <w:qFormat/>
    <w:rsid w:val="004C6124"/>
    <w:pPr>
      <w:keepNext/>
      <w:autoSpaceDE w:val="0"/>
      <w:autoSpaceDN w:val="0"/>
      <w:adjustRightInd w:val="0"/>
      <w:spacing w:before="120" w:after="60" w:line="240" w:lineRule="auto"/>
      <w:ind w:firstLine="709"/>
      <w:jc w:val="both"/>
      <w:outlineLvl w:val="4"/>
    </w:pPr>
    <w:rPr>
      <w:rFonts w:ascii="Times New Roman" w:hAnsi="Times New Roman"/>
      <w:i/>
      <w:color w:val="000000"/>
      <w:sz w:val="28"/>
      <w:szCs w:val="28"/>
    </w:rPr>
  </w:style>
  <w:style w:type="paragraph" w:styleId="6">
    <w:name w:val="heading 6"/>
    <w:basedOn w:val="a"/>
    <w:next w:val="a"/>
    <w:link w:val="60"/>
    <w:uiPriority w:val="9"/>
    <w:unhideWhenUsed/>
    <w:qFormat/>
    <w:rsid w:val="00BD638F"/>
    <w:pPr>
      <w:keepNext/>
      <w:spacing w:after="0" w:line="240" w:lineRule="auto"/>
      <w:ind w:firstLine="709"/>
      <w:jc w:val="both"/>
      <w:outlineLvl w:val="5"/>
    </w:pPr>
    <w:rPr>
      <w:rFonts w:ascii="Times New Roman" w:eastAsia="Times New Roman" w:hAnsi="Times New Roman"/>
      <w:b/>
      <w:sz w:val="28"/>
      <w:szCs w:val="28"/>
      <w:lang w:eastAsia="ru-RU"/>
    </w:rPr>
  </w:style>
  <w:style w:type="paragraph" w:styleId="7">
    <w:name w:val="heading 7"/>
    <w:basedOn w:val="a"/>
    <w:next w:val="a"/>
    <w:link w:val="70"/>
    <w:uiPriority w:val="9"/>
    <w:unhideWhenUsed/>
    <w:qFormat/>
    <w:rsid w:val="00BD638F"/>
    <w:pPr>
      <w:keepNext/>
      <w:spacing w:before="120" w:after="0" w:line="240" w:lineRule="auto"/>
      <w:ind w:firstLine="709"/>
      <w:jc w:val="both"/>
      <w:outlineLvl w:val="6"/>
    </w:pPr>
    <w:rPr>
      <w:rFonts w:ascii="Times New Roman" w:hAnsi="Times New Roman"/>
      <w:i/>
      <w:sz w:val="28"/>
      <w:szCs w:val="28"/>
    </w:rPr>
  </w:style>
  <w:style w:type="paragraph" w:styleId="8">
    <w:name w:val="heading 8"/>
    <w:basedOn w:val="a"/>
    <w:next w:val="a"/>
    <w:link w:val="80"/>
    <w:uiPriority w:val="9"/>
    <w:unhideWhenUsed/>
    <w:qFormat/>
    <w:rsid w:val="00F9318B"/>
    <w:pPr>
      <w:keepNext/>
      <w:spacing w:after="0"/>
      <w:jc w:val="center"/>
      <w:outlineLvl w:val="7"/>
    </w:pPr>
    <w:rPr>
      <w:rFonts w:ascii="Times New Roman" w:hAnsi="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68434D"/>
  </w:style>
  <w:style w:type="character" w:styleId="a3">
    <w:name w:val="Hyperlink"/>
    <w:uiPriority w:val="99"/>
    <w:unhideWhenUsed/>
    <w:rsid w:val="0068434D"/>
    <w:rPr>
      <w:color w:val="0563C1"/>
      <w:u w:val="single"/>
    </w:rPr>
  </w:style>
  <w:style w:type="paragraph" w:styleId="a4">
    <w:name w:val="footnote text"/>
    <w:aliases w:val="Char,ft Char Char,ft Char Char Char,ft Char,ft Char Char Char Char,ft,ft Char Char Char Char Char,Footnote Text Char2 Char,Footnote Text Char Char Char1,Footnote Text Char1 Char Char Char,fn,Footnotes,Footnote ak,fn Cha,Footnote,Ch,Fußnot"/>
    <w:basedOn w:val="a"/>
    <w:link w:val="a5"/>
    <w:uiPriority w:val="99"/>
    <w:unhideWhenUsed/>
    <w:rsid w:val="0068434D"/>
    <w:pPr>
      <w:spacing w:after="0" w:line="240" w:lineRule="auto"/>
    </w:pPr>
    <w:rPr>
      <w:sz w:val="20"/>
      <w:szCs w:val="20"/>
    </w:rPr>
  </w:style>
  <w:style w:type="character" w:customStyle="1" w:styleId="a5">
    <w:name w:val="Текст сноски Знак"/>
    <w:aliases w:val="Char Знак,ft Char Char Знак,ft Char Char Char Знак,ft Char Знак,ft Char Char Char Char Знак,ft Знак,ft Char Char Char Char Char Знак,Footnote Text Char2 Char Знак,Footnote Text Char Char Char1 Знак,fn Знак,Footnotes Знак,fn Cha Знак"/>
    <w:link w:val="a4"/>
    <w:uiPriority w:val="99"/>
    <w:rsid w:val="0068434D"/>
    <w:rPr>
      <w:sz w:val="20"/>
      <w:szCs w:val="20"/>
    </w:rPr>
  </w:style>
  <w:style w:type="character" w:styleId="a6">
    <w:name w:val="footnote reference"/>
    <w:aliases w:val="Ref,de nota al pie,FR,footnumber,Footnotemark,Footnotemark1,Footnotemark2,FR1,Footnotemark3,FR2,Footnotemark4,FR3,Footnotemark5,FR4,Footnotemark6,Footnotemark7,Footnotemark8,FR5,Footnotemark11,Footnotemark21,FR11,Footnotemark31,FR21"/>
    <w:unhideWhenUsed/>
    <w:rsid w:val="0068434D"/>
    <w:rPr>
      <w:vertAlign w:val="superscript"/>
    </w:rPr>
  </w:style>
  <w:style w:type="paragraph" w:styleId="a7">
    <w:name w:val="List Paragraph"/>
    <w:basedOn w:val="a"/>
    <w:uiPriority w:val="34"/>
    <w:qFormat/>
    <w:rsid w:val="0068434D"/>
    <w:pPr>
      <w:ind w:left="720"/>
      <w:contextualSpacing/>
    </w:pPr>
  </w:style>
  <w:style w:type="paragraph" w:customStyle="1" w:styleId="Textbody">
    <w:name w:val="Text body"/>
    <w:basedOn w:val="a"/>
    <w:rsid w:val="0068434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68434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rsid w:val="0068434D"/>
    <w:pPr>
      <w:autoSpaceDE w:val="0"/>
      <w:autoSpaceDN w:val="0"/>
      <w:adjustRightInd w:val="0"/>
    </w:pPr>
    <w:rPr>
      <w:rFonts w:ascii="Times New Roman" w:hAnsi="Times New Roman"/>
      <w:color w:val="000000"/>
      <w:sz w:val="24"/>
      <w:szCs w:val="24"/>
      <w:lang w:eastAsia="en-US"/>
    </w:rPr>
  </w:style>
  <w:style w:type="paragraph" w:styleId="a8">
    <w:name w:val="Normal (Web)"/>
    <w:basedOn w:val="Standard"/>
    <w:uiPriority w:val="99"/>
    <w:rsid w:val="0068434D"/>
    <w:rPr>
      <w:rFonts w:ascii="Tahoma" w:hAnsi="Tahoma" w:cs="Tahoma"/>
      <w:color w:val="3B3B28"/>
      <w:sz w:val="20"/>
      <w:szCs w:val="20"/>
    </w:rPr>
  </w:style>
  <w:style w:type="paragraph" w:styleId="a9">
    <w:name w:val="header"/>
    <w:basedOn w:val="a"/>
    <w:link w:val="aa"/>
    <w:uiPriority w:val="99"/>
    <w:unhideWhenUsed/>
    <w:rsid w:val="006843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434D"/>
  </w:style>
  <w:style w:type="paragraph" w:styleId="ab">
    <w:name w:val="footer"/>
    <w:basedOn w:val="a"/>
    <w:link w:val="ac"/>
    <w:unhideWhenUsed/>
    <w:rsid w:val="0068434D"/>
    <w:pPr>
      <w:tabs>
        <w:tab w:val="center" w:pos="4677"/>
        <w:tab w:val="right" w:pos="9355"/>
      </w:tabs>
      <w:spacing w:after="0" w:line="240" w:lineRule="auto"/>
    </w:pPr>
  </w:style>
  <w:style w:type="character" w:customStyle="1" w:styleId="ac">
    <w:name w:val="Нижний колонтитул Знак"/>
    <w:basedOn w:val="a0"/>
    <w:link w:val="ab"/>
    <w:rsid w:val="0068434D"/>
  </w:style>
  <w:style w:type="paragraph" w:styleId="ad">
    <w:name w:val="Balloon Text"/>
    <w:basedOn w:val="a"/>
    <w:link w:val="ae"/>
    <w:uiPriority w:val="99"/>
    <w:semiHidden/>
    <w:unhideWhenUsed/>
    <w:rsid w:val="0068434D"/>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68434D"/>
    <w:rPr>
      <w:rFonts w:ascii="Segoe UI" w:hAnsi="Segoe UI" w:cs="Segoe UI"/>
      <w:sz w:val="18"/>
      <w:szCs w:val="18"/>
    </w:rPr>
  </w:style>
  <w:style w:type="character" w:styleId="af">
    <w:name w:val="Emphasis"/>
    <w:uiPriority w:val="20"/>
    <w:qFormat/>
    <w:rsid w:val="0068434D"/>
    <w:rPr>
      <w:i/>
      <w:iCs/>
    </w:rPr>
  </w:style>
  <w:style w:type="paragraph" w:styleId="af0">
    <w:name w:val="Revision"/>
    <w:hidden/>
    <w:uiPriority w:val="99"/>
    <w:semiHidden/>
    <w:rsid w:val="0068434D"/>
    <w:rPr>
      <w:sz w:val="22"/>
      <w:szCs w:val="22"/>
      <w:lang w:eastAsia="en-US"/>
    </w:rPr>
  </w:style>
  <w:style w:type="table" w:styleId="af1">
    <w:name w:val="Table Grid"/>
    <w:basedOn w:val="a1"/>
    <w:uiPriority w:val="39"/>
    <w:rsid w:val="0068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68434D"/>
    <w:rPr>
      <w:b/>
      <w:bCs/>
    </w:rPr>
  </w:style>
  <w:style w:type="paragraph" w:styleId="af3">
    <w:name w:val="No Spacing"/>
    <w:uiPriority w:val="1"/>
    <w:qFormat/>
    <w:rsid w:val="0068434D"/>
    <w:rPr>
      <w:sz w:val="22"/>
      <w:szCs w:val="22"/>
      <w:lang w:eastAsia="en-US"/>
    </w:rPr>
  </w:style>
  <w:style w:type="character" w:customStyle="1" w:styleId="31">
    <w:name w:val="Основной текст (3)_"/>
    <w:link w:val="32"/>
    <w:rsid w:val="0068434D"/>
    <w:rPr>
      <w:rFonts w:ascii="Trebuchet MS" w:eastAsia="Trebuchet MS" w:hAnsi="Trebuchet MS" w:cs="Trebuchet MS"/>
      <w:i/>
      <w:iCs/>
      <w:shd w:val="clear" w:color="auto" w:fill="FFFFFF"/>
    </w:rPr>
  </w:style>
  <w:style w:type="paragraph" w:customStyle="1" w:styleId="32">
    <w:name w:val="Основной текст (3)"/>
    <w:basedOn w:val="a"/>
    <w:link w:val="31"/>
    <w:rsid w:val="0068434D"/>
    <w:pPr>
      <w:widowControl w:val="0"/>
      <w:shd w:val="clear" w:color="auto" w:fill="FFFFFF"/>
      <w:spacing w:before="180" w:after="300" w:line="306" w:lineRule="exact"/>
      <w:jc w:val="both"/>
    </w:pPr>
    <w:rPr>
      <w:rFonts w:ascii="Trebuchet MS" w:eastAsia="Trebuchet MS" w:hAnsi="Trebuchet MS" w:cs="Trebuchet MS"/>
      <w:i/>
      <w:iCs/>
    </w:rPr>
  </w:style>
  <w:style w:type="character" w:customStyle="1" w:styleId="af4">
    <w:name w:val="Основной текст_"/>
    <w:link w:val="21"/>
    <w:rsid w:val="0068434D"/>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f4"/>
    <w:rsid w:val="0068434D"/>
    <w:pPr>
      <w:widowControl w:val="0"/>
      <w:shd w:val="clear" w:color="auto" w:fill="FFFFFF"/>
      <w:spacing w:before="300" w:after="60" w:line="324" w:lineRule="exact"/>
      <w:ind w:hanging="440"/>
      <w:jc w:val="both"/>
    </w:pPr>
    <w:rPr>
      <w:rFonts w:ascii="Times New Roman" w:eastAsia="Times New Roman" w:hAnsi="Times New Roman"/>
      <w:sz w:val="21"/>
      <w:szCs w:val="21"/>
    </w:rPr>
  </w:style>
  <w:style w:type="character" w:customStyle="1" w:styleId="af5">
    <w:name w:val="Основной текст + Полужирный;Курсив"/>
    <w:rsid w:val="0068434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1">
    <w:name w:val="Заголовок №1_"/>
    <w:link w:val="12"/>
    <w:rsid w:val="0068434D"/>
    <w:rPr>
      <w:rFonts w:ascii="Times New Roman" w:eastAsia="Times New Roman" w:hAnsi="Times New Roman"/>
      <w:b/>
      <w:bCs/>
      <w:shd w:val="clear" w:color="auto" w:fill="FFFFFF"/>
    </w:rPr>
  </w:style>
  <w:style w:type="paragraph" w:customStyle="1" w:styleId="12">
    <w:name w:val="Заголовок №1"/>
    <w:basedOn w:val="a"/>
    <w:link w:val="11"/>
    <w:rsid w:val="0068434D"/>
    <w:pPr>
      <w:widowControl w:val="0"/>
      <w:shd w:val="clear" w:color="auto" w:fill="FFFFFF"/>
      <w:spacing w:after="300" w:line="0" w:lineRule="atLeast"/>
      <w:outlineLvl w:val="0"/>
    </w:pPr>
    <w:rPr>
      <w:rFonts w:ascii="Times New Roman" w:eastAsia="Times New Roman" w:hAnsi="Times New Roman"/>
      <w:b/>
      <w:bCs/>
    </w:rPr>
  </w:style>
  <w:style w:type="character" w:customStyle="1" w:styleId="UnresolvedMention">
    <w:name w:val="Unresolved Mention"/>
    <w:uiPriority w:val="99"/>
    <w:semiHidden/>
    <w:unhideWhenUsed/>
    <w:rsid w:val="00873B8D"/>
    <w:rPr>
      <w:color w:val="605E5C"/>
      <w:shd w:val="clear" w:color="auto" w:fill="E1DFDD"/>
    </w:rPr>
  </w:style>
  <w:style w:type="paragraph" w:customStyle="1" w:styleId="13">
    <w:name w:val="Название объекта1"/>
    <w:basedOn w:val="a"/>
    <w:rsid w:val="00283358"/>
    <w:pPr>
      <w:widowControl w:val="0"/>
      <w:spacing w:before="240" w:after="60" w:line="240" w:lineRule="auto"/>
      <w:ind w:firstLine="709"/>
      <w:jc w:val="center"/>
    </w:pPr>
    <w:rPr>
      <w:rFonts w:ascii="Arial" w:eastAsia="Times New Roman" w:hAnsi="Arial"/>
      <w:b/>
      <w:snapToGrid w:val="0"/>
      <w:kern w:val="28"/>
      <w:sz w:val="32"/>
      <w:szCs w:val="20"/>
      <w:lang w:eastAsia="ru-RU"/>
    </w:rPr>
  </w:style>
  <w:style w:type="character" w:customStyle="1" w:styleId="10">
    <w:name w:val="Заголовок 1 Знак"/>
    <w:link w:val="1"/>
    <w:uiPriority w:val="9"/>
    <w:rsid w:val="00DD1FD6"/>
    <w:rPr>
      <w:rFonts w:ascii="Times New Roman" w:hAnsi="Times New Roman"/>
      <w:b/>
      <w:smallCaps/>
      <w:sz w:val="28"/>
      <w:szCs w:val="32"/>
    </w:rPr>
  </w:style>
  <w:style w:type="paragraph" w:styleId="af6">
    <w:name w:val="Body Text"/>
    <w:basedOn w:val="a"/>
    <w:link w:val="af7"/>
    <w:uiPriority w:val="99"/>
    <w:unhideWhenUsed/>
    <w:rsid w:val="00DD1FD6"/>
    <w:pPr>
      <w:spacing w:before="240" w:after="0" w:line="240" w:lineRule="auto"/>
      <w:jc w:val="center"/>
    </w:pPr>
    <w:rPr>
      <w:rFonts w:ascii="Times New Roman" w:hAnsi="Times New Roman"/>
      <w:b/>
      <w:smallCaps/>
      <w:sz w:val="32"/>
      <w:szCs w:val="32"/>
    </w:rPr>
  </w:style>
  <w:style w:type="character" w:customStyle="1" w:styleId="af7">
    <w:name w:val="Основной текст Знак"/>
    <w:link w:val="af6"/>
    <w:uiPriority w:val="99"/>
    <w:rsid w:val="00DD1FD6"/>
    <w:rPr>
      <w:rFonts w:ascii="Times New Roman" w:hAnsi="Times New Roman" w:cs="Times New Roman"/>
      <w:b/>
      <w:smallCaps/>
      <w:sz w:val="32"/>
      <w:szCs w:val="32"/>
    </w:rPr>
  </w:style>
  <w:style w:type="character" w:customStyle="1" w:styleId="20">
    <w:name w:val="Заголовок 2 Знак"/>
    <w:link w:val="2"/>
    <w:uiPriority w:val="9"/>
    <w:rsid w:val="004C6124"/>
    <w:rPr>
      <w:rFonts w:ascii="Times New Roman" w:hAnsi="Times New Roman"/>
      <w:b/>
      <w:sz w:val="28"/>
      <w:szCs w:val="28"/>
      <w:lang w:eastAsia="en-US"/>
    </w:rPr>
  </w:style>
  <w:style w:type="paragraph" w:styleId="af8">
    <w:name w:val="Body Text Indent"/>
    <w:basedOn w:val="a"/>
    <w:link w:val="af9"/>
    <w:uiPriority w:val="99"/>
    <w:unhideWhenUsed/>
    <w:rsid w:val="00DD1FD6"/>
    <w:pPr>
      <w:spacing w:after="0" w:line="240" w:lineRule="auto"/>
      <w:ind w:firstLine="709"/>
      <w:jc w:val="both"/>
    </w:pPr>
    <w:rPr>
      <w:rFonts w:ascii="Times New Roman" w:hAnsi="Times New Roman"/>
      <w:sz w:val="28"/>
      <w:szCs w:val="28"/>
    </w:rPr>
  </w:style>
  <w:style w:type="character" w:customStyle="1" w:styleId="af9">
    <w:name w:val="Основной текст с отступом Знак"/>
    <w:link w:val="af8"/>
    <w:uiPriority w:val="99"/>
    <w:rsid w:val="00DD1FD6"/>
    <w:rPr>
      <w:rFonts w:ascii="Times New Roman" w:hAnsi="Times New Roman" w:cs="Times New Roman"/>
      <w:sz w:val="28"/>
      <w:szCs w:val="28"/>
    </w:rPr>
  </w:style>
  <w:style w:type="character" w:customStyle="1" w:styleId="30">
    <w:name w:val="Заголовок 3 Знак"/>
    <w:link w:val="3"/>
    <w:uiPriority w:val="9"/>
    <w:rsid w:val="00BD638F"/>
    <w:rPr>
      <w:rFonts w:ascii="Times New Roman" w:hAnsi="Times New Roman"/>
      <w:b/>
      <w:color w:val="000000"/>
      <w:sz w:val="28"/>
      <w:szCs w:val="28"/>
      <w:lang w:eastAsia="en-US"/>
    </w:rPr>
  </w:style>
  <w:style w:type="character" w:customStyle="1" w:styleId="40">
    <w:name w:val="Заголовок 4 Знак"/>
    <w:link w:val="4"/>
    <w:uiPriority w:val="9"/>
    <w:rsid w:val="00BD638F"/>
    <w:rPr>
      <w:rFonts w:ascii="Times New Roman" w:eastAsia="Times New Roman" w:hAnsi="Times New Roman" w:cs="Times New Roman"/>
      <w:b/>
      <w:bCs/>
      <w:sz w:val="28"/>
      <w:szCs w:val="28"/>
      <w:lang w:eastAsia="en-US"/>
    </w:rPr>
  </w:style>
  <w:style w:type="paragraph" w:styleId="22">
    <w:name w:val="Body Text Indent 2"/>
    <w:basedOn w:val="a"/>
    <w:link w:val="23"/>
    <w:uiPriority w:val="99"/>
    <w:unhideWhenUsed/>
    <w:rsid w:val="004C6124"/>
    <w:pPr>
      <w:autoSpaceDE w:val="0"/>
      <w:autoSpaceDN w:val="0"/>
      <w:adjustRightInd w:val="0"/>
      <w:spacing w:after="0" w:line="240" w:lineRule="auto"/>
      <w:ind w:firstLine="709"/>
      <w:jc w:val="both"/>
    </w:pPr>
    <w:rPr>
      <w:rFonts w:ascii="Times New Roman" w:hAnsi="Times New Roman"/>
      <w:color w:val="000000"/>
      <w:sz w:val="28"/>
      <w:szCs w:val="28"/>
    </w:rPr>
  </w:style>
  <w:style w:type="character" w:customStyle="1" w:styleId="23">
    <w:name w:val="Основной текст с отступом 2 Знак"/>
    <w:link w:val="22"/>
    <w:uiPriority w:val="99"/>
    <w:rsid w:val="004C6124"/>
    <w:rPr>
      <w:rFonts w:ascii="Times New Roman" w:hAnsi="Times New Roman"/>
      <w:color w:val="000000"/>
      <w:sz w:val="28"/>
      <w:szCs w:val="28"/>
      <w:lang w:eastAsia="en-US"/>
    </w:rPr>
  </w:style>
  <w:style w:type="character" w:customStyle="1" w:styleId="50">
    <w:name w:val="Заголовок 5 Знак"/>
    <w:link w:val="5"/>
    <w:uiPriority w:val="9"/>
    <w:rsid w:val="004C6124"/>
    <w:rPr>
      <w:rFonts w:ascii="Times New Roman" w:hAnsi="Times New Roman"/>
      <w:i/>
      <w:color w:val="000000"/>
      <w:sz w:val="28"/>
      <w:szCs w:val="28"/>
      <w:lang w:eastAsia="en-US"/>
    </w:rPr>
  </w:style>
  <w:style w:type="paragraph" w:styleId="33">
    <w:name w:val="Body Text Indent 3"/>
    <w:basedOn w:val="a"/>
    <w:link w:val="34"/>
    <w:uiPriority w:val="99"/>
    <w:unhideWhenUsed/>
    <w:rsid w:val="004C6124"/>
    <w:pPr>
      <w:autoSpaceDE w:val="0"/>
      <w:autoSpaceDN w:val="0"/>
      <w:adjustRightInd w:val="0"/>
      <w:spacing w:before="120" w:after="60" w:line="240" w:lineRule="auto"/>
      <w:ind w:firstLine="709"/>
      <w:jc w:val="both"/>
    </w:pPr>
    <w:rPr>
      <w:rFonts w:ascii="Times New Roman" w:hAnsi="Times New Roman"/>
      <w:i/>
      <w:color w:val="000000"/>
      <w:sz w:val="28"/>
      <w:szCs w:val="28"/>
    </w:rPr>
  </w:style>
  <w:style w:type="character" w:customStyle="1" w:styleId="34">
    <w:name w:val="Основной текст с отступом 3 Знак"/>
    <w:link w:val="33"/>
    <w:uiPriority w:val="99"/>
    <w:rsid w:val="004C6124"/>
    <w:rPr>
      <w:rFonts w:ascii="Times New Roman" w:hAnsi="Times New Roman"/>
      <w:i/>
      <w:color w:val="000000"/>
      <w:sz w:val="28"/>
      <w:szCs w:val="28"/>
      <w:lang w:eastAsia="en-US"/>
    </w:rPr>
  </w:style>
  <w:style w:type="character" w:customStyle="1" w:styleId="60">
    <w:name w:val="Заголовок 6 Знак"/>
    <w:link w:val="6"/>
    <w:uiPriority w:val="9"/>
    <w:rsid w:val="00BD638F"/>
    <w:rPr>
      <w:rFonts w:ascii="Times New Roman" w:eastAsia="Times New Roman" w:hAnsi="Times New Roman"/>
      <w:b/>
      <w:sz w:val="28"/>
      <w:szCs w:val="28"/>
    </w:rPr>
  </w:style>
  <w:style w:type="character" w:customStyle="1" w:styleId="70">
    <w:name w:val="Заголовок 7 Знак"/>
    <w:link w:val="7"/>
    <w:uiPriority w:val="9"/>
    <w:rsid w:val="00BD638F"/>
    <w:rPr>
      <w:rFonts w:ascii="Times New Roman" w:hAnsi="Times New Roman"/>
      <w:i/>
      <w:sz w:val="28"/>
      <w:szCs w:val="28"/>
      <w:lang w:eastAsia="en-US"/>
    </w:rPr>
  </w:style>
  <w:style w:type="character" w:customStyle="1" w:styleId="80">
    <w:name w:val="Заголовок 8 Знак"/>
    <w:link w:val="8"/>
    <w:uiPriority w:val="9"/>
    <w:rsid w:val="00F9318B"/>
    <w:rPr>
      <w:rFonts w:ascii="Times New Roman" w:hAnsi="Times New Roman"/>
      <w:sz w:val="28"/>
      <w:szCs w:val="28"/>
      <w:lang w:eastAsia="en-US"/>
    </w:rPr>
  </w:style>
  <w:style w:type="paragraph" w:styleId="14">
    <w:name w:val="toc 1"/>
    <w:basedOn w:val="a"/>
    <w:next w:val="a"/>
    <w:autoRedefine/>
    <w:uiPriority w:val="39"/>
    <w:unhideWhenUsed/>
    <w:rsid w:val="00B94B4A"/>
    <w:pPr>
      <w:tabs>
        <w:tab w:val="right" w:leader="dot" w:pos="9628"/>
      </w:tabs>
      <w:spacing w:before="200" w:after="0" w:line="240" w:lineRule="auto"/>
      <w:ind w:left="567" w:hanging="567"/>
    </w:pPr>
    <w:rPr>
      <w:rFonts w:ascii="Times New Roman" w:hAnsi="Times New Roman"/>
      <w:sz w:val="28"/>
    </w:rPr>
  </w:style>
  <w:style w:type="paragraph" w:styleId="24">
    <w:name w:val="toc 2"/>
    <w:basedOn w:val="a"/>
    <w:next w:val="a"/>
    <w:autoRedefine/>
    <w:uiPriority w:val="39"/>
    <w:unhideWhenUsed/>
    <w:rsid w:val="00464E59"/>
    <w:pPr>
      <w:tabs>
        <w:tab w:val="right" w:leader="dot" w:pos="9628"/>
      </w:tabs>
      <w:spacing w:before="80" w:after="0" w:line="240" w:lineRule="auto"/>
      <w:ind w:left="1134" w:hanging="567"/>
    </w:pPr>
    <w:rPr>
      <w:rFonts w:ascii="Times New Roman" w:hAnsi="Times New Roman"/>
      <w:sz w:val="28"/>
    </w:rPr>
  </w:style>
  <w:style w:type="paragraph" w:styleId="35">
    <w:name w:val="toc 3"/>
    <w:basedOn w:val="a"/>
    <w:next w:val="a"/>
    <w:autoRedefine/>
    <w:uiPriority w:val="39"/>
    <w:unhideWhenUsed/>
    <w:rsid w:val="00B94B4A"/>
    <w:pPr>
      <w:tabs>
        <w:tab w:val="right" w:leader="dot" w:pos="9628"/>
      </w:tabs>
      <w:spacing w:before="40" w:after="0" w:line="240" w:lineRule="auto"/>
      <w:ind w:left="1843" w:hanging="709"/>
    </w:pPr>
    <w:rPr>
      <w:rFonts w:ascii="Times New Roman" w:hAnsi="Times New Roman"/>
      <w:sz w:val="28"/>
    </w:rPr>
  </w:style>
  <w:style w:type="paragraph" w:styleId="afa">
    <w:name w:val="endnote text"/>
    <w:basedOn w:val="a"/>
    <w:link w:val="afb"/>
    <w:uiPriority w:val="99"/>
    <w:semiHidden/>
    <w:unhideWhenUsed/>
    <w:rsid w:val="00464E59"/>
    <w:rPr>
      <w:sz w:val="20"/>
      <w:szCs w:val="20"/>
    </w:rPr>
  </w:style>
  <w:style w:type="character" w:customStyle="1" w:styleId="afb">
    <w:name w:val="Текст концевой сноски Знак"/>
    <w:link w:val="afa"/>
    <w:uiPriority w:val="99"/>
    <w:semiHidden/>
    <w:rsid w:val="00464E59"/>
    <w:rPr>
      <w:lang w:eastAsia="en-US"/>
    </w:rPr>
  </w:style>
  <w:style w:type="character" w:styleId="afc">
    <w:name w:val="endnote reference"/>
    <w:uiPriority w:val="99"/>
    <w:semiHidden/>
    <w:unhideWhenUsed/>
    <w:rsid w:val="00464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9661">
      <w:bodyDiv w:val="1"/>
      <w:marLeft w:val="0"/>
      <w:marRight w:val="0"/>
      <w:marTop w:val="0"/>
      <w:marBottom w:val="0"/>
      <w:divBdr>
        <w:top w:val="none" w:sz="0" w:space="0" w:color="auto"/>
        <w:left w:val="none" w:sz="0" w:space="0" w:color="auto"/>
        <w:bottom w:val="none" w:sz="0" w:space="0" w:color="auto"/>
        <w:right w:val="none" w:sz="0" w:space="0" w:color="auto"/>
      </w:divBdr>
    </w:div>
    <w:div w:id="11552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events/president/news/533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10D1-9341-4240-9211-89649287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52452</Words>
  <Characters>298979</Characters>
  <Application>Microsoft Office Word</Application>
  <DocSecurity>0</DocSecurity>
  <Lines>2491</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350730</CharactersWithSpaces>
  <SharedDoc>false</SharedDoc>
  <HLinks>
    <vt:vector size="138" baseType="variant">
      <vt:variant>
        <vt:i4>5111826</vt:i4>
      </vt:variant>
      <vt:variant>
        <vt:i4>135</vt:i4>
      </vt:variant>
      <vt:variant>
        <vt:i4>0</vt:i4>
      </vt:variant>
      <vt:variant>
        <vt:i4>5</vt:i4>
      </vt:variant>
      <vt:variant>
        <vt:lpwstr>http://www.kremlin.ru/events/president/news/53379</vt:lpwstr>
      </vt:variant>
      <vt:variant>
        <vt:lpwstr/>
      </vt:variant>
      <vt:variant>
        <vt:i4>1900606</vt:i4>
      </vt:variant>
      <vt:variant>
        <vt:i4>128</vt:i4>
      </vt:variant>
      <vt:variant>
        <vt:i4>0</vt:i4>
      </vt:variant>
      <vt:variant>
        <vt:i4>5</vt:i4>
      </vt:variant>
      <vt:variant>
        <vt:lpwstr/>
      </vt:variant>
      <vt:variant>
        <vt:lpwstr>_Toc526253894</vt:lpwstr>
      </vt:variant>
      <vt:variant>
        <vt:i4>1900606</vt:i4>
      </vt:variant>
      <vt:variant>
        <vt:i4>122</vt:i4>
      </vt:variant>
      <vt:variant>
        <vt:i4>0</vt:i4>
      </vt:variant>
      <vt:variant>
        <vt:i4>5</vt:i4>
      </vt:variant>
      <vt:variant>
        <vt:lpwstr/>
      </vt:variant>
      <vt:variant>
        <vt:lpwstr>_Toc526253893</vt:lpwstr>
      </vt:variant>
      <vt:variant>
        <vt:i4>1900606</vt:i4>
      </vt:variant>
      <vt:variant>
        <vt:i4>116</vt:i4>
      </vt:variant>
      <vt:variant>
        <vt:i4>0</vt:i4>
      </vt:variant>
      <vt:variant>
        <vt:i4>5</vt:i4>
      </vt:variant>
      <vt:variant>
        <vt:lpwstr/>
      </vt:variant>
      <vt:variant>
        <vt:lpwstr>_Toc526253892</vt:lpwstr>
      </vt:variant>
      <vt:variant>
        <vt:i4>1900606</vt:i4>
      </vt:variant>
      <vt:variant>
        <vt:i4>110</vt:i4>
      </vt:variant>
      <vt:variant>
        <vt:i4>0</vt:i4>
      </vt:variant>
      <vt:variant>
        <vt:i4>5</vt:i4>
      </vt:variant>
      <vt:variant>
        <vt:lpwstr/>
      </vt:variant>
      <vt:variant>
        <vt:lpwstr>_Toc526253891</vt:lpwstr>
      </vt:variant>
      <vt:variant>
        <vt:i4>1900606</vt:i4>
      </vt:variant>
      <vt:variant>
        <vt:i4>104</vt:i4>
      </vt:variant>
      <vt:variant>
        <vt:i4>0</vt:i4>
      </vt:variant>
      <vt:variant>
        <vt:i4>5</vt:i4>
      </vt:variant>
      <vt:variant>
        <vt:lpwstr/>
      </vt:variant>
      <vt:variant>
        <vt:lpwstr>_Toc526253890</vt:lpwstr>
      </vt:variant>
      <vt:variant>
        <vt:i4>1835070</vt:i4>
      </vt:variant>
      <vt:variant>
        <vt:i4>98</vt:i4>
      </vt:variant>
      <vt:variant>
        <vt:i4>0</vt:i4>
      </vt:variant>
      <vt:variant>
        <vt:i4>5</vt:i4>
      </vt:variant>
      <vt:variant>
        <vt:lpwstr/>
      </vt:variant>
      <vt:variant>
        <vt:lpwstr>_Toc526253889</vt:lpwstr>
      </vt:variant>
      <vt:variant>
        <vt:i4>1835070</vt:i4>
      </vt:variant>
      <vt:variant>
        <vt:i4>92</vt:i4>
      </vt:variant>
      <vt:variant>
        <vt:i4>0</vt:i4>
      </vt:variant>
      <vt:variant>
        <vt:i4>5</vt:i4>
      </vt:variant>
      <vt:variant>
        <vt:lpwstr/>
      </vt:variant>
      <vt:variant>
        <vt:lpwstr>_Toc526253888</vt:lpwstr>
      </vt:variant>
      <vt:variant>
        <vt:i4>1835070</vt:i4>
      </vt:variant>
      <vt:variant>
        <vt:i4>86</vt:i4>
      </vt:variant>
      <vt:variant>
        <vt:i4>0</vt:i4>
      </vt:variant>
      <vt:variant>
        <vt:i4>5</vt:i4>
      </vt:variant>
      <vt:variant>
        <vt:lpwstr/>
      </vt:variant>
      <vt:variant>
        <vt:lpwstr>_Toc526253887</vt:lpwstr>
      </vt:variant>
      <vt:variant>
        <vt:i4>1835070</vt:i4>
      </vt:variant>
      <vt:variant>
        <vt:i4>80</vt:i4>
      </vt:variant>
      <vt:variant>
        <vt:i4>0</vt:i4>
      </vt:variant>
      <vt:variant>
        <vt:i4>5</vt:i4>
      </vt:variant>
      <vt:variant>
        <vt:lpwstr/>
      </vt:variant>
      <vt:variant>
        <vt:lpwstr>_Toc526253886</vt:lpwstr>
      </vt:variant>
      <vt:variant>
        <vt:i4>1835070</vt:i4>
      </vt:variant>
      <vt:variant>
        <vt:i4>74</vt:i4>
      </vt:variant>
      <vt:variant>
        <vt:i4>0</vt:i4>
      </vt:variant>
      <vt:variant>
        <vt:i4>5</vt:i4>
      </vt:variant>
      <vt:variant>
        <vt:lpwstr/>
      </vt:variant>
      <vt:variant>
        <vt:lpwstr>_Toc526253885</vt:lpwstr>
      </vt:variant>
      <vt:variant>
        <vt:i4>1835070</vt:i4>
      </vt:variant>
      <vt:variant>
        <vt:i4>68</vt:i4>
      </vt:variant>
      <vt:variant>
        <vt:i4>0</vt:i4>
      </vt:variant>
      <vt:variant>
        <vt:i4>5</vt:i4>
      </vt:variant>
      <vt:variant>
        <vt:lpwstr/>
      </vt:variant>
      <vt:variant>
        <vt:lpwstr>_Toc526253884</vt:lpwstr>
      </vt:variant>
      <vt:variant>
        <vt:i4>1835070</vt:i4>
      </vt:variant>
      <vt:variant>
        <vt:i4>62</vt:i4>
      </vt:variant>
      <vt:variant>
        <vt:i4>0</vt:i4>
      </vt:variant>
      <vt:variant>
        <vt:i4>5</vt:i4>
      </vt:variant>
      <vt:variant>
        <vt:lpwstr/>
      </vt:variant>
      <vt:variant>
        <vt:lpwstr>_Toc526253883</vt:lpwstr>
      </vt:variant>
      <vt:variant>
        <vt:i4>1835070</vt:i4>
      </vt:variant>
      <vt:variant>
        <vt:i4>56</vt:i4>
      </vt:variant>
      <vt:variant>
        <vt:i4>0</vt:i4>
      </vt:variant>
      <vt:variant>
        <vt:i4>5</vt:i4>
      </vt:variant>
      <vt:variant>
        <vt:lpwstr/>
      </vt:variant>
      <vt:variant>
        <vt:lpwstr>_Toc526253882</vt:lpwstr>
      </vt:variant>
      <vt:variant>
        <vt:i4>1835070</vt:i4>
      </vt:variant>
      <vt:variant>
        <vt:i4>50</vt:i4>
      </vt:variant>
      <vt:variant>
        <vt:i4>0</vt:i4>
      </vt:variant>
      <vt:variant>
        <vt:i4>5</vt:i4>
      </vt:variant>
      <vt:variant>
        <vt:lpwstr/>
      </vt:variant>
      <vt:variant>
        <vt:lpwstr>_Toc526253881</vt:lpwstr>
      </vt:variant>
      <vt:variant>
        <vt:i4>1835070</vt:i4>
      </vt:variant>
      <vt:variant>
        <vt:i4>44</vt:i4>
      </vt:variant>
      <vt:variant>
        <vt:i4>0</vt:i4>
      </vt:variant>
      <vt:variant>
        <vt:i4>5</vt:i4>
      </vt:variant>
      <vt:variant>
        <vt:lpwstr/>
      </vt:variant>
      <vt:variant>
        <vt:lpwstr>_Toc526253880</vt:lpwstr>
      </vt:variant>
      <vt:variant>
        <vt:i4>1245246</vt:i4>
      </vt:variant>
      <vt:variant>
        <vt:i4>38</vt:i4>
      </vt:variant>
      <vt:variant>
        <vt:i4>0</vt:i4>
      </vt:variant>
      <vt:variant>
        <vt:i4>5</vt:i4>
      </vt:variant>
      <vt:variant>
        <vt:lpwstr/>
      </vt:variant>
      <vt:variant>
        <vt:lpwstr>_Toc526253879</vt:lpwstr>
      </vt:variant>
      <vt:variant>
        <vt:i4>1245246</vt:i4>
      </vt:variant>
      <vt:variant>
        <vt:i4>32</vt:i4>
      </vt:variant>
      <vt:variant>
        <vt:i4>0</vt:i4>
      </vt:variant>
      <vt:variant>
        <vt:i4>5</vt:i4>
      </vt:variant>
      <vt:variant>
        <vt:lpwstr/>
      </vt:variant>
      <vt:variant>
        <vt:lpwstr>_Toc526253878</vt:lpwstr>
      </vt:variant>
      <vt:variant>
        <vt:i4>1245246</vt:i4>
      </vt:variant>
      <vt:variant>
        <vt:i4>26</vt:i4>
      </vt:variant>
      <vt:variant>
        <vt:i4>0</vt:i4>
      </vt:variant>
      <vt:variant>
        <vt:i4>5</vt:i4>
      </vt:variant>
      <vt:variant>
        <vt:lpwstr/>
      </vt:variant>
      <vt:variant>
        <vt:lpwstr>_Toc526253877</vt:lpwstr>
      </vt:variant>
      <vt:variant>
        <vt:i4>1245246</vt:i4>
      </vt:variant>
      <vt:variant>
        <vt:i4>20</vt:i4>
      </vt:variant>
      <vt:variant>
        <vt:i4>0</vt:i4>
      </vt:variant>
      <vt:variant>
        <vt:i4>5</vt:i4>
      </vt:variant>
      <vt:variant>
        <vt:lpwstr/>
      </vt:variant>
      <vt:variant>
        <vt:lpwstr>_Toc526253876</vt:lpwstr>
      </vt:variant>
      <vt:variant>
        <vt:i4>1245246</vt:i4>
      </vt:variant>
      <vt:variant>
        <vt:i4>14</vt:i4>
      </vt:variant>
      <vt:variant>
        <vt:i4>0</vt:i4>
      </vt:variant>
      <vt:variant>
        <vt:i4>5</vt:i4>
      </vt:variant>
      <vt:variant>
        <vt:lpwstr/>
      </vt:variant>
      <vt:variant>
        <vt:lpwstr>_Toc526253875</vt:lpwstr>
      </vt:variant>
      <vt:variant>
        <vt:i4>1245246</vt:i4>
      </vt:variant>
      <vt:variant>
        <vt:i4>8</vt:i4>
      </vt:variant>
      <vt:variant>
        <vt:i4>0</vt:i4>
      </vt:variant>
      <vt:variant>
        <vt:i4>5</vt:i4>
      </vt:variant>
      <vt:variant>
        <vt:lpwstr/>
      </vt:variant>
      <vt:variant>
        <vt:lpwstr>_Toc526253874</vt:lpwstr>
      </vt:variant>
      <vt:variant>
        <vt:i4>1245246</vt:i4>
      </vt:variant>
      <vt:variant>
        <vt:i4>2</vt:i4>
      </vt:variant>
      <vt:variant>
        <vt:i4>0</vt:i4>
      </vt:variant>
      <vt:variant>
        <vt:i4>5</vt:i4>
      </vt:variant>
      <vt:variant>
        <vt:lpwstr/>
      </vt:variant>
      <vt:variant>
        <vt:lpwstr>_Toc526253873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Заева Елена Александровна</dc:creator>
  <cp:keywords/>
  <dc:description/>
  <cp:lastModifiedBy>Антонов</cp:lastModifiedBy>
  <cp:revision>2</cp:revision>
  <cp:lastPrinted>2018-12-05T12:05:00Z</cp:lastPrinted>
  <dcterms:created xsi:type="dcterms:W3CDTF">2019-02-07T06:56:00Z</dcterms:created>
  <dcterms:modified xsi:type="dcterms:W3CDTF">2019-02-07T06:56:00Z</dcterms:modified>
</cp:coreProperties>
</file>