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001" w:rsidRDefault="006D3001">
      <w:pPr>
        <w:pStyle w:val="newncpi0"/>
        <w:jc w:val="center"/>
      </w:pPr>
      <w:bookmarkStart w:id="0" w:name="_GoBack"/>
      <w:bookmarkEnd w:id="0"/>
      <w:r>
        <w:rPr>
          <w:rStyle w:val="name"/>
        </w:rPr>
        <w:t>ПОСТАНОВЛЕНИЕ </w:t>
      </w:r>
      <w:r>
        <w:rPr>
          <w:rStyle w:val="promulgator"/>
        </w:rPr>
        <w:t>МИНИСТЕРСТВА ФИНАНСОВ РЕСПУБЛИКИ БЕЛАРУСЬ</w:t>
      </w:r>
    </w:p>
    <w:p w:rsidR="006D3001" w:rsidRDefault="006D3001">
      <w:pPr>
        <w:pStyle w:val="newncpi"/>
        <w:ind w:firstLine="0"/>
        <w:jc w:val="center"/>
      </w:pPr>
      <w:r>
        <w:rPr>
          <w:rStyle w:val="datepr"/>
        </w:rPr>
        <w:t>17 декабря 2007 г.</w:t>
      </w:r>
      <w:r>
        <w:rPr>
          <w:rStyle w:val="number"/>
        </w:rPr>
        <w:t xml:space="preserve"> № 188</w:t>
      </w:r>
    </w:p>
    <w:p w:rsidR="006D3001" w:rsidRDefault="006D3001">
      <w:pPr>
        <w:pStyle w:val="title"/>
      </w:pPr>
      <w:r>
        <w:t>О порядке и условиях образования страховых резервов страховых организаций</w:t>
      </w:r>
    </w:p>
    <w:p w:rsidR="006D3001" w:rsidRDefault="006D3001">
      <w:pPr>
        <w:pStyle w:val="changei"/>
      </w:pPr>
      <w:r>
        <w:t>Изменения и дополнения:</w:t>
      </w:r>
    </w:p>
    <w:p w:rsidR="006D3001" w:rsidRDefault="006D3001">
      <w:pPr>
        <w:pStyle w:val="changeadd"/>
      </w:pPr>
      <w:r>
        <w:t>Постановление Министерства финансов Республики Беларусь от 7 октября 2008 г. № 146 (зарегистрировано в Национальном реестре - № 8/19658 от 20.10.2008 г.) &lt;W20819658&gt;;</w:t>
      </w:r>
    </w:p>
    <w:p w:rsidR="006D3001" w:rsidRDefault="006D3001">
      <w:pPr>
        <w:pStyle w:val="changeadd"/>
      </w:pPr>
      <w:r>
        <w:t>Постановление Министерства финансов Республики Беларусь от 18 декабря 2012 г. № 76 (зарегистрировано в Национальном реестре - № 8/26717 от 29.12.2012 г.) &lt;W21226717&gt;;</w:t>
      </w:r>
    </w:p>
    <w:p w:rsidR="006D3001" w:rsidRDefault="006D3001">
      <w:pPr>
        <w:pStyle w:val="changeadd"/>
      </w:pPr>
      <w:r>
        <w:t>Постановление Министерства финансов Республики Беларусь от 6 марта 2013 г. № 15 (зарегистрировано в Национальном реестре - № 8/27148 от 22.03.2013 г.) &lt;W21327148&gt;;</w:t>
      </w:r>
    </w:p>
    <w:p w:rsidR="006D3001" w:rsidRDefault="006D3001">
      <w:pPr>
        <w:pStyle w:val="changeadd"/>
      </w:pPr>
      <w:r>
        <w:t>Постановление Министерства финансов Республики Беларусь от 20 июня 2014 г. № 39 (зарегистрировано в Национальном реестре - № 8/28978 от 08.08.2014 г.) &lt;W21428978&gt;;</w:t>
      </w:r>
    </w:p>
    <w:p w:rsidR="006D3001" w:rsidRDefault="006D3001">
      <w:pPr>
        <w:pStyle w:val="changeadd"/>
      </w:pPr>
      <w:r>
        <w:t>Постановление Министерства финансов Республики Беларусь от 24 мая 2016 г. № 34 (зарегистрировано в Национальном реестре - № 8/31017 от 20.06.2016 г.) &lt;W21631017&gt;;</w:t>
      </w:r>
    </w:p>
    <w:p w:rsidR="006D3001" w:rsidRDefault="006D3001">
      <w:pPr>
        <w:pStyle w:val="changeadd"/>
      </w:pPr>
      <w:r>
        <w:t>Постановление Министерства финансов Республики Беларусь от 29 сентября 2016 г. № 87 (зарегистрировано в Национальном реестре - № 8/31354 от 18.10.2016 г.) &lt;W21631354&gt;;</w:t>
      </w:r>
    </w:p>
    <w:p w:rsidR="006D3001" w:rsidRDefault="006D3001">
      <w:pPr>
        <w:pStyle w:val="changeadd"/>
      </w:pPr>
      <w:r>
        <w:t>Постановление Министерства финансов Республики Беларусь от 9 августа 2019 г. № 38 (зарегистрировано в Национальном реестре - № 8/34499 от 23.08.2019 г.) &lt;W21934499&gt;</w:t>
      </w:r>
    </w:p>
    <w:p w:rsidR="006D3001" w:rsidRDefault="006D3001">
      <w:pPr>
        <w:pStyle w:val="newncpi"/>
      </w:pPr>
      <w:r>
        <w:t> </w:t>
      </w:r>
    </w:p>
    <w:p w:rsidR="006D3001" w:rsidRDefault="006D3001">
      <w:pPr>
        <w:pStyle w:val="preamble"/>
      </w:pPr>
      <w:r>
        <w:t>На основании части второй подпункта 56.2 пункта 56 Положения о страховой деятельности в Республике Беларусь, утвержденного Указом Президента Республики Беларусь от 25 августа 2006 г. № 530, в целях совершенствования порядка и условий образования страховых резервов Министерство финансов Республики Беларусь ПОСТАНОВЛЯЕТ:</w:t>
      </w:r>
    </w:p>
    <w:p w:rsidR="006D3001" w:rsidRDefault="006D3001">
      <w:pPr>
        <w:pStyle w:val="point"/>
      </w:pPr>
      <w:r>
        <w:t>1. Утвердить:</w:t>
      </w:r>
    </w:p>
    <w:p w:rsidR="006D3001" w:rsidRDefault="006D3001">
      <w:pPr>
        <w:pStyle w:val="newncpi"/>
      </w:pPr>
      <w:r>
        <w:t>Инструкцию о порядке и условиях образования страховых резервов по видам страхования, не относящимся к страхованию жизни (прилагается);</w:t>
      </w:r>
    </w:p>
    <w:p w:rsidR="006D3001" w:rsidRDefault="006D3001">
      <w:pPr>
        <w:pStyle w:val="newncpi"/>
      </w:pPr>
      <w:r>
        <w:t>Инструкцию о порядке и условиях образования страховых резервов страховых организаций, осуществляющих страхование жизни (прилагается).</w:t>
      </w:r>
    </w:p>
    <w:p w:rsidR="006D3001" w:rsidRDefault="006D3001">
      <w:pPr>
        <w:pStyle w:val="point"/>
      </w:pPr>
      <w:r>
        <w:t>2. Считать резерв колебаний убыточности и резерв катастроф по состоянию на 31 декабря 2007 г. стабилизационным резервом по состоянию на 1 января 2008 г.</w:t>
      </w:r>
    </w:p>
    <w:p w:rsidR="006D3001" w:rsidRDefault="006D3001">
      <w:pPr>
        <w:pStyle w:val="point"/>
      </w:pPr>
      <w:r>
        <w:t>3. Признать утратившими силу:</w:t>
      </w:r>
    </w:p>
    <w:p w:rsidR="006D3001" w:rsidRDefault="006D3001">
      <w:pPr>
        <w:pStyle w:val="newncpi"/>
      </w:pPr>
      <w:r>
        <w:t>постановление Комитета по надзору за страховой деятельностью при Министерстве финансов Республики Беларусь от 13 декабря 2000 г. № 3 «О порядке и условиях перехода страховых организаций Республики Беларусь на формирование технических и математических резервов» (Национальный реестр правовых актов Республики Беларусь, 2001 г., № 12, 8/4687);</w:t>
      </w:r>
    </w:p>
    <w:p w:rsidR="006D3001" w:rsidRDefault="006D3001">
      <w:pPr>
        <w:pStyle w:val="newncpi"/>
      </w:pPr>
      <w:r>
        <w:t xml:space="preserve">пункт 2 постановления Министерства финансов Республики Беларусь от 10 мая 2007 г. № 73 «Об утверждении Инструкции о критериях и порядке оценки платежеспособности страховых организаций и внесении изменений в постановление Комитета по надзору за страховой деятельностью при Министерстве финансов Республики Беларусь от 13 декабря </w:t>
      </w:r>
      <w:r>
        <w:lastRenderedPageBreak/>
        <w:t>2000 г. № 3» (Национальный реестр правовых актов Республики Беларусь, 2007 г., № 133, 8/16512).</w:t>
      </w:r>
    </w:p>
    <w:p w:rsidR="006D3001" w:rsidRDefault="006D3001">
      <w:pPr>
        <w:pStyle w:val="point"/>
      </w:pPr>
      <w:r>
        <w:t>4. Настоящее постановление вступает в силу с 1 января 2008 г.</w:t>
      </w:r>
    </w:p>
    <w:p w:rsidR="006D3001" w:rsidRDefault="006D3001">
      <w:pPr>
        <w:pStyle w:val="newncpi"/>
      </w:pPr>
      <w:r>
        <w:t> </w:t>
      </w:r>
    </w:p>
    <w:tbl>
      <w:tblPr>
        <w:tblStyle w:val="tablencpi"/>
        <w:tblW w:w="5000" w:type="pct"/>
        <w:tblLook w:val="04A0" w:firstRow="1" w:lastRow="0" w:firstColumn="1" w:lastColumn="0" w:noHBand="0" w:noVBand="1"/>
      </w:tblPr>
      <w:tblGrid>
        <w:gridCol w:w="4693"/>
        <w:gridCol w:w="4693"/>
      </w:tblGrid>
      <w:tr w:rsidR="006D3001">
        <w:tc>
          <w:tcPr>
            <w:tcW w:w="2500" w:type="pct"/>
            <w:tcMar>
              <w:top w:w="0" w:type="dxa"/>
              <w:left w:w="6" w:type="dxa"/>
              <w:bottom w:w="0" w:type="dxa"/>
              <w:right w:w="6" w:type="dxa"/>
            </w:tcMar>
            <w:vAlign w:val="bottom"/>
            <w:hideMark/>
          </w:tcPr>
          <w:p w:rsidR="006D3001" w:rsidRDefault="006D3001">
            <w:pPr>
              <w:pStyle w:val="newncpi0"/>
              <w:jc w:val="left"/>
            </w:pPr>
            <w:r>
              <w:rPr>
                <w:rStyle w:val="post"/>
              </w:rPr>
              <w:t>Министр</w:t>
            </w:r>
          </w:p>
        </w:tc>
        <w:tc>
          <w:tcPr>
            <w:tcW w:w="2500" w:type="pct"/>
            <w:tcMar>
              <w:top w:w="0" w:type="dxa"/>
              <w:left w:w="6" w:type="dxa"/>
              <w:bottom w:w="0" w:type="dxa"/>
              <w:right w:w="6" w:type="dxa"/>
            </w:tcMar>
            <w:vAlign w:val="bottom"/>
            <w:hideMark/>
          </w:tcPr>
          <w:p w:rsidR="006D3001" w:rsidRDefault="006D3001">
            <w:pPr>
              <w:pStyle w:val="newncpi0"/>
              <w:jc w:val="right"/>
            </w:pPr>
            <w:proofErr w:type="spellStart"/>
            <w:r>
              <w:rPr>
                <w:rStyle w:val="pers"/>
              </w:rPr>
              <w:t>Н.П.Корбут</w:t>
            </w:r>
            <w:proofErr w:type="spellEnd"/>
          </w:p>
        </w:tc>
      </w:tr>
    </w:tbl>
    <w:p w:rsidR="006D3001" w:rsidRDefault="006D3001">
      <w:pPr>
        <w:pStyle w:val="newncpi0"/>
      </w:pPr>
      <w:r>
        <w:t> </w:t>
      </w:r>
    </w:p>
    <w:tbl>
      <w:tblPr>
        <w:tblStyle w:val="tablencpi"/>
        <w:tblW w:w="5000" w:type="pct"/>
        <w:tblLook w:val="04A0" w:firstRow="1" w:lastRow="0" w:firstColumn="1" w:lastColumn="0" w:noHBand="0" w:noVBand="1"/>
      </w:tblPr>
      <w:tblGrid>
        <w:gridCol w:w="6863"/>
        <w:gridCol w:w="2523"/>
      </w:tblGrid>
      <w:tr w:rsidR="006D3001">
        <w:tc>
          <w:tcPr>
            <w:tcW w:w="3656" w:type="pct"/>
            <w:tcMar>
              <w:top w:w="0" w:type="dxa"/>
              <w:left w:w="6" w:type="dxa"/>
              <w:bottom w:w="0" w:type="dxa"/>
              <w:right w:w="6" w:type="dxa"/>
            </w:tcMar>
            <w:hideMark/>
          </w:tcPr>
          <w:p w:rsidR="006D3001" w:rsidRDefault="006D3001">
            <w:pPr>
              <w:pStyle w:val="newncpi"/>
            </w:pPr>
            <w:r>
              <w:t> </w:t>
            </w:r>
          </w:p>
        </w:tc>
        <w:tc>
          <w:tcPr>
            <w:tcW w:w="1344" w:type="pct"/>
            <w:tcMar>
              <w:top w:w="0" w:type="dxa"/>
              <w:left w:w="6" w:type="dxa"/>
              <w:bottom w:w="0" w:type="dxa"/>
              <w:right w:w="6" w:type="dxa"/>
            </w:tcMar>
            <w:hideMark/>
          </w:tcPr>
          <w:p w:rsidR="006D3001" w:rsidRDefault="006D3001">
            <w:pPr>
              <w:pStyle w:val="capu1"/>
            </w:pPr>
            <w:r>
              <w:t>УТВЕРЖДЕНО</w:t>
            </w:r>
          </w:p>
          <w:p w:rsidR="006D3001" w:rsidRDefault="006D3001">
            <w:pPr>
              <w:pStyle w:val="cap1"/>
            </w:pPr>
            <w:r>
              <w:t xml:space="preserve">Постановление </w:t>
            </w:r>
            <w:r>
              <w:br/>
              <w:t xml:space="preserve">Министерства финансов </w:t>
            </w:r>
            <w:r>
              <w:br/>
              <w:t>Республики Беларусь</w:t>
            </w:r>
          </w:p>
          <w:p w:rsidR="006D3001" w:rsidRDefault="006D3001">
            <w:pPr>
              <w:pStyle w:val="cap1"/>
            </w:pPr>
            <w:r>
              <w:t>17.12.2007 № 188</w:t>
            </w:r>
          </w:p>
        </w:tc>
      </w:tr>
    </w:tbl>
    <w:p w:rsidR="006D3001" w:rsidRDefault="006D3001">
      <w:pPr>
        <w:pStyle w:val="titleu"/>
      </w:pPr>
      <w:r>
        <w:t>ИНСТРУКЦИЯ</w:t>
      </w:r>
      <w:r>
        <w:br/>
        <w:t>о порядке и условиях образования страховых резервов по видам страхования, не относящимся к страхованию жизни</w:t>
      </w:r>
    </w:p>
    <w:p w:rsidR="006D3001" w:rsidRDefault="006D3001">
      <w:pPr>
        <w:pStyle w:val="chapter"/>
      </w:pPr>
      <w:r>
        <w:t>ГЛАВА 1</w:t>
      </w:r>
      <w:r>
        <w:br/>
        <w:t>ОБЩИЕ ПОЛОЖЕНИЯ</w:t>
      </w:r>
    </w:p>
    <w:p w:rsidR="006D3001" w:rsidRDefault="006D3001">
      <w:pPr>
        <w:pStyle w:val="point"/>
      </w:pPr>
      <w:r>
        <w:t>1. Настоящая Инструкция устанавливает порядок и условия образования страховщиком страховых резервов по видам страхования, не относящимся к страхованию жизни (технические резервы) (далее – технические резервы). Технические резервы образуются из начисленных (поступивших) страховых взносов (страховых премий) и являются выраженной в денежной форме величиной обязательств страховщика по обеспечению предстоящих страховых выплат.</w:t>
      </w:r>
    </w:p>
    <w:p w:rsidR="006D3001" w:rsidRDefault="006D3001">
      <w:pPr>
        <w:pStyle w:val="point"/>
      </w:pPr>
      <w:r>
        <w:t>2. Технические резервы рассчитываются ежемесячно на отчетную дату (конец отчетного периода) при составлении бухгалтерской отчетности.</w:t>
      </w:r>
    </w:p>
    <w:p w:rsidR="006D3001" w:rsidRDefault="006D3001">
      <w:pPr>
        <w:pStyle w:val="newncpi"/>
      </w:pPr>
      <w:r>
        <w:t>Расчет технических резервов производится на основании данных учета и отчетности страховщика по видам страхования, которые страховщик имеет право осуществлять (далее – виды страхования).</w:t>
      </w:r>
    </w:p>
    <w:p w:rsidR="006D3001" w:rsidRDefault="006D3001">
      <w:pPr>
        <w:pStyle w:val="newncpi"/>
      </w:pPr>
      <w:r>
        <w:t>Расчет технических резервов производится в белорусских рублях или иностранной валюте, в которой подлежат уплате (уплачены) страховые взносы (премии) или приняты обязательства по соответствующим видам страхования (перестрахованию).</w:t>
      </w:r>
    </w:p>
    <w:p w:rsidR="006D3001" w:rsidRDefault="006D3001">
      <w:pPr>
        <w:pStyle w:val="point"/>
      </w:pPr>
      <w:r>
        <w:t>3. Руководитель страховой организации утверждает порядок представления необходимой информации для расчета технических резервов с указанием персональной ответственности руководителей структурных подразделений за полноту и достоверность исходной информации, правильность расчетов и наличие надлежащим образом оформленных документов по техническим резервам на начало каждого месяца, а также специалистов, которые несут персональную ответственность за правильность формирования технических резервов.</w:t>
      </w:r>
    </w:p>
    <w:p w:rsidR="006D3001" w:rsidRDefault="006D3001">
      <w:pPr>
        <w:pStyle w:val="point"/>
      </w:pPr>
      <w:r>
        <w:t>4. Сведения о размерах технических резервов по видам страхования специалисты отделов или отдельные структурные подразделения в зависимости от организационной структуры страховой организации представляют в бухгалтерию. Специалисты бухгалтерии на основании полученной информации определяют общую сумму технических резервов по страховой организации и производят соответствующие записи на счетах бухгалтерского учета при определении финансовых результатов за месяц.</w:t>
      </w:r>
    </w:p>
    <w:p w:rsidR="006D3001" w:rsidRDefault="006D3001">
      <w:pPr>
        <w:pStyle w:val="point"/>
      </w:pPr>
      <w:r>
        <w:t>5. В случае установления несоответствия размера сформированных технических резервов обязательствам страховщика по обеспечению предстоящих выплат по видам страхования, не относящимся к страхованию жизни, Министерство финансов вправе потребовать от страховщика изменения порядка и условий расчета технических резервов.</w:t>
      </w:r>
    </w:p>
    <w:p w:rsidR="006D3001" w:rsidRDefault="006D3001">
      <w:pPr>
        <w:pStyle w:val="point"/>
      </w:pPr>
      <w:r>
        <w:t>6. Страховщик по согласованию с Министерством финансов в случаях, предусмотренных настоящей Инструкцией, может использовать иные порядок и условия расчета технических резервов.</w:t>
      </w:r>
    </w:p>
    <w:p w:rsidR="006D3001" w:rsidRDefault="006D3001">
      <w:pPr>
        <w:pStyle w:val="newncpi"/>
      </w:pPr>
      <w:r>
        <w:lastRenderedPageBreak/>
        <w:t>Страховщик в целях использования порядка и условий расчета технических резервов, отличных от порядка и условий, установленных в настоящей Инструкции, вправе не позднее чем за 45 дней до начала следующего отчетного года обратиться в Министерство финансов для согласования индивидуальных правил образования страховых резервов по видам страхования, не относящимся к страхованию жизни (далее – индивидуальные правила).</w:t>
      </w:r>
    </w:p>
    <w:p w:rsidR="006D3001" w:rsidRDefault="006D3001">
      <w:pPr>
        <w:pStyle w:val="newncpi"/>
      </w:pPr>
      <w:r>
        <w:t>Согласование индивидуальных правил осуществляется Министерством финансов на основании документов, предусмотренных пунктом 15.14</w:t>
      </w:r>
      <w:r>
        <w:rPr>
          <w:vertAlign w:val="superscript"/>
        </w:rPr>
        <w:t>3</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w:t>
      </w:r>
    </w:p>
    <w:p w:rsidR="006D3001" w:rsidRDefault="006D3001">
      <w:pPr>
        <w:pStyle w:val="newncpi"/>
      </w:pPr>
      <w:r>
        <w:t>Министерство финансов отказывает в принятии заявления в случаях, установленных статьей 17 Закона Республики Беларусь от 28 октября 2008 г. № 433-З «Об основах административных процедур».</w:t>
      </w:r>
    </w:p>
    <w:p w:rsidR="006D3001" w:rsidRDefault="006D3001">
      <w:pPr>
        <w:pStyle w:val="newncpi"/>
      </w:pPr>
      <w:r>
        <w:t>Министерство финансов отказывает страховщику в согласовании индивидуальных правил в случаях, определенных статьей 25 Закона Республики Беларусь «Об основах административных процедур».</w:t>
      </w:r>
    </w:p>
    <w:p w:rsidR="006D3001" w:rsidRDefault="006D3001">
      <w:pPr>
        <w:pStyle w:val="newncpi"/>
      </w:pPr>
      <w:r>
        <w:t>Министерство финансов согласовывает индивидуальные правила либо отказывает в их согласовании в срок, предусмотренный пунктом 15.14</w:t>
      </w:r>
      <w:r>
        <w:rPr>
          <w:vertAlign w:val="superscript"/>
        </w:rPr>
        <w:t>3</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6D3001" w:rsidRDefault="006D3001">
      <w:pPr>
        <w:pStyle w:val="newncpi"/>
      </w:pPr>
      <w:r>
        <w:t>Министерство финансов в письменной форме извещает страховщика о согласовании индивидуальных правил. При отказе в согласовании индивидуальных правил Министерство финансов извещает страховщика с указанием причины отказа.</w:t>
      </w:r>
    </w:p>
    <w:p w:rsidR="006D3001" w:rsidRDefault="006D3001">
      <w:pPr>
        <w:pStyle w:val="newncpi"/>
      </w:pPr>
      <w:r>
        <w:t>Индивидуальные правила применяются с отчетного года, следующего за годом согласования.</w:t>
      </w:r>
    </w:p>
    <w:p w:rsidR="006D3001" w:rsidRDefault="006D3001">
      <w:pPr>
        <w:pStyle w:val="chapter"/>
      </w:pPr>
      <w:r>
        <w:t>ГЛАВА 2</w:t>
      </w:r>
      <w:r>
        <w:br/>
        <w:t>СОСТАВ ТЕХНИЧЕСКИХ РЕЗЕРВОВ, ТРЕБОВАНИЯ К МЕТОДАМ РАСЧЕТА ТЕХНИЧЕСКИХ РЕЗЕРВОВ И К ИНФОРМАЦИИ, НЕОБХОДИМОЙ ДЛЯ РАСЧЕТА ТЕХНИЧЕСКИХ РЕЗЕРВОВ</w:t>
      </w:r>
    </w:p>
    <w:p w:rsidR="006D3001" w:rsidRDefault="006D3001">
      <w:pPr>
        <w:pStyle w:val="point"/>
      </w:pPr>
      <w:r>
        <w:t>7. Технические резервы состоят из:</w:t>
      </w:r>
    </w:p>
    <w:p w:rsidR="006D3001" w:rsidRDefault="006D3001">
      <w:pPr>
        <w:pStyle w:val="newncpi"/>
      </w:pPr>
      <w:r>
        <w:t>резерва незаработанной премии (далее – РНП);</w:t>
      </w:r>
    </w:p>
    <w:p w:rsidR="006D3001" w:rsidRDefault="006D3001">
      <w:pPr>
        <w:pStyle w:val="newncpi"/>
      </w:pPr>
      <w:r>
        <w:t>резерва убытков, включающего в себя:</w:t>
      </w:r>
    </w:p>
    <w:p w:rsidR="006D3001" w:rsidRDefault="006D3001">
      <w:pPr>
        <w:pStyle w:val="newncpi"/>
      </w:pPr>
      <w:r>
        <w:t>резерв заявленных, но неурегулированных убытков (далее – РЗУ);</w:t>
      </w:r>
    </w:p>
    <w:p w:rsidR="006D3001" w:rsidRDefault="006D3001">
      <w:pPr>
        <w:pStyle w:val="newncpi"/>
      </w:pPr>
      <w:r>
        <w:t>резерв произошедших, но незаявленных убытков (далее – РПНУ);</w:t>
      </w:r>
    </w:p>
    <w:p w:rsidR="006D3001" w:rsidRDefault="006D3001">
      <w:pPr>
        <w:pStyle w:val="newncpi"/>
      </w:pPr>
      <w:r>
        <w:t>стабилизационного резерва (далее – СР).</w:t>
      </w:r>
    </w:p>
    <w:p w:rsidR="006D3001" w:rsidRDefault="006D3001">
      <w:pPr>
        <w:pStyle w:val="point"/>
      </w:pPr>
      <w:r>
        <w:t>8. РНП – это часть начисленной страховой премии (взносов) по договору страхования (</w:t>
      </w:r>
      <w:proofErr w:type="spellStart"/>
      <w:r>
        <w:t>сострахования</w:t>
      </w:r>
      <w:proofErr w:type="spellEnd"/>
      <w:r>
        <w:t>), перестрахования (далее – договор), относящаяся к сроку действия договора, выходящему за пределы отчетного периода (незаработанная премия), предназначенная для обеспечения исполнения обязательств по предстоящим выплатам, которые могут возникнуть в следующих отчетных периодах.</w:t>
      </w:r>
    </w:p>
    <w:p w:rsidR="006D3001" w:rsidRDefault="006D3001">
      <w:pPr>
        <w:pStyle w:val="point"/>
      </w:pPr>
      <w:r>
        <w:t>9. РЗУ – это определенная расчетным путем величина неисполненных или исполненных не полностью на отчетную дату (конец отчетного периода)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(вреда), нанесенного имущественным интересам страхователя (расходы по урегулированию убытков),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w:t>
      </w:r>
    </w:p>
    <w:p w:rsidR="006D3001" w:rsidRDefault="006D3001">
      <w:pPr>
        <w:pStyle w:val="point"/>
      </w:pPr>
      <w:r>
        <w:lastRenderedPageBreak/>
        <w:t>10. РПНУ – это определенная расчетным путем величина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w:t>
      </w:r>
    </w:p>
    <w:p w:rsidR="006D3001" w:rsidRDefault="006D3001">
      <w:pPr>
        <w:pStyle w:val="point"/>
      </w:pPr>
      <w:r>
        <w:t>11. СР – это определенная расчетным путем величина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w:t>
      </w:r>
    </w:p>
    <w:p w:rsidR="006D3001" w:rsidRDefault="006D3001">
      <w:pPr>
        <w:pStyle w:val="point"/>
      </w:pPr>
      <w:r>
        <w:t>12. Страховщик одновременно с расчетом технических резервов рассчитывает долю участия перестраховщиков в технических резервах.</w:t>
      </w:r>
    </w:p>
    <w:p w:rsidR="006D3001" w:rsidRDefault="006D3001">
      <w:pPr>
        <w:pStyle w:val="newncpi"/>
      </w:pPr>
      <w:r>
        <w:t>Доля перестраховщика (перестраховщиков) в технических резервах определяется по каждому договору (группе договоров) в соответствии с условиями договора (договоров) перестрахования.</w:t>
      </w:r>
    </w:p>
    <w:p w:rsidR="006D3001" w:rsidRDefault="006D3001">
      <w:pPr>
        <w:pStyle w:val="point"/>
      </w:pPr>
      <w:r>
        <w:t>13. Страховщик осуществляет расчет технических резервов на основе информации, содержащейся в журнале учета заключенных договоров страхования (</w:t>
      </w:r>
      <w:proofErr w:type="spellStart"/>
      <w:r>
        <w:t>сострахования</w:t>
      </w:r>
      <w:proofErr w:type="spellEnd"/>
      <w:r>
        <w:t>), журнале учета убытков и досрочно прекращенных договоров страхования (</w:t>
      </w:r>
      <w:proofErr w:type="spellStart"/>
      <w:r>
        <w:t>сострахования</w:t>
      </w:r>
      <w:proofErr w:type="spellEnd"/>
      <w:r>
        <w:t>), журнале учета договоров, принятых в перестрахование, и журнале учета убытков по договорам, принятым в перестрахование (далее – журналы).</w:t>
      </w:r>
    </w:p>
    <w:p w:rsidR="006D3001" w:rsidRDefault="006D3001">
      <w:pPr>
        <w:pStyle w:val="newncpi"/>
      </w:pPr>
      <w:r>
        <w:t>Обязательными реквизитами журналов являются:</w:t>
      </w:r>
    </w:p>
    <w:p w:rsidR="006D3001" w:rsidRDefault="006D3001">
      <w:pPr>
        <w:pStyle w:val="newncpi"/>
      </w:pPr>
      <w:r>
        <w:t>номер договора страхования (страхового полиса, свидетельства, сертификата), квитанции о приеме наличных денежных средств (страховых взносов);</w:t>
      </w:r>
    </w:p>
    <w:p w:rsidR="006D3001" w:rsidRDefault="006D3001">
      <w:pPr>
        <w:pStyle w:val="newncpi"/>
      </w:pPr>
      <w:r>
        <w:t>наименование страхователя;</w:t>
      </w:r>
    </w:p>
    <w:p w:rsidR="006D3001" w:rsidRDefault="006D3001">
      <w:pPr>
        <w:pStyle w:val="newncpi"/>
      </w:pPr>
      <w:r>
        <w:t>дата вступления договора страхования в силу (дата начала действия страхования);</w:t>
      </w:r>
    </w:p>
    <w:p w:rsidR="006D3001" w:rsidRDefault="006D3001">
      <w:pPr>
        <w:pStyle w:val="newncpi"/>
      </w:pPr>
      <w:r>
        <w:t>срок действия договора страхования;</w:t>
      </w:r>
    </w:p>
    <w:p w:rsidR="006D3001" w:rsidRDefault="006D3001">
      <w:pPr>
        <w:pStyle w:val="newncpi"/>
      </w:pPr>
      <w:r>
        <w:t>размер (размеры) страховой суммы (сумм) (лимита ответственности);</w:t>
      </w:r>
    </w:p>
    <w:p w:rsidR="006D3001" w:rsidRDefault="006D3001">
      <w:pPr>
        <w:pStyle w:val="newncpi"/>
      </w:pPr>
      <w:r>
        <w:t>размер (размеры) начисленного страхового взноса (взносов) (премии (премий));</w:t>
      </w:r>
    </w:p>
    <w:p w:rsidR="006D3001" w:rsidRDefault="006D3001">
      <w:pPr>
        <w:pStyle w:val="newncpi"/>
      </w:pPr>
      <w:r>
        <w:t xml:space="preserve">размер начисленного страхового взноса (премии), по которому произведена сторнирующая запись способом «красное </w:t>
      </w:r>
      <w:proofErr w:type="spellStart"/>
      <w:r>
        <w:t>сторно</w:t>
      </w:r>
      <w:proofErr w:type="spellEnd"/>
      <w:r>
        <w:t>»;</w:t>
      </w:r>
    </w:p>
    <w:p w:rsidR="006D3001" w:rsidRDefault="006D3001">
      <w:pPr>
        <w:pStyle w:val="newncpi"/>
      </w:pPr>
      <w:r>
        <w:t xml:space="preserve">дата, когда на сумму начисленного страхового взноса (премии) произведена сторнирующая запись способом «красное </w:t>
      </w:r>
      <w:proofErr w:type="spellStart"/>
      <w:r>
        <w:t>сторно</w:t>
      </w:r>
      <w:proofErr w:type="spellEnd"/>
      <w:r>
        <w:t>»;</w:t>
      </w:r>
    </w:p>
    <w:p w:rsidR="006D3001" w:rsidRDefault="006D3001">
      <w:pPr>
        <w:pStyle w:val="newncpi"/>
      </w:pPr>
      <w:r>
        <w:t>дата заключения договора страхования (дата начисления страхового взноса (премии));</w:t>
      </w:r>
    </w:p>
    <w:p w:rsidR="006D3001" w:rsidRDefault="006D3001">
      <w:pPr>
        <w:pStyle w:val="newncpi"/>
      </w:pPr>
      <w:r>
        <w:t>размер (размеры) уплаченного страхового взноса (взносов) (премии (премий));</w:t>
      </w:r>
    </w:p>
    <w:p w:rsidR="006D3001" w:rsidRDefault="006D3001">
      <w:pPr>
        <w:pStyle w:val="newncpi"/>
      </w:pPr>
      <w:r>
        <w:t>дата (даты) уплаты страховой премии (премий) (взноса (взносов));</w:t>
      </w:r>
    </w:p>
    <w:p w:rsidR="006D3001" w:rsidRDefault="006D3001">
      <w:pPr>
        <w:pStyle w:val="newncpi"/>
      </w:pPr>
      <w:r>
        <w:t>размер начисленного вознаграждения за заключение договора страхования;</w:t>
      </w:r>
    </w:p>
    <w:p w:rsidR="006D3001" w:rsidRDefault="006D3001">
      <w:pPr>
        <w:pStyle w:val="newncpi"/>
      </w:pPr>
      <w:r>
        <w:t xml:space="preserve">размер начисленной </w:t>
      </w:r>
      <w:proofErr w:type="spellStart"/>
      <w:r>
        <w:t>состраховочной</w:t>
      </w:r>
      <w:proofErr w:type="spellEnd"/>
      <w:r>
        <w:t xml:space="preserve"> комиссии;</w:t>
      </w:r>
    </w:p>
    <w:p w:rsidR="006D3001" w:rsidRDefault="006D3001">
      <w:pPr>
        <w:pStyle w:val="newncpi"/>
      </w:pPr>
      <w:r>
        <w:t>размер отчислений от страхового взноса (премии) в случаях, предусмотренных законодательством и условиями договоров;</w:t>
      </w:r>
    </w:p>
    <w:p w:rsidR="006D3001" w:rsidRDefault="006D3001">
      <w:pPr>
        <w:pStyle w:val="newncpi"/>
      </w:pPr>
      <w:r>
        <w:t>дата досрочного прекращения договора страхования;</w:t>
      </w:r>
    </w:p>
    <w:p w:rsidR="006D3001" w:rsidRDefault="006D3001">
      <w:pPr>
        <w:pStyle w:val="newncpi"/>
      </w:pPr>
      <w:r>
        <w:t>дата (даты) изменения условий договора страхования;</w:t>
      </w:r>
    </w:p>
    <w:p w:rsidR="006D3001" w:rsidRDefault="006D3001">
      <w:pPr>
        <w:pStyle w:val="newncpi"/>
      </w:pPr>
      <w:r>
        <w:t>размер страхового взноса (премии), возвращенного страхователям (перестрахователям) в связи с досрочным прекращением (изменением условий) договора страхования;</w:t>
      </w:r>
    </w:p>
    <w:p w:rsidR="006D3001" w:rsidRDefault="006D3001">
      <w:pPr>
        <w:pStyle w:val="newncpi"/>
      </w:pPr>
      <w:r>
        <w:t>дата возврата страхового взноса (премии);</w:t>
      </w:r>
    </w:p>
    <w:p w:rsidR="006D3001" w:rsidRDefault="006D3001">
      <w:pPr>
        <w:pStyle w:val="newncpi"/>
      </w:pPr>
      <w:r>
        <w:t>номер и дата договора перестрахования (слипа);</w:t>
      </w:r>
    </w:p>
    <w:p w:rsidR="006D3001" w:rsidRDefault="006D3001">
      <w:pPr>
        <w:pStyle w:val="newncpi"/>
      </w:pPr>
      <w:r>
        <w:t>наименование перестраховщика;</w:t>
      </w:r>
    </w:p>
    <w:p w:rsidR="006D3001" w:rsidRDefault="006D3001">
      <w:pPr>
        <w:pStyle w:val="newncpi"/>
      </w:pPr>
      <w:r>
        <w:t>сумма начисленной перестраховочной премии;</w:t>
      </w:r>
    </w:p>
    <w:p w:rsidR="006D3001" w:rsidRDefault="006D3001">
      <w:pPr>
        <w:pStyle w:val="newncpi"/>
      </w:pPr>
      <w:r>
        <w:t>начисленное комиссионное вознаграждение перестраховщику;</w:t>
      </w:r>
    </w:p>
    <w:p w:rsidR="006D3001" w:rsidRDefault="006D3001">
      <w:pPr>
        <w:pStyle w:val="newncpi"/>
      </w:pPr>
      <w:r>
        <w:t>дата (даты) поступления заявления о страховом случае (случаях);</w:t>
      </w:r>
    </w:p>
    <w:p w:rsidR="006D3001" w:rsidRDefault="006D3001">
      <w:pPr>
        <w:pStyle w:val="newncpi"/>
      </w:pPr>
      <w:r>
        <w:t>дата (даты) наступления страхового случая (случаев);</w:t>
      </w:r>
    </w:p>
    <w:p w:rsidR="006D3001" w:rsidRDefault="006D3001">
      <w:pPr>
        <w:pStyle w:val="newncpi"/>
      </w:pPr>
      <w:r>
        <w:t>размер (размеры) заявленного убытка (убытков);</w:t>
      </w:r>
    </w:p>
    <w:p w:rsidR="006D3001" w:rsidRDefault="006D3001">
      <w:pPr>
        <w:pStyle w:val="newncpi"/>
      </w:pPr>
      <w:r>
        <w:lastRenderedPageBreak/>
        <w:t>дата (даты) страховой выплаты (выплат) или дата (даты) отказа в страховой выплате (выплатах);</w:t>
      </w:r>
    </w:p>
    <w:p w:rsidR="006D3001" w:rsidRDefault="006D3001">
      <w:pPr>
        <w:pStyle w:val="newncpi"/>
      </w:pPr>
      <w:r>
        <w:t>размер (размеры) страховой выплаты (выплат).</w:t>
      </w:r>
    </w:p>
    <w:p w:rsidR="006D3001" w:rsidRDefault="006D3001">
      <w:pPr>
        <w:pStyle w:val="point"/>
      </w:pPr>
      <w:r>
        <w:t>14. При расчете технических резервов договоры группируются по видам страхования.</w:t>
      </w:r>
    </w:p>
    <w:p w:rsidR="006D3001" w:rsidRDefault="006D3001">
      <w:pPr>
        <w:pStyle w:val="newncpi"/>
      </w:pPr>
      <w:r>
        <w:t>Договоры, принятые в перестрахование, в соответствии с условиями которых у перестраховщика возникает обязанность по возмещению заранее установленной доли в каждой страховой выплате, производимой страховщиком по каждому принятому в перестрахование договору (договорам), по которому произошел убыток, подпадающий под действие договора перестрахования, относятся к тому же виду страхования.</w:t>
      </w:r>
    </w:p>
    <w:p w:rsidR="006D3001" w:rsidRDefault="006D3001">
      <w:pPr>
        <w:pStyle w:val="point"/>
      </w:pPr>
      <w:r>
        <w:t>15. Исключен.</w:t>
      </w:r>
    </w:p>
    <w:p w:rsidR="006D3001" w:rsidRDefault="006D3001">
      <w:pPr>
        <w:pStyle w:val="chapter"/>
      </w:pPr>
      <w:r>
        <w:t>ГЛАВА 3</w:t>
      </w:r>
      <w:r>
        <w:br/>
        <w:t>РАСЧЕТ РЕЗЕРВА НЕЗАРАБОТАННОЙ ПРЕМИИ</w:t>
      </w:r>
    </w:p>
    <w:p w:rsidR="006D3001" w:rsidRDefault="006D3001">
      <w:pPr>
        <w:pStyle w:val="point"/>
      </w:pPr>
      <w:r>
        <w:t>16. Расчет РНП производится отдельно по каждому виду страхования.</w:t>
      </w:r>
    </w:p>
    <w:p w:rsidR="006D3001" w:rsidRDefault="006D3001">
      <w:pPr>
        <w:pStyle w:val="newncpi"/>
      </w:pPr>
      <w:r>
        <w:t>Общая величина РНП определяется путем суммирования РНП, рассчитанных по видам страхования.</w:t>
      </w:r>
    </w:p>
    <w:p w:rsidR="006D3001" w:rsidRDefault="006D3001">
      <w:pPr>
        <w:pStyle w:val="point"/>
      </w:pPr>
      <w:r>
        <w:t>17. При расчете незаработанной премии по договору страхования (</w:t>
      </w:r>
      <w:proofErr w:type="spellStart"/>
      <w:r>
        <w:t>сострахования</w:t>
      </w:r>
      <w:proofErr w:type="spellEnd"/>
      <w:r>
        <w:t>) начисленные страховые взносы (страховые премии) (далее – страховая брутто-премия) по договору прямого страхования (</w:t>
      </w:r>
      <w:proofErr w:type="spellStart"/>
      <w:r>
        <w:t>сострахования</w:t>
      </w:r>
      <w:proofErr w:type="spellEnd"/>
      <w:r>
        <w:t>) уменьшаются на сумму начисленного вознаграждения за заключение договоров страхования (</w:t>
      </w:r>
      <w:proofErr w:type="spellStart"/>
      <w:r>
        <w:t>сострахования</w:t>
      </w:r>
      <w:proofErr w:type="spellEnd"/>
      <w:r>
        <w:t>) страховым брокерам, страховым агентам, включаемого в соответствии с законодательством в затраты по производству и реализации продукции, товаров (работ, услуг), учитываемые при налогообложении, и на сумму отчислений от страховой брутто-премии в случаях, предусмотренных законодательством и условиями договоров.</w:t>
      </w:r>
    </w:p>
    <w:p w:rsidR="006D3001" w:rsidRDefault="006D3001">
      <w:pPr>
        <w:pStyle w:val="newncpi"/>
      </w:pPr>
      <w:r>
        <w:t xml:space="preserve">При расчете незаработанной премии по договору </w:t>
      </w:r>
      <w:proofErr w:type="spellStart"/>
      <w:r>
        <w:t>сострахования</w:t>
      </w:r>
      <w:proofErr w:type="spellEnd"/>
      <w:r>
        <w:t xml:space="preserve"> страховая брутто-премия по договору </w:t>
      </w:r>
      <w:proofErr w:type="spellStart"/>
      <w:r>
        <w:t>сострахования</w:t>
      </w:r>
      <w:proofErr w:type="spellEnd"/>
      <w:r>
        <w:t xml:space="preserve"> принимается в размере доли начисленной страховой премии, установленной в договоре </w:t>
      </w:r>
      <w:proofErr w:type="spellStart"/>
      <w:r>
        <w:t>сострахования</w:t>
      </w:r>
      <w:proofErr w:type="spellEnd"/>
      <w:r>
        <w:t>.</w:t>
      </w:r>
    </w:p>
    <w:p w:rsidR="006D3001" w:rsidRDefault="006D3001">
      <w:pPr>
        <w:pStyle w:val="newncpi"/>
      </w:pPr>
      <w:r>
        <w:t xml:space="preserve">По договорам </w:t>
      </w:r>
      <w:proofErr w:type="spellStart"/>
      <w:r>
        <w:t>сострахования</w:t>
      </w:r>
      <w:proofErr w:type="spellEnd"/>
      <w:r>
        <w:t xml:space="preserve"> сумма вознаграждения страховым агентам за заключение договоров страхования учитывается следующим образом:</w:t>
      </w:r>
    </w:p>
    <w:p w:rsidR="006D3001" w:rsidRDefault="006D3001">
      <w:pPr>
        <w:pStyle w:val="newncpi"/>
      </w:pPr>
      <w:r>
        <w:t xml:space="preserve">ведущий </w:t>
      </w:r>
      <w:proofErr w:type="spellStart"/>
      <w:r>
        <w:t>состраховщик</w:t>
      </w:r>
      <w:proofErr w:type="spellEnd"/>
      <w:r>
        <w:t xml:space="preserve">, получающий по договору </w:t>
      </w:r>
      <w:proofErr w:type="spellStart"/>
      <w:r>
        <w:t>сострахования</w:t>
      </w:r>
      <w:proofErr w:type="spellEnd"/>
      <w:r>
        <w:t xml:space="preserve"> вознаграждение (</w:t>
      </w:r>
      <w:proofErr w:type="spellStart"/>
      <w:r>
        <w:t>состраховочную</w:t>
      </w:r>
      <w:proofErr w:type="spellEnd"/>
      <w:r>
        <w:t xml:space="preserve"> комиссию), исключает из начисленной страховой брутто-премии, приходящейся на его долю, вознаграждение страховым агентам за заключение договора страхования в размере своей доли ответственности;</w:t>
      </w:r>
    </w:p>
    <w:p w:rsidR="006D3001" w:rsidRDefault="006D3001">
      <w:pPr>
        <w:pStyle w:val="newncpi"/>
      </w:pPr>
      <w:r>
        <w:t xml:space="preserve">ведущий </w:t>
      </w:r>
      <w:proofErr w:type="spellStart"/>
      <w:r>
        <w:t>состраховщик</w:t>
      </w:r>
      <w:proofErr w:type="spellEnd"/>
      <w:r>
        <w:t xml:space="preserve">, не получающий по договору </w:t>
      </w:r>
      <w:proofErr w:type="spellStart"/>
      <w:r>
        <w:t>сострахования</w:t>
      </w:r>
      <w:proofErr w:type="spellEnd"/>
      <w:r>
        <w:t xml:space="preserve"> вознаграждение (</w:t>
      </w:r>
      <w:proofErr w:type="spellStart"/>
      <w:r>
        <w:t>состраховочную</w:t>
      </w:r>
      <w:proofErr w:type="spellEnd"/>
      <w:r>
        <w:t xml:space="preserve"> комиссию), исключает из начисленной страховой брутто-премии, приходящейся на его долю, вознаграждение страховым агентам за заключение договора страхования полностью;</w:t>
      </w:r>
    </w:p>
    <w:p w:rsidR="006D3001" w:rsidRDefault="006D3001">
      <w:pPr>
        <w:pStyle w:val="newncpi"/>
      </w:pPr>
      <w:r>
        <w:t xml:space="preserve">страховщик, не являющийся ведущим </w:t>
      </w:r>
      <w:proofErr w:type="spellStart"/>
      <w:r>
        <w:t>состраховщиком</w:t>
      </w:r>
      <w:proofErr w:type="spellEnd"/>
      <w:r>
        <w:t>, исключает из начисленной страховой брутто-премии сумму вознаграждения (</w:t>
      </w:r>
      <w:proofErr w:type="spellStart"/>
      <w:r>
        <w:t>состраховочную</w:t>
      </w:r>
      <w:proofErr w:type="spellEnd"/>
      <w:r>
        <w:t xml:space="preserve"> комиссию), начисленного ведущему </w:t>
      </w:r>
      <w:proofErr w:type="spellStart"/>
      <w:r>
        <w:t>состраховщику</w:t>
      </w:r>
      <w:proofErr w:type="spellEnd"/>
      <w:r>
        <w:t>, в полном объеме.</w:t>
      </w:r>
    </w:p>
    <w:p w:rsidR="006D3001" w:rsidRDefault="006D3001">
      <w:pPr>
        <w:pStyle w:val="newncpi"/>
      </w:pPr>
      <w:r>
        <w:t>Для расчета незаработанной премии по договору (договорам), принятому в перестрахование, начисленная страховая брутто-премия по договору (договорам), принятому в перестрахование, уменьшается на сумму начисленного вознаграждения по договору (договорам), принятому в перестрахование.</w:t>
      </w:r>
    </w:p>
    <w:p w:rsidR="006D3001" w:rsidRDefault="006D3001">
      <w:pPr>
        <w:pStyle w:val="newncpi"/>
      </w:pPr>
      <w:r>
        <w:t xml:space="preserve">Полученные величины в дальнейшем именуются базовыми страховыми премиями по договорам страхования, </w:t>
      </w:r>
      <w:proofErr w:type="spellStart"/>
      <w:r>
        <w:t>сострахования</w:t>
      </w:r>
      <w:proofErr w:type="spellEnd"/>
      <w:r>
        <w:t>, договорам, принятым в перестрахование.</w:t>
      </w:r>
    </w:p>
    <w:p w:rsidR="006D3001" w:rsidRDefault="006D3001">
      <w:pPr>
        <w:pStyle w:val="newncpi"/>
      </w:pPr>
      <w:r>
        <w:t>В целях расчета РНП в случае, когда дата начала действия страхования наступает позднее даты заключения (подписания) договора страхования и расчет технических резервов производится до даты начала действия страхования, РНП принимается равным величине базовой страховой премии по договору.</w:t>
      </w:r>
    </w:p>
    <w:p w:rsidR="006D3001" w:rsidRDefault="006D3001">
      <w:pPr>
        <w:pStyle w:val="newncpi"/>
      </w:pPr>
      <w:r>
        <w:t xml:space="preserve">Величина РНП по договорам добровольного страхования предпринимательских рисков (финансовых рисков, риска непогашения кредита и т.п.), добровольного страхования </w:t>
      </w:r>
      <w:r>
        <w:lastRenderedPageBreak/>
        <w:t>ответственности за неисполнение (ненадлежащее исполнение) обязательств эмитента облигаций определяется по каждому договору страхования в размере базовой страховой премии до окончания срока его действия или в размере рассчитанного резерва одним из методов, указанных в пункте 18 настоящей Инструкции.</w:t>
      </w:r>
    </w:p>
    <w:p w:rsidR="006D3001" w:rsidRDefault="006D3001">
      <w:pPr>
        <w:pStyle w:val="point"/>
      </w:pPr>
      <w:r>
        <w:t>18. РНП по договору страхования (перестрахования) равен величине, исчисляемой пропорционально не истекшему на дату расчета сроку действия страховой защиты по договору страхования (перестрахования).</w:t>
      </w:r>
    </w:p>
    <w:p w:rsidR="006D3001" w:rsidRDefault="006D3001">
      <w:pPr>
        <w:pStyle w:val="newncpi"/>
      </w:pPr>
      <w:r>
        <w:t>Для расчета величины незаработанной премии (РНП) используются следующие методы:</w:t>
      </w:r>
    </w:p>
    <w:p w:rsidR="006D3001" w:rsidRDefault="006D3001">
      <w:pPr>
        <w:pStyle w:val="newncpi"/>
      </w:pPr>
      <w:r>
        <w:t>«</w:t>
      </w:r>
      <w:proofErr w:type="spellStart"/>
      <w:r>
        <w:t>pro</w:t>
      </w:r>
      <w:proofErr w:type="spellEnd"/>
      <w:r>
        <w:t xml:space="preserve"> </w:t>
      </w:r>
      <w:proofErr w:type="spellStart"/>
      <w:r>
        <w:t>rata</w:t>
      </w:r>
      <w:proofErr w:type="spellEnd"/>
      <w:r>
        <w:t xml:space="preserve"> </w:t>
      </w:r>
      <w:proofErr w:type="spellStart"/>
      <w:r>
        <w:t>temporis</w:t>
      </w:r>
      <w:proofErr w:type="spellEnd"/>
      <w:r>
        <w:t>»;</w:t>
      </w:r>
    </w:p>
    <w:p w:rsidR="006D3001" w:rsidRDefault="006D3001">
      <w:pPr>
        <w:pStyle w:val="newncpi"/>
      </w:pPr>
      <w:r>
        <w:t>«одной двадцать четвертой» (далее – «1/24»).</w:t>
      </w:r>
    </w:p>
    <w:p w:rsidR="006D3001" w:rsidRDefault="006D3001">
      <w:pPr>
        <w:pStyle w:val="point"/>
      </w:pPr>
      <w:r>
        <w:t>19. Незаработанная премия методом «</w:t>
      </w:r>
      <w:proofErr w:type="spellStart"/>
      <w:r>
        <w:t>pro</w:t>
      </w:r>
      <w:proofErr w:type="spellEnd"/>
      <w:r>
        <w:t xml:space="preserve"> </w:t>
      </w:r>
      <w:proofErr w:type="spellStart"/>
      <w:r>
        <w:t>rata</w:t>
      </w:r>
      <w:proofErr w:type="spellEnd"/>
      <w:r>
        <w:t xml:space="preserve"> </w:t>
      </w:r>
      <w:proofErr w:type="spellStart"/>
      <w:r>
        <w:t>temporis</w:t>
      </w:r>
      <w:proofErr w:type="spellEnd"/>
      <w:r>
        <w:t xml:space="preserve">» определяется по каждому договору страхования (перестрахования) как произведение базовой страховой премии по договору на отношение </w:t>
      </w:r>
      <w:proofErr w:type="spellStart"/>
      <w:r>
        <w:t>неистекшего</w:t>
      </w:r>
      <w:proofErr w:type="spellEnd"/>
      <w:r>
        <w:t xml:space="preserve"> на отчетную дату срока действия страховой защиты по договору (в днях) ко всему сроку действия страховой защиты по договору (в днях) по следующей формуле:</w:t>
      </w:r>
    </w:p>
    <w:p w:rsidR="006D3001" w:rsidRDefault="006D3001">
      <w:pPr>
        <w:pStyle w:val="newncpi"/>
      </w:pPr>
      <w:r>
        <w:t> </w:t>
      </w:r>
    </w:p>
    <w:tbl>
      <w:tblPr>
        <w:tblW w:w="5000" w:type="pct"/>
        <w:tblCellMar>
          <w:left w:w="0" w:type="dxa"/>
          <w:right w:w="0" w:type="dxa"/>
        </w:tblCellMar>
        <w:tblLook w:val="04A0" w:firstRow="1" w:lastRow="0" w:firstColumn="1" w:lastColumn="0" w:noHBand="0" w:noVBand="1"/>
      </w:tblPr>
      <w:tblGrid>
        <w:gridCol w:w="4342"/>
        <w:gridCol w:w="948"/>
        <w:gridCol w:w="4096"/>
      </w:tblGrid>
      <w:tr w:rsidR="006D3001">
        <w:tc>
          <w:tcPr>
            <w:tcW w:w="2313" w:type="pct"/>
            <w:vMerge w:val="restart"/>
            <w:tcMar>
              <w:top w:w="0" w:type="dxa"/>
              <w:left w:w="6" w:type="dxa"/>
              <w:bottom w:w="0" w:type="dxa"/>
              <w:right w:w="6" w:type="dxa"/>
            </w:tcMar>
            <w:vAlign w:val="center"/>
            <w:hideMark/>
          </w:tcPr>
          <w:p w:rsidR="006D3001" w:rsidRDefault="006D3001">
            <w:pPr>
              <w:pStyle w:val="newncpi"/>
              <w:ind w:firstLine="0"/>
              <w:jc w:val="right"/>
            </w:pPr>
            <w:proofErr w:type="spellStart"/>
            <w:r>
              <w:t>НП</w:t>
            </w:r>
            <w:r>
              <w:rPr>
                <w:vertAlign w:val="subscript"/>
              </w:rPr>
              <w:t>i</w:t>
            </w:r>
            <w:proofErr w:type="spellEnd"/>
            <w:r>
              <w:t xml:space="preserve"> </w:t>
            </w:r>
            <w:proofErr w:type="gramStart"/>
            <w:r>
              <w:t xml:space="preserve">=  </w:t>
            </w:r>
            <w:proofErr w:type="spellStart"/>
            <w:r>
              <w:t>Тб</w:t>
            </w:r>
            <w:proofErr w:type="gramEnd"/>
            <w:r>
              <w:rPr>
                <w:vertAlign w:val="subscript"/>
              </w:rPr>
              <w:t>i</w:t>
            </w:r>
            <w:proofErr w:type="spellEnd"/>
          </w:p>
        </w:tc>
        <w:tc>
          <w:tcPr>
            <w:tcW w:w="505" w:type="pct"/>
            <w:tcBorders>
              <w:bottom w:val="single" w:sz="4" w:space="0" w:color="auto"/>
            </w:tcBorders>
            <w:tcMar>
              <w:top w:w="0" w:type="dxa"/>
              <w:left w:w="6" w:type="dxa"/>
              <w:bottom w:w="0" w:type="dxa"/>
              <w:right w:w="6" w:type="dxa"/>
            </w:tcMar>
            <w:hideMark/>
          </w:tcPr>
          <w:p w:rsidR="006D3001" w:rsidRDefault="006D3001">
            <w:pPr>
              <w:pStyle w:val="newncpi"/>
              <w:ind w:firstLine="0"/>
              <w:jc w:val="center"/>
            </w:pPr>
            <w:proofErr w:type="spellStart"/>
            <w:r>
              <w:t>n</w:t>
            </w:r>
            <w:r>
              <w:rPr>
                <w:vertAlign w:val="subscript"/>
              </w:rPr>
              <w:t>i</w:t>
            </w:r>
            <w:proofErr w:type="spellEnd"/>
            <w:r>
              <w:t xml:space="preserve"> – </w:t>
            </w:r>
            <w:proofErr w:type="spellStart"/>
            <w:r>
              <w:t>m</w:t>
            </w:r>
            <w:r>
              <w:rPr>
                <w:vertAlign w:val="subscript"/>
              </w:rPr>
              <w:t>i</w:t>
            </w:r>
            <w:proofErr w:type="spellEnd"/>
          </w:p>
        </w:tc>
        <w:tc>
          <w:tcPr>
            <w:tcW w:w="2182" w:type="pct"/>
            <w:vMerge w:val="restart"/>
            <w:tcMar>
              <w:top w:w="0" w:type="dxa"/>
              <w:left w:w="6" w:type="dxa"/>
              <w:bottom w:w="0" w:type="dxa"/>
              <w:right w:w="6" w:type="dxa"/>
            </w:tcMar>
            <w:vAlign w:val="center"/>
            <w:hideMark/>
          </w:tcPr>
          <w:p w:rsidR="006D3001" w:rsidRDefault="006D3001">
            <w:pPr>
              <w:pStyle w:val="newncpi"/>
              <w:ind w:firstLine="0"/>
            </w:pPr>
            <w:r>
              <w:t>,</w:t>
            </w:r>
          </w:p>
        </w:tc>
      </w:tr>
      <w:tr w:rsidR="006D3001">
        <w:tc>
          <w:tcPr>
            <w:tcW w:w="0" w:type="auto"/>
            <w:vMerge/>
            <w:vAlign w:val="center"/>
            <w:hideMark/>
          </w:tcPr>
          <w:p w:rsidR="006D3001" w:rsidRDefault="006D3001">
            <w:pPr>
              <w:rPr>
                <w:rFonts w:eastAsiaTheme="minorEastAsia"/>
                <w:sz w:val="24"/>
                <w:szCs w:val="24"/>
              </w:rPr>
            </w:pPr>
          </w:p>
        </w:tc>
        <w:tc>
          <w:tcPr>
            <w:tcW w:w="505" w:type="pct"/>
            <w:tcBorders>
              <w:top w:val="single" w:sz="4" w:space="0" w:color="auto"/>
            </w:tcBorders>
            <w:tcMar>
              <w:top w:w="0" w:type="dxa"/>
              <w:left w:w="6" w:type="dxa"/>
              <w:bottom w:w="0" w:type="dxa"/>
              <w:right w:w="6" w:type="dxa"/>
            </w:tcMar>
            <w:hideMark/>
          </w:tcPr>
          <w:p w:rsidR="006D3001" w:rsidRDefault="006D3001">
            <w:pPr>
              <w:pStyle w:val="newncpi"/>
              <w:ind w:firstLine="0"/>
              <w:jc w:val="center"/>
            </w:pPr>
            <w:proofErr w:type="spellStart"/>
            <w:r>
              <w:t>n</w:t>
            </w:r>
            <w:r>
              <w:rPr>
                <w:vertAlign w:val="subscript"/>
              </w:rPr>
              <w:t>i</w:t>
            </w:r>
            <w:proofErr w:type="spellEnd"/>
          </w:p>
        </w:tc>
        <w:tc>
          <w:tcPr>
            <w:tcW w:w="0" w:type="auto"/>
            <w:vMerge/>
            <w:vAlign w:val="center"/>
            <w:hideMark/>
          </w:tcPr>
          <w:p w:rsidR="006D3001" w:rsidRDefault="006D3001">
            <w:pPr>
              <w:rPr>
                <w:rFonts w:eastAsiaTheme="minorEastAsia"/>
                <w:sz w:val="24"/>
                <w:szCs w:val="24"/>
              </w:rPr>
            </w:pPr>
          </w:p>
        </w:tc>
      </w:tr>
    </w:tbl>
    <w:p w:rsidR="006D3001" w:rsidRDefault="006D3001">
      <w:pPr>
        <w:pStyle w:val="newncpi"/>
      </w:pPr>
      <w:r>
        <w:t> </w:t>
      </w:r>
    </w:p>
    <w:p w:rsidR="006D3001" w:rsidRDefault="006D3001">
      <w:pPr>
        <w:pStyle w:val="newncpi0"/>
      </w:pPr>
      <w:r>
        <w:t>где   </w:t>
      </w:r>
      <w:proofErr w:type="spellStart"/>
      <w:r>
        <w:t>НП</w:t>
      </w:r>
      <w:r>
        <w:rPr>
          <w:vertAlign w:val="subscript"/>
        </w:rPr>
        <w:t>i</w:t>
      </w:r>
      <w:proofErr w:type="spellEnd"/>
      <w:r>
        <w:t> – незаработанная премия по i-</w:t>
      </w:r>
      <w:proofErr w:type="spellStart"/>
      <w:r>
        <w:t>му</w:t>
      </w:r>
      <w:proofErr w:type="spellEnd"/>
      <w:r>
        <w:t xml:space="preserve"> договору страхования (перестрахования);</w:t>
      </w:r>
    </w:p>
    <w:p w:rsidR="006D3001" w:rsidRDefault="006D3001">
      <w:pPr>
        <w:pStyle w:val="newncpi"/>
      </w:pPr>
      <w:proofErr w:type="spellStart"/>
      <w:r>
        <w:t>Тб</w:t>
      </w:r>
      <w:r>
        <w:rPr>
          <w:vertAlign w:val="subscript"/>
        </w:rPr>
        <w:t>i</w:t>
      </w:r>
      <w:proofErr w:type="spellEnd"/>
      <w:r>
        <w:t> – базовая страховая премия по i-</w:t>
      </w:r>
      <w:proofErr w:type="spellStart"/>
      <w:r>
        <w:t>му</w:t>
      </w:r>
      <w:proofErr w:type="spellEnd"/>
      <w:r>
        <w:t xml:space="preserve"> договору страхования (перестрахования);</w:t>
      </w:r>
    </w:p>
    <w:p w:rsidR="006D3001" w:rsidRDefault="006D3001">
      <w:pPr>
        <w:pStyle w:val="newncpi"/>
      </w:pPr>
      <w:proofErr w:type="spellStart"/>
      <w:r>
        <w:t>n</w:t>
      </w:r>
      <w:r>
        <w:rPr>
          <w:vertAlign w:val="subscript"/>
        </w:rPr>
        <w:t>i</w:t>
      </w:r>
      <w:proofErr w:type="spellEnd"/>
      <w:r>
        <w:t> – срок действия страховой защиты по i-</w:t>
      </w:r>
      <w:proofErr w:type="spellStart"/>
      <w:r>
        <w:t>му</w:t>
      </w:r>
      <w:proofErr w:type="spellEnd"/>
      <w:r>
        <w:t xml:space="preserve"> договору страхования (перестрахования);</w:t>
      </w:r>
    </w:p>
    <w:p w:rsidR="006D3001" w:rsidRDefault="006D3001">
      <w:pPr>
        <w:pStyle w:val="newncpi"/>
      </w:pPr>
      <w:proofErr w:type="spellStart"/>
      <w:r>
        <w:t>m</w:t>
      </w:r>
      <w:r>
        <w:rPr>
          <w:vertAlign w:val="subscript"/>
        </w:rPr>
        <w:t>i</w:t>
      </w:r>
      <w:proofErr w:type="spellEnd"/>
      <w:r>
        <w:t> – число дней с момента начала действия страховой защиты по i-</w:t>
      </w:r>
      <w:proofErr w:type="spellStart"/>
      <w:r>
        <w:t>му</w:t>
      </w:r>
      <w:proofErr w:type="spellEnd"/>
      <w:r>
        <w:t xml:space="preserve"> договору страхования (перестрахования) до отчетной даты.</w:t>
      </w:r>
    </w:p>
    <w:p w:rsidR="006D3001" w:rsidRDefault="006D3001">
      <w:pPr>
        <w:pStyle w:val="newncpi"/>
      </w:pPr>
      <w:r>
        <w:t>В случае если срок действия страховой защиты по договору страхования зависит от дополнительных условий, не позволяющих однозначно определить даты наступления и (или) окончания срока страховой защиты, расчет незаработанной премии по договору страхования возможно производить исходя из срока действия договора страхования в днях.</w:t>
      </w:r>
    </w:p>
    <w:p w:rsidR="006D3001" w:rsidRDefault="006D3001">
      <w:pPr>
        <w:pStyle w:val="newncpi"/>
      </w:pPr>
      <w:r>
        <w:t>РНП методом «</w:t>
      </w:r>
      <w:proofErr w:type="spellStart"/>
      <w:r>
        <w:t>pro</w:t>
      </w:r>
      <w:proofErr w:type="spellEnd"/>
      <w:r>
        <w:t xml:space="preserve"> </w:t>
      </w:r>
      <w:proofErr w:type="spellStart"/>
      <w:r>
        <w:t>rata</w:t>
      </w:r>
      <w:proofErr w:type="spellEnd"/>
      <w:r>
        <w:t xml:space="preserve"> </w:t>
      </w:r>
      <w:proofErr w:type="spellStart"/>
      <w:r>
        <w:t>temporis</w:t>
      </w:r>
      <w:proofErr w:type="spellEnd"/>
      <w:r>
        <w:t>» в целом по виду страхования определяется путем суммирования незаработанных премий, рассчитанных по каждому договору.</w:t>
      </w:r>
    </w:p>
    <w:p w:rsidR="006D3001" w:rsidRDefault="006D3001">
      <w:pPr>
        <w:pStyle w:val="point"/>
      </w:pPr>
      <w:r>
        <w:t>20. Для расчета РНП методом «1/24» договоры, относящиеся к одному виду страхования, группируют по подгруппам. В подгруппу включаются договоры с одинаковыми сроками действия (в месяцах) и с датами начала их действия, приходящимися на одинаковые месяцы. Общая сумма базовой страховой премии по договорам, входящим в подгруппу, определяется суммированием базовых страховых премий, рассчитанных по каждому договору, входящему в подгруппу.</w:t>
      </w:r>
    </w:p>
    <w:p w:rsidR="006D3001" w:rsidRDefault="006D3001">
      <w:pPr>
        <w:pStyle w:val="newncpi"/>
      </w:pPr>
      <w:r>
        <w:t>Для расчета РНП методом «1/24» принимается:</w:t>
      </w:r>
    </w:p>
    <w:p w:rsidR="006D3001" w:rsidRDefault="006D3001">
      <w:pPr>
        <w:pStyle w:val="newncpi"/>
      </w:pPr>
      <w:r>
        <w:t>дата начала действия договора приходится на середину месяца;</w:t>
      </w:r>
    </w:p>
    <w:p w:rsidR="006D3001" w:rsidRDefault="006D3001">
      <w:pPr>
        <w:pStyle w:val="newncpi"/>
      </w:pPr>
      <w:r>
        <w:t>срок действия договора, не равный целому числу месяцев, равен ближайшему большему целому числу месяцев.</w:t>
      </w:r>
    </w:p>
    <w:p w:rsidR="006D3001" w:rsidRDefault="006D3001">
      <w:pPr>
        <w:pStyle w:val="newncpi"/>
      </w:pPr>
      <w:r>
        <w:t xml:space="preserve">Незаработанная премия методом «1/24» рассчитывается отдельно по каждому договору страхования пропорционально </w:t>
      </w:r>
      <w:proofErr w:type="spellStart"/>
      <w:r>
        <w:t>неистекшему</w:t>
      </w:r>
      <w:proofErr w:type="spellEnd"/>
      <w:r>
        <w:t xml:space="preserve"> сроку его действия на расчетную дату как произведение принятой для расчета базовой страховой премии на отношение </w:t>
      </w:r>
      <w:proofErr w:type="spellStart"/>
      <w:r>
        <w:t>неистекшего</w:t>
      </w:r>
      <w:proofErr w:type="spellEnd"/>
      <w:r>
        <w:t xml:space="preserve"> срока действия договора страхования (в месяцах) ко всему сроку действия договора страхования (в месяцах) по следующей формуле:</w:t>
      </w:r>
    </w:p>
    <w:p w:rsidR="006D3001" w:rsidRDefault="006D3001">
      <w:pPr>
        <w:pStyle w:val="newncpi"/>
      </w:pPr>
      <w:r>
        <w:t> </w:t>
      </w:r>
    </w:p>
    <w:tbl>
      <w:tblPr>
        <w:tblW w:w="5000" w:type="pct"/>
        <w:tblCellMar>
          <w:left w:w="0" w:type="dxa"/>
          <w:right w:w="0" w:type="dxa"/>
        </w:tblCellMar>
        <w:tblLook w:val="04A0" w:firstRow="1" w:lastRow="0" w:firstColumn="1" w:lastColumn="0" w:noHBand="0" w:noVBand="1"/>
      </w:tblPr>
      <w:tblGrid>
        <w:gridCol w:w="4343"/>
        <w:gridCol w:w="1835"/>
        <w:gridCol w:w="3208"/>
      </w:tblGrid>
      <w:tr w:rsidR="006D3001">
        <w:tc>
          <w:tcPr>
            <w:tcW w:w="2313" w:type="pct"/>
            <w:vMerge w:val="restart"/>
            <w:tcMar>
              <w:top w:w="0" w:type="dxa"/>
              <w:left w:w="6" w:type="dxa"/>
              <w:bottom w:w="0" w:type="dxa"/>
              <w:right w:w="6" w:type="dxa"/>
            </w:tcMar>
            <w:vAlign w:val="center"/>
            <w:hideMark/>
          </w:tcPr>
          <w:p w:rsidR="006D3001" w:rsidRDefault="006D3001">
            <w:pPr>
              <w:pStyle w:val="newncpi"/>
              <w:ind w:firstLine="0"/>
              <w:jc w:val="right"/>
            </w:pPr>
            <w:proofErr w:type="spellStart"/>
            <w:r>
              <w:t>НП</w:t>
            </w:r>
            <w:r>
              <w:rPr>
                <w:vertAlign w:val="subscript"/>
              </w:rPr>
              <w:t>i</w:t>
            </w:r>
            <w:proofErr w:type="spellEnd"/>
            <w:r>
              <w:t xml:space="preserve"> </w:t>
            </w:r>
            <w:proofErr w:type="gramStart"/>
            <w:r>
              <w:t xml:space="preserve">=  </w:t>
            </w:r>
            <w:proofErr w:type="spellStart"/>
            <w:r>
              <w:t>Тб</w:t>
            </w:r>
            <w:proofErr w:type="gramEnd"/>
            <w:r>
              <w:rPr>
                <w:vertAlign w:val="subscript"/>
              </w:rPr>
              <w:t>i</w:t>
            </w:r>
            <w:proofErr w:type="spellEnd"/>
          </w:p>
        </w:tc>
        <w:tc>
          <w:tcPr>
            <w:tcW w:w="977" w:type="pct"/>
            <w:tcBorders>
              <w:bottom w:val="single" w:sz="4" w:space="0" w:color="auto"/>
            </w:tcBorders>
            <w:tcMar>
              <w:top w:w="0" w:type="dxa"/>
              <w:left w:w="6" w:type="dxa"/>
              <w:bottom w:w="0" w:type="dxa"/>
              <w:right w:w="6" w:type="dxa"/>
            </w:tcMar>
            <w:hideMark/>
          </w:tcPr>
          <w:p w:rsidR="006D3001" w:rsidRDefault="006D3001">
            <w:pPr>
              <w:pStyle w:val="newncpi"/>
              <w:ind w:firstLine="0"/>
              <w:jc w:val="center"/>
            </w:pPr>
            <w:r>
              <w:t>2 x (</w:t>
            </w:r>
            <w:proofErr w:type="spellStart"/>
            <w:r>
              <w:t>n</w:t>
            </w:r>
            <w:r>
              <w:rPr>
                <w:vertAlign w:val="subscript"/>
              </w:rPr>
              <w:t>i</w:t>
            </w:r>
            <w:proofErr w:type="spellEnd"/>
            <w:r>
              <w:t xml:space="preserve"> – </w:t>
            </w:r>
            <w:proofErr w:type="spellStart"/>
            <w:r>
              <w:t>m</w:t>
            </w:r>
            <w:r>
              <w:rPr>
                <w:vertAlign w:val="subscript"/>
              </w:rPr>
              <w:t>i</w:t>
            </w:r>
            <w:proofErr w:type="spellEnd"/>
            <w:r>
              <w:t>) + 1</w:t>
            </w:r>
          </w:p>
        </w:tc>
        <w:tc>
          <w:tcPr>
            <w:tcW w:w="1709" w:type="pct"/>
            <w:vMerge w:val="restart"/>
            <w:tcMar>
              <w:top w:w="0" w:type="dxa"/>
              <w:left w:w="6" w:type="dxa"/>
              <w:bottom w:w="0" w:type="dxa"/>
              <w:right w:w="6" w:type="dxa"/>
            </w:tcMar>
            <w:vAlign w:val="center"/>
            <w:hideMark/>
          </w:tcPr>
          <w:p w:rsidR="006D3001" w:rsidRDefault="006D3001">
            <w:pPr>
              <w:pStyle w:val="newncpi"/>
              <w:ind w:firstLine="0"/>
            </w:pPr>
            <w:r>
              <w:t>,</w:t>
            </w:r>
          </w:p>
        </w:tc>
      </w:tr>
      <w:tr w:rsidR="006D3001">
        <w:tc>
          <w:tcPr>
            <w:tcW w:w="0" w:type="auto"/>
            <w:vMerge/>
            <w:vAlign w:val="center"/>
            <w:hideMark/>
          </w:tcPr>
          <w:p w:rsidR="006D3001" w:rsidRDefault="006D3001">
            <w:pPr>
              <w:rPr>
                <w:rFonts w:eastAsiaTheme="minorEastAsia"/>
                <w:sz w:val="24"/>
                <w:szCs w:val="24"/>
              </w:rPr>
            </w:pPr>
          </w:p>
        </w:tc>
        <w:tc>
          <w:tcPr>
            <w:tcW w:w="977" w:type="pct"/>
            <w:tcBorders>
              <w:top w:val="single" w:sz="4" w:space="0" w:color="auto"/>
            </w:tcBorders>
            <w:tcMar>
              <w:top w:w="0" w:type="dxa"/>
              <w:left w:w="6" w:type="dxa"/>
              <w:bottom w:w="0" w:type="dxa"/>
              <w:right w:w="6" w:type="dxa"/>
            </w:tcMar>
            <w:hideMark/>
          </w:tcPr>
          <w:p w:rsidR="006D3001" w:rsidRDefault="006D3001">
            <w:pPr>
              <w:pStyle w:val="newncpi"/>
              <w:ind w:firstLine="0"/>
              <w:jc w:val="center"/>
            </w:pPr>
            <w:r>
              <w:t>2n</w:t>
            </w:r>
            <w:r>
              <w:rPr>
                <w:vertAlign w:val="subscript"/>
              </w:rPr>
              <w:t>i</w:t>
            </w:r>
          </w:p>
        </w:tc>
        <w:tc>
          <w:tcPr>
            <w:tcW w:w="0" w:type="auto"/>
            <w:vMerge/>
            <w:vAlign w:val="center"/>
            <w:hideMark/>
          </w:tcPr>
          <w:p w:rsidR="006D3001" w:rsidRDefault="006D3001">
            <w:pPr>
              <w:rPr>
                <w:rFonts w:eastAsiaTheme="minorEastAsia"/>
                <w:sz w:val="24"/>
                <w:szCs w:val="24"/>
              </w:rPr>
            </w:pPr>
          </w:p>
        </w:tc>
      </w:tr>
    </w:tbl>
    <w:p w:rsidR="006D3001" w:rsidRDefault="006D3001">
      <w:pPr>
        <w:pStyle w:val="newncpi"/>
      </w:pPr>
      <w:r>
        <w:t> </w:t>
      </w:r>
    </w:p>
    <w:p w:rsidR="006D3001" w:rsidRDefault="006D3001">
      <w:pPr>
        <w:pStyle w:val="newncpi0"/>
      </w:pPr>
      <w:r>
        <w:t>где   </w:t>
      </w:r>
      <w:proofErr w:type="spellStart"/>
      <w:r>
        <w:t>НП</w:t>
      </w:r>
      <w:r>
        <w:rPr>
          <w:vertAlign w:val="subscript"/>
        </w:rPr>
        <w:t>i</w:t>
      </w:r>
      <w:proofErr w:type="spellEnd"/>
      <w:r>
        <w:t> – незаработанная премия по i-</w:t>
      </w:r>
      <w:proofErr w:type="spellStart"/>
      <w:r>
        <w:t>му</w:t>
      </w:r>
      <w:proofErr w:type="spellEnd"/>
      <w:r>
        <w:t xml:space="preserve"> договору;</w:t>
      </w:r>
    </w:p>
    <w:p w:rsidR="006D3001" w:rsidRDefault="006D3001">
      <w:pPr>
        <w:pStyle w:val="newncpi"/>
      </w:pPr>
      <w:proofErr w:type="spellStart"/>
      <w:r>
        <w:t>Тб</w:t>
      </w:r>
      <w:r>
        <w:rPr>
          <w:vertAlign w:val="subscript"/>
        </w:rPr>
        <w:t>i</w:t>
      </w:r>
      <w:proofErr w:type="spellEnd"/>
      <w:r>
        <w:t> – базовая страховая премия по i-</w:t>
      </w:r>
      <w:proofErr w:type="spellStart"/>
      <w:r>
        <w:t>му</w:t>
      </w:r>
      <w:proofErr w:type="spellEnd"/>
      <w:r>
        <w:t xml:space="preserve"> договору;</w:t>
      </w:r>
    </w:p>
    <w:p w:rsidR="006D3001" w:rsidRDefault="006D3001">
      <w:pPr>
        <w:pStyle w:val="newncpi"/>
      </w:pPr>
      <w:proofErr w:type="spellStart"/>
      <w:r>
        <w:lastRenderedPageBreak/>
        <w:t>n</w:t>
      </w:r>
      <w:r>
        <w:rPr>
          <w:vertAlign w:val="subscript"/>
        </w:rPr>
        <w:t>i</w:t>
      </w:r>
      <w:proofErr w:type="spellEnd"/>
      <w:r>
        <w:t> – срок действия i-</w:t>
      </w:r>
      <w:proofErr w:type="spellStart"/>
      <w:r>
        <w:t>го</w:t>
      </w:r>
      <w:proofErr w:type="spellEnd"/>
      <w:r>
        <w:t xml:space="preserve"> договора страхования в месяцах;</w:t>
      </w:r>
    </w:p>
    <w:p w:rsidR="006D3001" w:rsidRDefault="006D3001">
      <w:pPr>
        <w:pStyle w:val="newncpi"/>
      </w:pPr>
      <w:proofErr w:type="spellStart"/>
      <w:r>
        <w:t>m</w:t>
      </w:r>
      <w:r>
        <w:rPr>
          <w:vertAlign w:val="subscript"/>
        </w:rPr>
        <w:t>i</w:t>
      </w:r>
      <w:proofErr w:type="spellEnd"/>
      <w:r>
        <w:t> – количество месяцев с момента вступления i-</w:t>
      </w:r>
      <w:proofErr w:type="spellStart"/>
      <w:r>
        <w:t>го</w:t>
      </w:r>
      <w:proofErr w:type="spellEnd"/>
      <w:r>
        <w:t xml:space="preserve"> договора страхования в силу до расчетной даты.</w:t>
      </w:r>
    </w:p>
    <w:p w:rsidR="006D3001" w:rsidRDefault="006D3001">
      <w:pPr>
        <w:pStyle w:val="newncpi"/>
      </w:pPr>
      <w:r>
        <w:t>Для упрощения в расчете неполный месяц учитывается как полный.</w:t>
      </w:r>
    </w:p>
    <w:p w:rsidR="006D3001" w:rsidRDefault="006D3001">
      <w:pPr>
        <w:pStyle w:val="newncpi"/>
      </w:pPr>
      <w:r>
        <w:t>РНП методом «1/24» в целом по виду страхования определяется путем суммирования рассчитанных РНП по каждой подгруппе.</w:t>
      </w:r>
    </w:p>
    <w:p w:rsidR="006D3001" w:rsidRDefault="006D3001">
      <w:pPr>
        <w:pStyle w:val="chapter"/>
      </w:pPr>
      <w:r>
        <w:t>ГЛАВА 4</w:t>
      </w:r>
      <w:r>
        <w:br/>
        <w:t>РАСЧЕТ РЕЗЕРВА ЗАЯВЛЕННЫХ, НО НЕУРЕГУЛИРОВАННЫХ УБЫТКОВ</w:t>
      </w:r>
    </w:p>
    <w:p w:rsidR="006D3001" w:rsidRDefault="006D3001">
      <w:pPr>
        <w:pStyle w:val="point"/>
      </w:pPr>
      <w:r>
        <w:t>21. Расчет РЗУ производится отдельно по каждому виду страхования.</w:t>
      </w:r>
    </w:p>
    <w:p w:rsidR="006D3001" w:rsidRDefault="006D3001">
      <w:pPr>
        <w:pStyle w:val="newncpi"/>
      </w:pPr>
      <w:r>
        <w:t>Общая величина РЗУ определяется путем суммирования РЗУ, рассчитанных по всем видам страхования.</w:t>
      </w:r>
    </w:p>
    <w:p w:rsidR="006D3001" w:rsidRDefault="006D3001">
      <w:pPr>
        <w:pStyle w:val="point"/>
      </w:pPr>
      <w:r>
        <w:t>22. В качестве базы для расчета РЗУ принимается размер неурегулированных на отчетную дату обязательств страховщика, подлежащих оплате в связи:</w:t>
      </w:r>
    </w:p>
    <w:p w:rsidR="006D3001" w:rsidRDefault="006D3001">
      <w:pPr>
        <w:pStyle w:val="newncpi"/>
      </w:pPr>
      <w:r>
        <w:t xml:space="preserve">со страховыми случаями, о факте </w:t>
      </w:r>
      <w:proofErr w:type="gramStart"/>
      <w:r>
        <w:t>наступления</w:t>
      </w:r>
      <w:proofErr w:type="gramEnd"/>
      <w:r>
        <w:t xml:space="preserve"> которых в установленном законом или договором порядке заявлено страховщику;</w:t>
      </w:r>
    </w:p>
    <w:p w:rsidR="006D3001" w:rsidRDefault="006D3001">
      <w:pPr>
        <w:pStyle w:val="newncpi"/>
      </w:pPr>
      <w:r>
        <w:t>с досрочным прекращением (изменением условий) договоров в случаях, предусмотренных действующим законодательством.</w:t>
      </w:r>
    </w:p>
    <w:p w:rsidR="006D3001" w:rsidRDefault="006D3001">
      <w:pPr>
        <w:pStyle w:val="newncpi"/>
      </w:pPr>
      <w:r>
        <w:t>Для расчета РЗУ величина не урегулированных на отчетную дату обязательств может увеличиваться на сумму расходов по урегулированию убытков в размере, не превышающем 3 процентов от их величины.</w:t>
      </w:r>
    </w:p>
    <w:p w:rsidR="006D3001" w:rsidRDefault="006D3001">
      <w:pPr>
        <w:pStyle w:val="point"/>
      </w:pPr>
      <w:r>
        <w:t>23. В случае, если о страховом случае заявлено, но размер заявленного убытка, подлежащего оплате страховщиком в соответствии с условиями договора, не установлен, для расчета резерва принимается обоснованная максимально возможная величина убытка, не превышающая страховую сумму.</w:t>
      </w:r>
    </w:p>
    <w:p w:rsidR="006D3001" w:rsidRDefault="006D3001">
      <w:pPr>
        <w:pStyle w:val="newncpi"/>
      </w:pPr>
      <w:r>
        <w:t>При получении документов, подтверждающих размер заявленного убытка, резерв корректируется в соответствии с полученными документами.</w:t>
      </w:r>
    </w:p>
    <w:p w:rsidR="006D3001" w:rsidRDefault="006D3001">
      <w:pPr>
        <w:pStyle w:val="point"/>
      </w:pPr>
      <w:r>
        <w:t>24. Страховщик по согласованию с Министерством финансов может использовать актуарные методы расчета РЗУ в отношении возникших в результате наступления страхового случая обязательств страховщика по осуществлению периодических страховых выплат или обязательств страховщика по осуществлению отложенной страховой выплаты.</w:t>
      </w:r>
    </w:p>
    <w:p w:rsidR="006D3001" w:rsidRDefault="006D3001">
      <w:pPr>
        <w:pStyle w:val="chapter"/>
      </w:pPr>
      <w:r>
        <w:t>ГЛАВА 5</w:t>
      </w:r>
      <w:r>
        <w:br/>
        <w:t>РАСЧЕТ РЕЗЕРВА ПРОИЗОШЕДШИХ, НО НЕЗАЯВЛЕННЫХ УБЫТКОВ</w:t>
      </w:r>
    </w:p>
    <w:p w:rsidR="006D3001" w:rsidRDefault="006D3001">
      <w:pPr>
        <w:pStyle w:val="point"/>
      </w:pPr>
      <w:r>
        <w:t xml:space="preserve">25. Расчет РПНУ предназначен для обеспечения выполнения страховой организацией своих обязательств по договорам страхования (перестрахования) в связи с произошедшими страховыми случаями в течение отчетного года, о факте </w:t>
      </w:r>
      <w:proofErr w:type="gramStart"/>
      <w:r>
        <w:t>наступления</w:t>
      </w:r>
      <w:proofErr w:type="gramEnd"/>
      <w:r>
        <w:t xml:space="preserve"> которых страховщику не было заявлено на отчетную дату в установленном законом или договором страхования порядке.</w:t>
      </w:r>
    </w:p>
    <w:p w:rsidR="006D3001" w:rsidRDefault="006D3001">
      <w:pPr>
        <w:pStyle w:val="newncpi"/>
      </w:pPr>
      <w:r>
        <w:t>Величина РПНУ определяется в размере 5 процентов от общей суммы страховой премии по договорам страхования (перестрахования), поступившей за двенадцать месяцев, предшествующих расчетной дате.</w:t>
      </w:r>
    </w:p>
    <w:p w:rsidR="006D3001" w:rsidRDefault="006D3001">
      <w:pPr>
        <w:pStyle w:val="point"/>
      </w:pPr>
      <w:r>
        <w:t>26. Страховщик по согласованию с Министерством финансов может использовать иные актуарные методы определения размера РПНУ, основанные на данных о величинах оплаченных убытков (страховых выплат), величинах заявленных убытков, числе убытков и так далее, в случае, если на основании фактических данных о проведении операций по видам страхования, не относящимся к страхованию жизни, страховщиком может быть обосновано, что эти методы дают более точную оценку размера РПНУ.</w:t>
      </w:r>
    </w:p>
    <w:p w:rsidR="006D3001" w:rsidRDefault="006D3001">
      <w:pPr>
        <w:pStyle w:val="chapter"/>
      </w:pPr>
      <w:r>
        <w:t>ГЛАВА 6</w:t>
      </w:r>
      <w:r>
        <w:br/>
        <w:t>РАСЧЕТ СТАБИЛИЗАЦИОННОГО РЕЗЕРВА</w:t>
      </w:r>
    </w:p>
    <w:p w:rsidR="006D3001" w:rsidRDefault="006D3001">
      <w:pPr>
        <w:pStyle w:val="point"/>
      </w:pPr>
      <w:r>
        <w:lastRenderedPageBreak/>
        <w:t>27. По видам страхования, по которым возможно наступление страховых случаев, влекущих страховые выплаты в размерах, значительно превышающих ожидаемый уровень убыточности, в целях покрытия отрицательного финансового результата, полученного вследствие таких выплат, может создаваться СР.</w:t>
      </w:r>
    </w:p>
    <w:p w:rsidR="006D3001" w:rsidRDefault="006D3001">
      <w:pPr>
        <w:pStyle w:val="point"/>
      </w:pPr>
      <w:r>
        <w:t>28. Порядок, условия формирования и использования СР определяются страховой организацией по согласованию с Министерством финансов.</w:t>
      </w:r>
    </w:p>
    <w:p w:rsidR="006D3001" w:rsidRDefault="006D3001">
      <w:pPr>
        <w:pStyle w:val="chapter"/>
      </w:pPr>
      <w:r>
        <w:t>ГЛАВА 7</w:t>
      </w:r>
      <w:r>
        <w:br/>
        <w:t>ОПРЕДЕЛЕНИЕ ДОЛИ СТРАХОВЩИКА И ДОЛИ ПЕРЕСТРАХОВЩИКА В СТРАХОВЫХ РЕЗЕРВАХ</w:t>
      </w:r>
    </w:p>
    <w:p w:rsidR="006D3001" w:rsidRDefault="006D3001">
      <w:pPr>
        <w:pStyle w:val="point"/>
      </w:pPr>
      <w:r>
        <w:t>29. При определении общей суммы технических резервов рассчитываются доля участия перестраховщика и доля страховой организации в ней.</w:t>
      </w:r>
    </w:p>
    <w:p w:rsidR="006D3001" w:rsidRDefault="006D3001">
      <w:pPr>
        <w:pStyle w:val="point"/>
      </w:pPr>
      <w:r>
        <w:t>30. Доля участия перестраховщика в РНП определяется исходя из базовой перестраховочной премии одним из следующих методов:</w:t>
      </w:r>
    </w:p>
    <w:p w:rsidR="006D3001" w:rsidRPr="006D3001" w:rsidRDefault="006D3001">
      <w:pPr>
        <w:pStyle w:val="newncpi"/>
        <w:rPr>
          <w:lang w:val="en-US"/>
        </w:rPr>
      </w:pPr>
      <w:r>
        <w:t>методом</w:t>
      </w:r>
      <w:r w:rsidRPr="006D3001">
        <w:rPr>
          <w:lang w:val="en-US"/>
        </w:rPr>
        <w:t xml:space="preserve"> «pro rata temporis»;</w:t>
      </w:r>
    </w:p>
    <w:p w:rsidR="006D3001" w:rsidRPr="006D3001" w:rsidRDefault="006D3001">
      <w:pPr>
        <w:pStyle w:val="newncpi"/>
        <w:rPr>
          <w:lang w:val="en-US"/>
        </w:rPr>
      </w:pPr>
      <w:r>
        <w:t>методом</w:t>
      </w:r>
      <w:r w:rsidRPr="006D3001">
        <w:rPr>
          <w:lang w:val="en-US"/>
        </w:rPr>
        <w:t xml:space="preserve"> «1/24».</w:t>
      </w:r>
    </w:p>
    <w:p w:rsidR="006D3001" w:rsidRDefault="006D3001">
      <w:pPr>
        <w:pStyle w:val="newncpi"/>
      </w:pPr>
      <w:r>
        <w:t>Базовая перестраховочная премия представляет собой сумму начисленной перестраховщику перестраховочной премии за минусом начисленного комиссионного вознаграждения.</w:t>
      </w:r>
    </w:p>
    <w:p w:rsidR="006D3001" w:rsidRDefault="006D3001">
      <w:pPr>
        <w:pStyle w:val="newncpi"/>
      </w:pPr>
      <w:r>
        <w:t>Незаработанная перестраховочная премия методом «</w:t>
      </w:r>
      <w:proofErr w:type="spellStart"/>
      <w:r>
        <w:t>pro</w:t>
      </w:r>
      <w:proofErr w:type="spellEnd"/>
      <w:r>
        <w:t xml:space="preserve"> </w:t>
      </w:r>
      <w:proofErr w:type="spellStart"/>
      <w:r>
        <w:t>rata</w:t>
      </w:r>
      <w:proofErr w:type="spellEnd"/>
      <w:r>
        <w:t xml:space="preserve"> </w:t>
      </w:r>
      <w:proofErr w:type="spellStart"/>
      <w:r>
        <w:t>temporis</w:t>
      </w:r>
      <w:proofErr w:type="spellEnd"/>
      <w:r>
        <w:t xml:space="preserve">» определяется по каждому договору страхования, переданному в перестрахование, как произведение базовой перестраховочной премии по договору на отношение </w:t>
      </w:r>
      <w:proofErr w:type="spellStart"/>
      <w:r>
        <w:t>неистекшего</w:t>
      </w:r>
      <w:proofErr w:type="spellEnd"/>
      <w:r>
        <w:t xml:space="preserve"> на отчетную дату срока действия перестраховочной защиты по договору (в днях) ко всему сроку действия перестраховочной защиты по договору (в днях) по следующей формуле:</w:t>
      </w:r>
    </w:p>
    <w:p w:rsidR="006D3001" w:rsidRDefault="006D3001">
      <w:pPr>
        <w:pStyle w:val="newncpi"/>
      </w:pPr>
      <w:r>
        <w:t> </w:t>
      </w:r>
    </w:p>
    <w:tbl>
      <w:tblPr>
        <w:tblW w:w="5000" w:type="pct"/>
        <w:tblCellMar>
          <w:left w:w="0" w:type="dxa"/>
          <w:right w:w="0" w:type="dxa"/>
        </w:tblCellMar>
        <w:tblLook w:val="04A0" w:firstRow="1" w:lastRow="0" w:firstColumn="1" w:lastColumn="0" w:noHBand="0" w:noVBand="1"/>
      </w:tblPr>
      <w:tblGrid>
        <w:gridCol w:w="4342"/>
        <w:gridCol w:w="948"/>
        <w:gridCol w:w="4096"/>
      </w:tblGrid>
      <w:tr w:rsidR="006D3001">
        <w:tc>
          <w:tcPr>
            <w:tcW w:w="2313" w:type="pct"/>
            <w:vMerge w:val="restart"/>
            <w:tcMar>
              <w:top w:w="0" w:type="dxa"/>
              <w:left w:w="6" w:type="dxa"/>
              <w:bottom w:w="0" w:type="dxa"/>
              <w:right w:w="6" w:type="dxa"/>
            </w:tcMar>
            <w:vAlign w:val="center"/>
            <w:hideMark/>
          </w:tcPr>
          <w:p w:rsidR="006D3001" w:rsidRDefault="006D3001">
            <w:pPr>
              <w:pStyle w:val="newncpi"/>
              <w:ind w:firstLine="0"/>
              <w:jc w:val="right"/>
            </w:pPr>
            <w:proofErr w:type="spellStart"/>
            <w:r>
              <w:t>НП</w:t>
            </w:r>
            <w:r>
              <w:rPr>
                <w:i/>
                <w:iCs/>
                <w:vertAlign w:val="subscript"/>
              </w:rPr>
              <w:t>i</w:t>
            </w:r>
            <w:proofErr w:type="spellEnd"/>
            <w:r>
              <w:t xml:space="preserve"> = </w:t>
            </w:r>
            <w:proofErr w:type="spellStart"/>
            <w:r>
              <w:t>Тб</w:t>
            </w:r>
            <w:r>
              <w:rPr>
                <w:i/>
                <w:iCs/>
                <w:vertAlign w:val="subscript"/>
              </w:rPr>
              <w:t>i</w:t>
            </w:r>
            <w:proofErr w:type="spellEnd"/>
            <w:r>
              <w:t> · </w:t>
            </w:r>
          </w:p>
        </w:tc>
        <w:tc>
          <w:tcPr>
            <w:tcW w:w="505" w:type="pct"/>
            <w:tcBorders>
              <w:bottom w:val="single" w:sz="4" w:space="0" w:color="auto"/>
            </w:tcBorders>
            <w:tcMar>
              <w:top w:w="0" w:type="dxa"/>
              <w:left w:w="6" w:type="dxa"/>
              <w:bottom w:w="0" w:type="dxa"/>
              <w:right w:w="6" w:type="dxa"/>
            </w:tcMar>
            <w:hideMark/>
          </w:tcPr>
          <w:p w:rsidR="006D3001" w:rsidRDefault="006D3001">
            <w:pPr>
              <w:pStyle w:val="newncpi"/>
              <w:ind w:firstLine="0"/>
              <w:jc w:val="center"/>
            </w:pPr>
            <w:proofErr w:type="spellStart"/>
            <w:r>
              <w:rPr>
                <w:i/>
                <w:iCs/>
              </w:rPr>
              <w:t>n</w:t>
            </w:r>
            <w:r>
              <w:rPr>
                <w:i/>
                <w:iCs/>
                <w:vertAlign w:val="subscript"/>
              </w:rPr>
              <w:t>i</w:t>
            </w:r>
            <w:proofErr w:type="spellEnd"/>
            <w:r>
              <w:t xml:space="preserve"> – </w:t>
            </w:r>
            <w:proofErr w:type="spellStart"/>
            <w:r>
              <w:rPr>
                <w:i/>
                <w:iCs/>
              </w:rPr>
              <w:t>m</w:t>
            </w:r>
            <w:r>
              <w:rPr>
                <w:i/>
                <w:iCs/>
                <w:vertAlign w:val="subscript"/>
              </w:rPr>
              <w:t>i</w:t>
            </w:r>
            <w:proofErr w:type="spellEnd"/>
          </w:p>
        </w:tc>
        <w:tc>
          <w:tcPr>
            <w:tcW w:w="2182" w:type="pct"/>
            <w:vMerge w:val="restart"/>
            <w:tcMar>
              <w:top w:w="0" w:type="dxa"/>
              <w:left w:w="6" w:type="dxa"/>
              <w:bottom w:w="0" w:type="dxa"/>
              <w:right w:w="6" w:type="dxa"/>
            </w:tcMar>
            <w:vAlign w:val="center"/>
            <w:hideMark/>
          </w:tcPr>
          <w:p w:rsidR="006D3001" w:rsidRDefault="006D3001">
            <w:pPr>
              <w:pStyle w:val="newncpi"/>
              <w:ind w:firstLine="0"/>
            </w:pPr>
            <w:r>
              <w:t>,</w:t>
            </w:r>
          </w:p>
        </w:tc>
      </w:tr>
      <w:tr w:rsidR="006D3001">
        <w:tc>
          <w:tcPr>
            <w:tcW w:w="0" w:type="auto"/>
            <w:vMerge/>
            <w:vAlign w:val="center"/>
            <w:hideMark/>
          </w:tcPr>
          <w:p w:rsidR="006D3001" w:rsidRDefault="006D3001">
            <w:pPr>
              <w:rPr>
                <w:rFonts w:eastAsiaTheme="minorEastAsia"/>
                <w:sz w:val="24"/>
                <w:szCs w:val="24"/>
              </w:rPr>
            </w:pPr>
          </w:p>
        </w:tc>
        <w:tc>
          <w:tcPr>
            <w:tcW w:w="505" w:type="pct"/>
            <w:tcBorders>
              <w:top w:val="single" w:sz="4" w:space="0" w:color="auto"/>
            </w:tcBorders>
            <w:tcMar>
              <w:top w:w="0" w:type="dxa"/>
              <w:left w:w="6" w:type="dxa"/>
              <w:bottom w:w="0" w:type="dxa"/>
              <w:right w:w="6" w:type="dxa"/>
            </w:tcMar>
            <w:hideMark/>
          </w:tcPr>
          <w:p w:rsidR="006D3001" w:rsidRDefault="006D3001">
            <w:pPr>
              <w:pStyle w:val="newncpi"/>
              <w:ind w:firstLine="0"/>
              <w:jc w:val="center"/>
            </w:pPr>
            <w:proofErr w:type="spellStart"/>
            <w:r>
              <w:rPr>
                <w:i/>
                <w:iCs/>
              </w:rPr>
              <w:t>n</w:t>
            </w:r>
            <w:r>
              <w:rPr>
                <w:i/>
                <w:iCs/>
                <w:vertAlign w:val="subscript"/>
              </w:rPr>
              <w:t>i</w:t>
            </w:r>
            <w:proofErr w:type="spellEnd"/>
          </w:p>
        </w:tc>
        <w:tc>
          <w:tcPr>
            <w:tcW w:w="0" w:type="auto"/>
            <w:vMerge/>
            <w:vAlign w:val="center"/>
            <w:hideMark/>
          </w:tcPr>
          <w:p w:rsidR="006D3001" w:rsidRDefault="006D3001">
            <w:pPr>
              <w:rPr>
                <w:rFonts w:eastAsiaTheme="minorEastAsia"/>
                <w:sz w:val="24"/>
                <w:szCs w:val="24"/>
              </w:rPr>
            </w:pPr>
          </w:p>
        </w:tc>
      </w:tr>
    </w:tbl>
    <w:p w:rsidR="006D3001" w:rsidRDefault="006D3001">
      <w:pPr>
        <w:pStyle w:val="newncpi"/>
      </w:pPr>
      <w:r>
        <w:t> </w:t>
      </w:r>
    </w:p>
    <w:p w:rsidR="006D3001" w:rsidRDefault="006D3001">
      <w:pPr>
        <w:pStyle w:val="newncpi0"/>
      </w:pPr>
      <w:r>
        <w:t>где   </w:t>
      </w:r>
      <w:proofErr w:type="spellStart"/>
      <w:r>
        <w:t>НП</w:t>
      </w:r>
      <w:r>
        <w:rPr>
          <w:i/>
          <w:iCs/>
          <w:vertAlign w:val="subscript"/>
        </w:rPr>
        <w:t>i</w:t>
      </w:r>
      <w:proofErr w:type="spellEnd"/>
      <w:r>
        <w:t xml:space="preserve"> – незаработанная перестраховочная премия по </w:t>
      </w:r>
      <w:r>
        <w:rPr>
          <w:i/>
          <w:iCs/>
        </w:rPr>
        <w:t>i</w:t>
      </w:r>
      <w:r>
        <w:t>-</w:t>
      </w:r>
      <w:proofErr w:type="spellStart"/>
      <w:r>
        <w:t>му</w:t>
      </w:r>
      <w:proofErr w:type="spellEnd"/>
      <w:r>
        <w:t xml:space="preserve"> договору перестрахования;</w:t>
      </w:r>
    </w:p>
    <w:p w:rsidR="006D3001" w:rsidRDefault="006D3001">
      <w:pPr>
        <w:pStyle w:val="newncpi"/>
      </w:pPr>
      <w:proofErr w:type="spellStart"/>
      <w:r>
        <w:t>Тб</w:t>
      </w:r>
      <w:r>
        <w:rPr>
          <w:i/>
          <w:iCs/>
          <w:vertAlign w:val="subscript"/>
        </w:rPr>
        <w:t>i</w:t>
      </w:r>
      <w:proofErr w:type="spellEnd"/>
      <w:r>
        <w:t xml:space="preserve"> – базовая перестраховочная премия по </w:t>
      </w:r>
      <w:r>
        <w:rPr>
          <w:i/>
          <w:iCs/>
        </w:rPr>
        <w:t>i</w:t>
      </w:r>
      <w:r>
        <w:t>-</w:t>
      </w:r>
      <w:proofErr w:type="spellStart"/>
      <w:r>
        <w:t>му</w:t>
      </w:r>
      <w:proofErr w:type="spellEnd"/>
      <w:r>
        <w:t xml:space="preserve"> договору перестрахования;</w:t>
      </w:r>
    </w:p>
    <w:p w:rsidR="006D3001" w:rsidRDefault="006D3001">
      <w:pPr>
        <w:pStyle w:val="newncpi"/>
      </w:pPr>
      <w:proofErr w:type="spellStart"/>
      <w:r>
        <w:rPr>
          <w:i/>
          <w:iCs/>
        </w:rPr>
        <w:t>n</w:t>
      </w:r>
      <w:r>
        <w:rPr>
          <w:i/>
          <w:iCs/>
          <w:vertAlign w:val="subscript"/>
        </w:rPr>
        <w:t>i</w:t>
      </w:r>
      <w:proofErr w:type="spellEnd"/>
      <w:r>
        <w:t xml:space="preserve"> – срок действия перестраховочной защиты по </w:t>
      </w:r>
      <w:r>
        <w:rPr>
          <w:i/>
          <w:iCs/>
        </w:rPr>
        <w:t>i</w:t>
      </w:r>
      <w:r>
        <w:t>-</w:t>
      </w:r>
      <w:proofErr w:type="spellStart"/>
      <w:r>
        <w:t>му</w:t>
      </w:r>
      <w:proofErr w:type="spellEnd"/>
      <w:r>
        <w:t xml:space="preserve"> договору перестрахования;</w:t>
      </w:r>
    </w:p>
    <w:p w:rsidR="006D3001" w:rsidRDefault="006D3001">
      <w:pPr>
        <w:pStyle w:val="newncpi"/>
      </w:pPr>
      <w:proofErr w:type="spellStart"/>
      <w:r>
        <w:rPr>
          <w:i/>
          <w:iCs/>
        </w:rPr>
        <w:t>m</w:t>
      </w:r>
      <w:r>
        <w:rPr>
          <w:i/>
          <w:iCs/>
          <w:vertAlign w:val="subscript"/>
        </w:rPr>
        <w:t>i</w:t>
      </w:r>
      <w:proofErr w:type="spellEnd"/>
      <w:r>
        <w:t xml:space="preserve"> – число дней с момента начала действия перестраховочной защиты по </w:t>
      </w:r>
      <w:r>
        <w:rPr>
          <w:i/>
          <w:iCs/>
        </w:rPr>
        <w:t>i</w:t>
      </w:r>
      <w:r>
        <w:t>-</w:t>
      </w:r>
      <w:proofErr w:type="spellStart"/>
      <w:r>
        <w:t>му</w:t>
      </w:r>
      <w:proofErr w:type="spellEnd"/>
      <w:r>
        <w:t xml:space="preserve"> договору перестрахования до отчетной даты.</w:t>
      </w:r>
    </w:p>
    <w:p w:rsidR="006D3001" w:rsidRDefault="006D3001">
      <w:pPr>
        <w:pStyle w:val="newncpi"/>
      </w:pPr>
      <w:r>
        <w:t>В случае если срок действия перестраховочной защиты по договору страхования зависит от дополнительных условий, не позволяющих однозначно определить даты наступления и (или) окончания срока страховой защиты, расчет незаработанной перестраховочной премии по договору страхования возможно производить исходя из срока действия договора перестрахования в днях.</w:t>
      </w:r>
    </w:p>
    <w:p w:rsidR="006D3001" w:rsidRDefault="006D3001">
      <w:pPr>
        <w:pStyle w:val="newncpi"/>
      </w:pPr>
      <w:r>
        <w:t>Доля перестраховщика в РНП в целом по виду страхования определяется путем суммирования незаработанных перестраховочных премий, рассчитанных по каждому договору перестрахования.</w:t>
      </w:r>
    </w:p>
    <w:p w:rsidR="006D3001" w:rsidRDefault="006D3001">
      <w:pPr>
        <w:pStyle w:val="newncpi"/>
      </w:pPr>
      <w:r>
        <w:t xml:space="preserve">Незаработанная перестраховочная премия методом «1/24» рассчитывается отдельно по каждому договору перестрахования пропорционально </w:t>
      </w:r>
      <w:proofErr w:type="spellStart"/>
      <w:r>
        <w:t>неистекшему</w:t>
      </w:r>
      <w:proofErr w:type="spellEnd"/>
      <w:r>
        <w:t xml:space="preserve"> сроку его действия на расчетную дату как произведение принятой для расчета базовой перестраховочной премии на отношение </w:t>
      </w:r>
      <w:proofErr w:type="spellStart"/>
      <w:r>
        <w:t>неистекшего</w:t>
      </w:r>
      <w:proofErr w:type="spellEnd"/>
      <w:r>
        <w:t xml:space="preserve"> срока действия договора перестрахования (в месяцах) ко всему сроку действия договора перестрахования (в месяцах) по следующей формуле:</w:t>
      </w:r>
    </w:p>
    <w:p w:rsidR="006D3001" w:rsidRDefault="006D3001">
      <w:pPr>
        <w:pStyle w:val="newncpi"/>
      </w:pPr>
      <w:r>
        <w:t> </w:t>
      </w:r>
    </w:p>
    <w:tbl>
      <w:tblPr>
        <w:tblW w:w="5000" w:type="pct"/>
        <w:tblCellMar>
          <w:left w:w="0" w:type="dxa"/>
          <w:right w:w="0" w:type="dxa"/>
        </w:tblCellMar>
        <w:tblLook w:val="04A0" w:firstRow="1" w:lastRow="0" w:firstColumn="1" w:lastColumn="0" w:noHBand="0" w:noVBand="1"/>
      </w:tblPr>
      <w:tblGrid>
        <w:gridCol w:w="4343"/>
        <w:gridCol w:w="1835"/>
        <w:gridCol w:w="3208"/>
      </w:tblGrid>
      <w:tr w:rsidR="006D3001">
        <w:tc>
          <w:tcPr>
            <w:tcW w:w="2313" w:type="pct"/>
            <w:vMerge w:val="restart"/>
            <w:tcMar>
              <w:top w:w="0" w:type="dxa"/>
              <w:left w:w="6" w:type="dxa"/>
              <w:bottom w:w="0" w:type="dxa"/>
              <w:right w:w="6" w:type="dxa"/>
            </w:tcMar>
            <w:vAlign w:val="center"/>
            <w:hideMark/>
          </w:tcPr>
          <w:p w:rsidR="006D3001" w:rsidRDefault="006D3001">
            <w:pPr>
              <w:pStyle w:val="newncpi"/>
              <w:ind w:firstLine="0"/>
              <w:jc w:val="right"/>
            </w:pPr>
            <w:proofErr w:type="spellStart"/>
            <w:r>
              <w:t>НП</w:t>
            </w:r>
            <w:r>
              <w:rPr>
                <w:i/>
                <w:iCs/>
                <w:vertAlign w:val="subscript"/>
              </w:rPr>
              <w:t>i</w:t>
            </w:r>
            <w:proofErr w:type="spellEnd"/>
            <w:r>
              <w:t xml:space="preserve"> = </w:t>
            </w:r>
            <w:proofErr w:type="spellStart"/>
            <w:r>
              <w:t>Тб</w:t>
            </w:r>
            <w:r>
              <w:rPr>
                <w:i/>
                <w:iCs/>
                <w:vertAlign w:val="subscript"/>
              </w:rPr>
              <w:t>i</w:t>
            </w:r>
            <w:proofErr w:type="spellEnd"/>
            <w:r>
              <w:t> · </w:t>
            </w:r>
          </w:p>
        </w:tc>
        <w:tc>
          <w:tcPr>
            <w:tcW w:w="977" w:type="pct"/>
            <w:tcBorders>
              <w:bottom w:val="single" w:sz="4" w:space="0" w:color="auto"/>
            </w:tcBorders>
            <w:tcMar>
              <w:top w:w="0" w:type="dxa"/>
              <w:left w:w="6" w:type="dxa"/>
              <w:bottom w:w="0" w:type="dxa"/>
              <w:right w:w="6" w:type="dxa"/>
            </w:tcMar>
            <w:hideMark/>
          </w:tcPr>
          <w:p w:rsidR="006D3001" w:rsidRDefault="006D3001">
            <w:pPr>
              <w:pStyle w:val="newncpi"/>
              <w:ind w:firstLine="0"/>
              <w:jc w:val="center"/>
            </w:pPr>
            <w:r>
              <w:t>2 x (</w:t>
            </w:r>
            <w:proofErr w:type="spellStart"/>
            <w:r>
              <w:rPr>
                <w:i/>
                <w:iCs/>
              </w:rPr>
              <w:t>n</w:t>
            </w:r>
            <w:r>
              <w:rPr>
                <w:i/>
                <w:iCs/>
                <w:vertAlign w:val="subscript"/>
              </w:rPr>
              <w:t>i</w:t>
            </w:r>
            <w:proofErr w:type="spellEnd"/>
            <w:r>
              <w:t xml:space="preserve"> – </w:t>
            </w:r>
            <w:proofErr w:type="spellStart"/>
            <w:r>
              <w:rPr>
                <w:i/>
                <w:iCs/>
              </w:rPr>
              <w:t>m</w:t>
            </w:r>
            <w:r>
              <w:rPr>
                <w:i/>
                <w:iCs/>
                <w:vertAlign w:val="subscript"/>
              </w:rPr>
              <w:t>i</w:t>
            </w:r>
            <w:proofErr w:type="spellEnd"/>
            <w:r>
              <w:t>) + 1</w:t>
            </w:r>
          </w:p>
        </w:tc>
        <w:tc>
          <w:tcPr>
            <w:tcW w:w="1709" w:type="pct"/>
            <w:vMerge w:val="restart"/>
            <w:tcMar>
              <w:top w:w="0" w:type="dxa"/>
              <w:left w:w="6" w:type="dxa"/>
              <w:bottom w:w="0" w:type="dxa"/>
              <w:right w:w="6" w:type="dxa"/>
            </w:tcMar>
            <w:vAlign w:val="center"/>
            <w:hideMark/>
          </w:tcPr>
          <w:p w:rsidR="006D3001" w:rsidRDefault="006D3001">
            <w:pPr>
              <w:pStyle w:val="newncpi"/>
              <w:ind w:firstLine="0"/>
            </w:pPr>
            <w:r>
              <w:t>,</w:t>
            </w:r>
          </w:p>
        </w:tc>
      </w:tr>
      <w:tr w:rsidR="006D3001">
        <w:tc>
          <w:tcPr>
            <w:tcW w:w="0" w:type="auto"/>
            <w:vMerge/>
            <w:vAlign w:val="center"/>
            <w:hideMark/>
          </w:tcPr>
          <w:p w:rsidR="006D3001" w:rsidRDefault="006D3001">
            <w:pPr>
              <w:rPr>
                <w:rFonts w:eastAsiaTheme="minorEastAsia"/>
                <w:sz w:val="24"/>
                <w:szCs w:val="24"/>
              </w:rPr>
            </w:pPr>
          </w:p>
        </w:tc>
        <w:tc>
          <w:tcPr>
            <w:tcW w:w="977" w:type="pct"/>
            <w:tcBorders>
              <w:top w:val="single" w:sz="4" w:space="0" w:color="auto"/>
            </w:tcBorders>
            <w:tcMar>
              <w:top w:w="0" w:type="dxa"/>
              <w:left w:w="6" w:type="dxa"/>
              <w:bottom w:w="0" w:type="dxa"/>
              <w:right w:w="6" w:type="dxa"/>
            </w:tcMar>
            <w:hideMark/>
          </w:tcPr>
          <w:p w:rsidR="006D3001" w:rsidRDefault="006D3001">
            <w:pPr>
              <w:pStyle w:val="newncpi"/>
              <w:ind w:firstLine="0"/>
              <w:jc w:val="center"/>
            </w:pPr>
            <w:r>
              <w:t>2</w:t>
            </w:r>
            <w:r>
              <w:rPr>
                <w:i/>
                <w:iCs/>
              </w:rPr>
              <w:t>n</w:t>
            </w:r>
            <w:r>
              <w:rPr>
                <w:i/>
                <w:iCs/>
                <w:vertAlign w:val="subscript"/>
              </w:rPr>
              <w:t>i</w:t>
            </w:r>
          </w:p>
        </w:tc>
        <w:tc>
          <w:tcPr>
            <w:tcW w:w="0" w:type="auto"/>
            <w:vMerge/>
            <w:vAlign w:val="center"/>
            <w:hideMark/>
          </w:tcPr>
          <w:p w:rsidR="006D3001" w:rsidRDefault="006D3001">
            <w:pPr>
              <w:rPr>
                <w:rFonts w:eastAsiaTheme="minorEastAsia"/>
                <w:sz w:val="24"/>
                <w:szCs w:val="24"/>
              </w:rPr>
            </w:pPr>
          </w:p>
        </w:tc>
      </w:tr>
    </w:tbl>
    <w:p w:rsidR="006D3001" w:rsidRDefault="006D3001">
      <w:pPr>
        <w:pStyle w:val="newncpi"/>
      </w:pPr>
      <w:r>
        <w:t> </w:t>
      </w:r>
    </w:p>
    <w:p w:rsidR="006D3001" w:rsidRDefault="006D3001">
      <w:pPr>
        <w:pStyle w:val="newncpi0"/>
      </w:pPr>
      <w:r>
        <w:t>где   </w:t>
      </w:r>
      <w:proofErr w:type="spellStart"/>
      <w:r>
        <w:t>НП</w:t>
      </w:r>
      <w:r>
        <w:rPr>
          <w:i/>
          <w:iCs/>
          <w:vertAlign w:val="subscript"/>
        </w:rPr>
        <w:t>i</w:t>
      </w:r>
      <w:proofErr w:type="spellEnd"/>
      <w:r>
        <w:t xml:space="preserve"> – незаработанная перестраховочная премия по </w:t>
      </w:r>
      <w:r>
        <w:rPr>
          <w:i/>
          <w:iCs/>
        </w:rPr>
        <w:t>i</w:t>
      </w:r>
      <w:r>
        <w:t>-</w:t>
      </w:r>
      <w:proofErr w:type="spellStart"/>
      <w:r>
        <w:t>му</w:t>
      </w:r>
      <w:proofErr w:type="spellEnd"/>
      <w:r>
        <w:t xml:space="preserve"> договору;</w:t>
      </w:r>
    </w:p>
    <w:p w:rsidR="006D3001" w:rsidRDefault="006D3001">
      <w:pPr>
        <w:pStyle w:val="newncpi"/>
      </w:pPr>
      <w:proofErr w:type="spellStart"/>
      <w:r>
        <w:lastRenderedPageBreak/>
        <w:t>Тб</w:t>
      </w:r>
      <w:r>
        <w:rPr>
          <w:i/>
          <w:iCs/>
          <w:vertAlign w:val="subscript"/>
        </w:rPr>
        <w:t>i</w:t>
      </w:r>
      <w:proofErr w:type="spellEnd"/>
      <w:r>
        <w:t xml:space="preserve"> – базовая перестраховочная премия по </w:t>
      </w:r>
      <w:r>
        <w:rPr>
          <w:i/>
          <w:iCs/>
        </w:rPr>
        <w:t>i</w:t>
      </w:r>
      <w:r>
        <w:t>-</w:t>
      </w:r>
      <w:proofErr w:type="spellStart"/>
      <w:r>
        <w:t>му</w:t>
      </w:r>
      <w:proofErr w:type="spellEnd"/>
      <w:r>
        <w:t xml:space="preserve"> договору;</w:t>
      </w:r>
    </w:p>
    <w:p w:rsidR="006D3001" w:rsidRDefault="006D3001">
      <w:pPr>
        <w:pStyle w:val="newncpi"/>
      </w:pPr>
      <w:proofErr w:type="spellStart"/>
      <w:r>
        <w:rPr>
          <w:i/>
          <w:iCs/>
        </w:rPr>
        <w:t>n</w:t>
      </w:r>
      <w:r>
        <w:rPr>
          <w:i/>
          <w:iCs/>
          <w:vertAlign w:val="subscript"/>
        </w:rPr>
        <w:t>i</w:t>
      </w:r>
      <w:proofErr w:type="spellEnd"/>
      <w:r>
        <w:t xml:space="preserve"> – срок действия </w:t>
      </w:r>
      <w:r>
        <w:rPr>
          <w:i/>
          <w:iCs/>
        </w:rPr>
        <w:t>i</w:t>
      </w:r>
      <w:r>
        <w:t>-</w:t>
      </w:r>
      <w:proofErr w:type="spellStart"/>
      <w:r>
        <w:t>го</w:t>
      </w:r>
      <w:proofErr w:type="spellEnd"/>
      <w:r>
        <w:t xml:space="preserve"> договора перестрахования в месяцах;</w:t>
      </w:r>
    </w:p>
    <w:p w:rsidR="006D3001" w:rsidRDefault="006D3001">
      <w:pPr>
        <w:pStyle w:val="newncpi"/>
      </w:pPr>
      <w:proofErr w:type="spellStart"/>
      <w:r>
        <w:rPr>
          <w:i/>
          <w:iCs/>
        </w:rPr>
        <w:t>m</w:t>
      </w:r>
      <w:r>
        <w:rPr>
          <w:i/>
          <w:iCs/>
          <w:vertAlign w:val="subscript"/>
        </w:rPr>
        <w:t>i</w:t>
      </w:r>
      <w:proofErr w:type="spellEnd"/>
      <w:r>
        <w:t xml:space="preserve"> – количество месяцев с момента вступления </w:t>
      </w:r>
      <w:r>
        <w:rPr>
          <w:i/>
          <w:iCs/>
        </w:rPr>
        <w:t>i</w:t>
      </w:r>
      <w:r>
        <w:t>-</w:t>
      </w:r>
      <w:proofErr w:type="spellStart"/>
      <w:r>
        <w:t>го</w:t>
      </w:r>
      <w:proofErr w:type="spellEnd"/>
      <w:r>
        <w:t xml:space="preserve"> договора перестрахования в силу до расчетной даты.</w:t>
      </w:r>
    </w:p>
    <w:p w:rsidR="006D3001" w:rsidRDefault="006D3001">
      <w:pPr>
        <w:pStyle w:val="newncpi"/>
      </w:pPr>
      <w:r>
        <w:t>В расчете незаработанной перестраховочной премии методом «1/24» неполный месяц учитывается как полный.</w:t>
      </w:r>
    </w:p>
    <w:p w:rsidR="006D3001" w:rsidRDefault="006D3001">
      <w:pPr>
        <w:pStyle w:val="newncpi"/>
      </w:pPr>
      <w:r>
        <w:t>Доля перестраховщика в РНП методом «1/24» в целом по виду страхования определяется путем суммирования рассчитанных незаработанных перестраховочных премий по каждой подгруппе.</w:t>
      </w:r>
    </w:p>
    <w:p w:rsidR="006D3001" w:rsidRDefault="006D3001">
      <w:pPr>
        <w:pStyle w:val="point"/>
      </w:pPr>
      <w:r>
        <w:t>31. Доля участия перестраховщика в РПНУ определяется пропорционально отношению суммы страховой премии, переданной в перестрахование, к страховой премии по переданному в перестрахование договору.</w:t>
      </w:r>
    </w:p>
    <w:p w:rsidR="006D3001" w:rsidRDefault="006D3001">
      <w:pPr>
        <w:pStyle w:val="point"/>
      </w:pPr>
      <w:r>
        <w:t>32. Доля участия перестраховщика в РЗУ определяется в размере доли убытков, подлежащей возмещению перестраховщиком по условиям договора перестрахования.</w:t>
      </w:r>
    </w:p>
    <w:p w:rsidR="006D3001" w:rsidRDefault="006D3001">
      <w:pPr>
        <w:pStyle w:val="newncpi0"/>
      </w:pPr>
      <w:r>
        <w:t> </w:t>
      </w:r>
    </w:p>
    <w:tbl>
      <w:tblPr>
        <w:tblStyle w:val="tablencpi"/>
        <w:tblW w:w="5000" w:type="pct"/>
        <w:tblLook w:val="04A0" w:firstRow="1" w:lastRow="0" w:firstColumn="1" w:lastColumn="0" w:noHBand="0" w:noVBand="1"/>
      </w:tblPr>
      <w:tblGrid>
        <w:gridCol w:w="6863"/>
        <w:gridCol w:w="2523"/>
      </w:tblGrid>
      <w:tr w:rsidR="006D3001">
        <w:tc>
          <w:tcPr>
            <w:tcW w:w="3656" w:type="pct"/>
            <w:tcMar>
              <w:top w:w="0" w:type="dxa"/>
              <w:left w:w="6" w:type="dxa"/>
              <w:bottom w:w="0" w:type="dxa"/>
              <w:right w:w="6" w:type="dxa"/>
            </w:tcMar>
            <w:hideMark/>
          </w:tcPr>
          <w:p w:rsidR="006D3001" w:rsidRDefault="006D3001">
            <w:pPr>
              <w:pStyle w:val="newncpi"/>
            </w:pPr>
            <w:r>
              <w:t> </w:t>
            </w:r>
          </w:p>
        </w:tc>
        <w:tc>
          <w:tcPr>
            <w:tcW w:w="1344" w:type="pct"/>
            <w:tcMar>
              <w:top w:w="0" w:type="dxa"/>
              <w:left w:w="6" w:type="dxa"/>
              <w:bottom w:w="0" w:type="dxa"/>
              <w:right w:w="6" w:type="dxa"/>
            </w:tcMar>
            <w:hideMark/>
          </w:tcPr>
          <w:p w:rsidR="006D3001" w:rsidRDefault="006D3001">
            <w:pPr>
              <w:pStyle w:val="capu1"/>
            </w:pPr>
            <w:r>
              <w:t>УТВЕРЖДЕНО</w:t>
            </w:r>
          </w:p>
          <w:p w:rsidR="006D3001" w:rsidRDefault="006D3001">
            <w:pPr>
              <w:pStyle w:val="cap1"/>
            </w:pPr>
            <w:r>
              <w:t xml:space="preserve">Постановление </w:t>
            </w:r>
            <w:r>
              <w:br/>
              <w:t xml:space="preserve">Министерства финансов </w:t>
            </w:r>
            <w:r>
              <w:br/>
              <w:t>Республики Беларусь</w:t>
            </w:r>
          </w:p>
          <w:p w:rsidR="006D3001" w:rsidRDefault="006D3001">
            <w:pPr>
              <w:pStyle w:val="cap1"/>
            </w:pPr>
            <w:r>
              <w:t>17.12.2007 № 188</w:t>
            </w:r>
          </w:p>
        </w:tc>
      </w:tr>
    </w:tbl>
    <w:p w:rsidR="006D3001" w:rsidRDefault="006D3001">
      <w:pPr>
        <w:pStyle w:val="titleu"/>
      </w:pPr>
      <w:r>
        <w:t>ИНСТРУКЦИЯ</w:t>
      </w:r>
      <w:r>
        <w:br/>
        <w:t>о порядке и условиях образования страховых резервов страховых организаций, осуществляющих страхование жизни</w:t>
      </w:r>
    </w:p>
    <w:p w:rsidR="006D3001" w:rsidRDefault="006D3001">
      <w:pPr>
        <w:pStyle w:val="point"/>
      </w:pPr>
      <w:r>
        <w:t>1. Настоящая Инструкция устанавливает порядок и условия образования страховыми организациями, осуществляющими страхование жизни (далее – страховые организации), страховых резервов для обеспечения выполнения принятых на себя страховых обязательств:</w:t>
      </w:r>
    </w:p>
    <w:p w:rsidR="006D3001" w:rsidRDefault="006D3001">
      <w:pPr>
        <w:pStyle w:val="newncpi"/>
      </w:pPr>
      <w:r>
        <w:t>из начисленных (поступивших) страховых взносов по видам страхования, относящимся к страхованию жизни (включая договоры страхования, относящиеся к страхованию жизни, дополнительно предусматривающие личное страхование, не относящееся к страхованию жизни, за исключением добровольного страхования от несчастных случаев и болезней на время поездки за границу) (далее – математический резерв);</w:t>
      </w:r>
    </w:p>
    <w:p w:rsidR="006D3001" w:rsidRDefault="006D3001">
      <w:pPr>
        <w:pStyle w:val="newncpi"/>
      </w:pPr>
      <w:r>
        <w:t>из прибыли, полученной от осуществления инвестиций посредством вложения средств математических резервов по видам страхования, относящимся к страхованию жизни, и их размещения (далее – резерв дополнительных выплат).</w:t>
      </w:r>
    </w:p>
    <w:p w:rsidR="006D3001" w:rsidRDefault="006D3001">
      <w:pPr>
        <w:pStyle w:val="point"/>
      </w:pPr>
      <w:r>
        <w:t>2. Размер математического резерва и резерва дополнительных выплат рассчитывается ежемесячно на отчетную дату (конец отчетного периода) при составлении бухгалтерской отчетности.</w:t>
      </w:r>
    </w:p>
    <w:p w:rsidR="006D3001" w:rsidRDefault="006D3001">
      <w:pPr>
        <w:pStyle w:val="newncpi"/>
      </w:pPr>
      <w:r>
        <w:t>Расчет математического резерва и резерва дополнительных выплат производится на основании данных учета и отчетности.</w:t>
      </w:r>
    </w:p>
    <w:p w:rsidR="006D3001" w:rsidRDefault="006D3001">
      <w:pPr>
        <w:pStyle w:val="point"/>
      </w:pPr>
      <w:r>
        <w:t>3. Математический резерв образуется по видам страхования, которые страховая организация имеет право осуществлять (далее – виды страхования) в разрезе их разновидностей в белорусских рублях или иностранной валюте, в которой подлежат уплате (уплачены) страховые взносы или приняты обязательства по соответствующим видам страхования. В случае, когда по разным договорам в пределах одного вида (разновидности) страхования предусмотрено начисление различных норм доходности, математические резервы по каждому виду страхования группируются в разрезе норм доходности.</w:t>
      </w:r>
    </w:p>
    <w:p w:rsidR="006D3001" w:rsidRDefault="006D3001">
      <w:pPr>
        <w:pStyle w:val="newncpi"/>
      </w:pPr>
      <w:r>
        <w:t>Резерв дополнительных выплат образуется в белорусских рублях или иностранной валюте, в которой страховой организацией приняты обязательства.</w:t>
      </w:r>
    </w:p>
    <w:p w:rsidR="006D3001" w:rsidRDefault="006D3001">
      <w:pPr>
        <w:pStyle w:val="point"/>
      </w:pPr>
      <w:r>
        <w:lastRenderedPageBreak/>
        <w:t>4. Порядок представления необходимой информации для расчета математического резерва и резерва дополнительных выплат с указанием руководителей структурных подразделений, ответственных за полноту и достоверность исходной информации, правильность расчетов и наличие надлежаще оформленных документов по математическому резерву и резерву дополнительных выплат на начало каждого месяца, а также специалистов, ответственных за правильность формирования математического резерва и резерва дополнительных выплат, утверждается руководителем страховой организации.</w:t>
      </w:r>
    </w:p>
    <w:p w:rsidR="006D3001" w:rsidRDefault="006D3001">
      <w:pPr>
        <w:pStyle w:val="point"/>
      </w:pPr>
      <w:r>
        <w:t>5. Сведения о размере математического резерва по видам страхования и резерва дополнительных выплат специалисты отделов или отдельные структурные подразделения в зависимости от организационной структуры страховой организации представляют в бухгалтерию. Специалисты бухгалтерии на основании полученной информации определяют общую сумму математического резерва и резерва дополнительных выплат по страховой организации и производят соответствующие записи на счетах бухгалтерского учета при определении финансовых результатов за месяц.</w:t>
      </w:r>
    </w:p>
    <w:p w:rsidR="006D3001" w:rsidRDefault="006D3001">
      <w:pPr>
        <w:pStyle w:val="point"/>
      </w:pPr>
      <w:r>
        <w:t>5</w:t>
      </w:r>
      <w:r>
        <w:rPr>
          <w:vertAlign w:val="superscript"/>
        </w:rPr>
        <w:t>1</w:t>
      </w:r>
      <w:r>
        <w:t>. Страховая организация может использовать иные, чем предусмотренные в настоящей Инструкции, порядок и условия образования математического резерва по согласованию с Министерством финансов.</w:t>
      </w:r>
    </w:p>
    <w:p w:rsidR="006D3001" w:rsidRDefault="006D3001">
      <w:pPr>
        <w:pStyle w:val="newncpi"/>
      </w:pPr>
      <w:r>
        <w:t>Страховая организация в целях использования порядка и условий расчета математического резерва, отличных от порядка и условий, установленных в настоящей Инструкции, вправе не позднее чем за 45 дней до начала следующего отчетного года обратиться в Министерство финансов для согласования индивидуальных правил образования страховых резервов по видам страхования, относящимся к страхованию жизни (далее – индивидуальные правила).</w:t>
      </w:r>
    </w:p>
    <w:p w:rsidR="006D3001" w:rsidRDefault="006D3001">
      <w:pPr>
        <w:pStyle w:val="newncpi"/>
      </w:pPr>
      <w:r>
        <w:t>Согласование индивидуальных правил осуществляется Министерством финансов на основании документов, предусмотренных пунктом 15.14</w:t>
      </w:r>
      <w:r>
        <w:rPr>
          <w:vertAlign w:val="superscript"/>
        </w:rPr>
        <w:t>3</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w:t>
      </w:r>
    </w:p>
    <w:p w:rsidR="006D3001" w:rsidRDefault="006D3001">
      <w:pPr>
        <w:pStyle w:val="newncpi"/>
      </w:pPr>
      <w:r>
        <w:t>Министерство финансов отказывает в принятии заявления в случаях, установленных статьей 17 Закона Республики Беларусь от 28 октября 2008 г. № 433-З «Об основах административных процедур».</w:t>
      </w:r>
    </w:p>
    <w:p w:rsidR="006D3001" w:rsidRDefault="006D3001">
      <w:pPr>
        <w:pStyle w:val="newncpi"/>
      </w:pPr>
      <w:r>
        <w:t>Министерство финансов отказывает страховой организации в согласовании индивидуальных правил в случаях, определенных статьей 25 Закона Республики Беларусь «Об основах административных процедур».</w:t>
      </w:r>
    </w:p>
    <w:p w:rsidR="006D3001" w:rsidRDefault="006D3001">
      <w:pPr>
        <w:pStyle w:val="newncpi"/>
      </w:pPr>
      <w:r>
        <w:t>Министерство финансов согласовывает индивидуальные правила либо отказывает в их согласовании в срок, предусмотренный пунктом 15.14</w:t>
      </w:r>
      <w:r>
        <w:rPr>
          <w:vertAlign w:val="superscript"/>
        </w:rPr>
        <w:t>3</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6D3001" w:rsidRDefault="006D3001">
      <w:pPr>
        <w:pStyle w:val="newncpi"/>
      </w:pPr>
      <w:r>
        <w:t>Министерство финансов в письменной форме извещает страховую организацию о согласовании индивидуальных правил. При отказе в согласовании индивидуальных правил Министерство финансов извещает страховую организацию с указанием причины отказа.</w:t>
      </w:r>
    </w:p>
    <w:p w:rsidR="006D3001" w:rsidRDefault="006D3001">
      <w:pPr>
        <w:pStyle w:val="newncpi"/>
      </w:pPr>
      <w:r>
        <w:t>Индивидуальные правила применяются с отчетного года, следующего за годом согласования.</w:t>
      </w:r>
    </w:p>
    <w:p w:rsidR="006D3001" w:rsidRDefault="006D3001">
      <w:pPr>
        <w:pStyle w:val="point"/>
      </w:pPr>
      <w:r>
        <w:t>6. Исключен.</w:t>
      </w:r>
    </w:p>
    <w:p w:rsidR="006D3001" w:rsidRDefault="006D3001">
      <w:pPr>
        <w:pStyle w:val="point"/>
      </w:pPr>
      <w:r>
        <w:t xml:space="preserve">7. По договорам добровольного страхования жизни, предусматривающим страхование только на случай смерти или на случай смерти и дополнительно на случай причинения вреда жизни или здоровью застрахованного лица в результате несчастного случая, включая случаи утраты трудоспособности и получения инвалидности, а также наступления в жизни застрахованного лица иного предусмотренного в договоре страхового случая, и не устанавливающим условие о выплате страхового обеспечения в размере </w:t>
      </w:r>
      <w:r>
        <w:lastRenderedPageBreak/>
        <w:t>накопленной страховой суммы (лимита ответственности), страховая организация вправе для расчета страховых резервов использовать порядок и условия образования страховых резервов, установленные Инструкцией о порядке и условиях образования страховых резервов по видам страхования, не относящимся к страхованию жизни, утвержденной постановлением, утвердившим настоящую Инструкцию.</w:t>
      </w:r>
    </w:p>
    <w:p w:rsidR="006D3001" w:rsidRDefault="006D3001">
      <w:pPr>
        <w:pStyle w:val="point"/>
      </w:pPr>
      <w:r>
        <w:t>8. В качестве исходной базы для расчета математического резерва принимается страховая нетто-премия по виду страхования, которая определяется как произведение суммы страховой премии (брутто-премии), начисленной за отчетный месяц, и доли нетто-тарифа в структуре брутто-тарифа по данному виду страхования, предусмотренной в правилах страхования.</w:t>
      </w:r>
    </w:p>
    <w:p w:rsidR="006D3001" w:rsidRDefault="006D3001">
      <w:pPr>
        <w:pStyle w:val="point"/>
      </w:pPr>
      <w:r>
        <w:t>9. Математический резерв рассчитывается для каждой разновидности следующих видов страхования:</w:t>
      </w:r>
    </w:p>
    <w:p w:rsidR="006D3001" w:rsidRDefault="006D3001">
      <w:pPr>
        <w:pStyle w:val="newncpi"/>
      </w:pPr>
      <w:r>
        <w:t>страхование жизни (в том числе по договорам страхования жизни, дополнительно предусматривающим личное страхование, не относящееся к страхованию жизни, за исключением добровольного страхования от несчастных случаев и болезней на время поездки за границу);</w:t>
      </w:r>
    </w:p>
    <w:p w:rsidR="006D3001" w:rsidRDefault="006D3001">
      <w:pPr>
        <w:pStyle w:val="newncpi"/>
      </w:pPr>
      <w:r>
        <w:t>страхование дополнительной пенсии (в том числе по договорам страхования дополнительной пенсии, дополнительно предусматривающим личное страхование, не относящееся к страхованию жизни, за исключением добровольного страхования от несчастных случаев и болезней на время поездки за границу).</w:t>
      </w:r>
    </w:p>
    <w:p w:rsidR="006D3001" w:rsidRDefault="006D3001">
      <w:pPr>
        <w:pStyle w:val="point"/>
      </w:pPr>
      <w:r>
        <w:t>10. Математический резерв рассчитывается отдельно по каждому виду страхования (в разрезе разновидностей) по формуле</w:t>
      </w:r>
    </w:p>
    <w:p w:rsidR="006D3001" w:rsidRDefault="006D3001">
      <w:pPr>
        <w:pStyle w:val="newncpi0"/>
      </w:pPr>
      <w:r>
        <w:t> </w:t>
      </w:r>
    </w:p>
    <w:tbl>
      <w:tblPr>
        <w:tblW w:w="5000" w:type="pct"/>
        <w:tblCellMar>
          <w:left w:w="0" w:type="dxa"/>
          <w:right w:w="0" w:type="dxa"/>
        </w:tblCellMar>
        <w:tblLook w:val="04A0" w:firstRow="1" w:lastRow="0" w:firstColumn="1" w:lastColumn="0" w:noHBand="0" w:noVBand="1"/>
      </w:tblPr>
      <w:tblGrid>
        <w:gridCol w:w="2843"/>
        <w:gridCol w:w="428"/>
        <w:gridCol w:w="710"/>
        <w:gridCol w:w="428"/>
        <w:gridCol w:w="997"/>
        <w:gridCol w:w="426"/>
        <w:gridCol w:w="710"/>
        <w:gridCol w:w="428"/>
        <w:gridCol w:w="1278"/>
        <w:gridCol w:w="432"/>
        <w:gridCol w:w="706"/>
      </w:tblGrid>
      <w:tr w:rsidR="006D3001">
        <w:trPr>
          <w:trHeight w:val="240"/>
        </w:trPr>
        <w:tc>
          <w:tcPr>
            <w:tcW w:w="1515" w:type="pct"/>
            <w:vMerge w:val="restart"/>
            <w:tcMar>
              <w:top w:w="0" w:type="dxa"/>
              <w:left w:w="6" w:type="dxa"/>
              <w:bottom w:w="0" w:type="dxa"/>
              <w:right w:w="6" w:type="dxa"/>
            </w:tcMar>
            <w:vAlign w:val="center"/>
            <w:hideMark/>
          </w:tcPr>
          <w:p w:rsidR="006D3001" w:rsidRDefault="006D3001">
            <w:pPr>
              <w:pStyle w:val="newncpi0"/>
              <w:jc w:val="right"/>
            </w:pPr>
            <w:r>
              <w:t>P = (</w:t>
            </w:r>
            <w:proofErr w:type="spellStart"/>
            <w:r>
              <w:t>P</w:t>
            </w:r>
            <w:r>
              <w:rPr>
                <w:vertAlign w:val="subscript"/>
              </w:rPr>
              <w:t>н</w:t>
            </w:r>
            <w:proofErr w:type="spellEnd"/>
            <w:r>
              <w:t xml:space="preserve"> – B – I – R</w:t>
            </w:r>
            <w:r>
              <w:rPr>
                <w:vertAlign w:val="superscript"/>
              </w:rPr>
              <w:t>–</w:t>
            </w:r>
            <w:r>
              <w:rPr>
                <w:vertAlign w:val="subscript"/>
              </w:rPr>
              <w:t>o</w:t>
            </w:r>
            <w:r>
              <w:t>) x (1 + </w:t>
            </w:r>
          </w:p>
        </w:tc>
        <w:tc>
          <w:tcPr>
            <w:tcW w:w="228" w:type="pct"/>
            <w:tcBorders>
              <w:bottom w:val="single" w:sz="4" w:space="0" w:color="auto"/>
            </w:tcBorders>
            <w:tcMar>
              <w:top w:w="0" w:type="dxa"/>
              <w:left w:w="6" w:type="dxa"/>
              <w:bottom w:w="0" w:type="dxa"/>
              <w:right w:w="6" w:type="dxa"/>
            </w:tcMar>
            <w:hideMark/>
          </w:tcPr>
          <w:p w:rsidR="006D3001" w:rsidRDefault="006D3001">
            <w:pPr>
              <w:pStyle w:val="newncpi0"/>
              <w:jc w:val="center"/>
            </w:pPr>
            <w:r>
              <w:t>i</w:t>
            </w:r>
          </w:p>
        </w:tc>
        <w:tc>
          <w:tcPr>
            <w:tcW w:w="378" w:type="pct"/>
            <w:vMerge w:val="restart"/>
            <w:tcMar>
              <w:top w:w="0" w:type="dxa"/>
              <w:left w:w="6" w:type="dxa"/>
              <w:bottom w:w="0" w:type="dxa"/>
              <w:right w:w="6" w:type="dxa"/>
            </w:tcMar>
            <w:vAlign w:val="center"/>
            <w:hideMark/>
          </w:tcPr>
          <w:p w:rsidR="006D3001" w:rsidRDefault="006D3001">
            <w:pPr>
              <w:pStyle w:val="newncpi0"/>
              <w:jc w:val="left"/>
            </w:pPr>
            <w:r>
              <w:t>)</w:t>
            </w:r>
            <w:r>
              <w:rPr>
                <w:vertAlign w:val="superscript"/>
              </w:rPr>
              <w:t>1/12</w:t>
            </w:r>
            <w:r>
              <w:t xml:space="preserve"> +</w:t>
            </w:r>
          </w:p>
        </w:tc>
        <w:tc>
          <w:tcPr>
            <w:tcW w:w="228" w:type="pct"/>
            <w:vMerge w:val="restart"/>
            <w:tcMar>
              <w:top w:w="0" w:type="dxa"/>
              <w:left w:w="6" w:type="dxa"/>
              <w:bottom w:w="0" w:type="dxa"/>
              <w:right w:w="6" w:type="dxa"/>
            </w:tcMar>
            <w:hideMark/>
          </w:tcPr>
          <w:p w:rsidR="006D3001" w:rsidRDefault="006D3001">
            <w:pPr>
              <w:pStyle w:val="undline"/>
              <w:jc w:val="center"/>
            </w:pPr>
            <w:r>
              <w:t>n–1</w:t>
            </w:r>
          </w:p>
          <w:p w:rsidR="006D3001" w:rsidRDefault="006D3001">
            <w:pPr>
              <w:pStyle w:val="undline"/>
              <w:jc w:val="center"/>
              <w:rPr>
                <w:sz w:val="24"/>
                <w:szCs w:val="24"/>
              </w:rPr>
            </w:pPr>
            <w:r>
              <w:rPr>
                <w:rStyle w:val="onesymbol"/>
                <w:sz w:val="24"/>
                <w:szCs w:val="24"/>
              </w:rPr>
              <w:t></w:t>
            </w:r>
          </w:p>
          <w:p w:rsidR="006D3001" w:rsidRDefault="006D3001">
            <w:pPr>
              <w:pStyle w:val="undline"/>
              <w:jc w:val="center"/>
            </w:pPr>
            <w:r>
              <w:t>t=0</w:t>
            </w:r>
          </w:p>
        </w:tc>
        <w:tc>
          <w:tcPr>
            <w:tcW w:w="531" w:type="pct"/>
            <w:vMerge w:val="restart"/>
            <w:tcMar>
              <w:top w:w="0" w:type="dxa"/>
              <w:left w:w="6" w:type="dxa"/>
              <w:bottom w:w="0" w:type="dxa"/>
              <w:right w:w="6" w:type="dxa"/>
            </w:tcMar>
            <w:vAlign w:val="center"/>
            <w:hideMark/>
          </w:tcPr>
          <w:p w:rsidR="006D3001" w:rsidRDefault="006D3001">
            <w:pPr>
              <w:pStyle w:val="newncpi0"/>
            </w:pPr>
            <w:r>
              <w:t>(</w:t>
            </w:r>
            <w:proofErr w:type="spellStart"/>
            <w:r>
              <w:t>П</w:t>
            </w:r>
            <w:r>
              <w:rPr>
                <w:vertAlign w:val="subscript"/>
              </w:rPr>
              <w:t>ot</w:t>
            </w:r>
            <w:proofErr w:type="spellEnd"/>
            <w:r>
              <w:t xml:space="preserve"> x (1 +</w:t>
            </w:r>
          </w:p>
        </w:tc>
        <w:tc>
          <w:tcPr>
            <w:tcW w:w="227" w:type="pct"/>
            <w:tcBorders>
              <w:bottom w:val="single" w:sz="4" w:space="0" w:color="auto"/>
            </w:tcBorders>
            <w:tcMar>
              <w:top w:w="0" w:type="dxa"/>
              <w:left w:w="6" w:type="dxa"/>
              <w:bottom w:w="0" w:type="dxa"/>
              <w:right w:w="6" w:type="dxa"/>
            </w:tcMar>
            <w:hideMark/>
          </w:tcPr>
          <w:p w:rsidR="006D3001" w:rsidRDefault="006D3001">
            <w:pPr>
              <w:pStyle w:val="newncpi0"/>
              <w:jc w:val="center"/>
            </w:pPr>
            <w:r>
              <w:t>i</w:t>
            </w:r>
          </w:p>
        </w:tc>
        <w:tc>
          <w:tcPr>
            <w:tcW w:w="378" w:type="pct"/>
            <w:vMerge w:val="restart"/>
            <w:tcMar>
              <w:top w:w="0" w:type="dxa"/>
              <w:left w:w="6" w:type="dxa"/>
              <w:bottom w:w="0" w:type="dxa"/>
              <w:right w:w="6" w:type="dxa"/>
            </w:tcMar>
            <w:vAlign w:val="center"/>
            <w:hideMark/>
          </w:tcPr>
          <w:p w:rsidR="006D3001" w:rsidRDefault="006D3001">
            <w:pPr>
              <w:pStyle w:val="newncpi0"/>
              <w:jc w:val="left"/>
            </w:pPr>
            <w:proofErr w:type="gramStart"/>
            <w:r>
              <w:t>)</w:t>
            </w:r>
            <w:r>
              <w:rPr>
                <w:vertAlign w:val="superscript"/>
              </w:rPr>
              <w:t>t</w:t>
            </w:r>
            <w:proofErr w:type="gramEnd"/>
            <w:r>
              <w:rPr>
                <w:vertAlign w:val="superscript"/>
              </w:rPr>
              <w:t>/365</w:t>
            </w:r>
            <w:r>
              <w:t>) +</w:t>
            </w:r>
          </w:p>
        </w:tc>
        <w:tc>
          <w:tcPr>
            <w:tcW w:w="228" w:type="pct"/>
            <w:vMerge w:val="restart"/>
            <w:tcMar>
              <w:top w:w="0" w:type="dxa"/>
              <w:left w:w="6" w:type="dxa"/>
              <w:bottom w:w="0" w:type="dxa"/>
              <w:right w:w="6" w:type="dxa"/>
            </w:tcMar>
            <w:hideMark/>
          </w:tcPr>
          <w:p w:rsidR="006D3001" w:rsidRDefault="006D3001">
            <w:pPr>
              <w:pStyle w:val="undline"/>
              <w:jc w:val="center"/>
            </w:pPr>
            <w:r>
              <w:t>n–1</w:t>
            </w:r>
          </w:p>
          <w:p w:rsidR="006D3001" w:rsidRDefault="006D3001">
            <w:pPr>
              <w:pStyle w:val="undline"/>
              <w:jc w:val="center"/>
              <w:rPr>
                <w:sz w:val="24"/>
                <w:szCs w:val="24"/>
              </w:rPr>
            </w:pPr>
            <w:r>
              <w:rPr>
                <w:rStyle w:val="onesymbol"/>
                <w:sz w:val="24"/>
                <w:szCs w:val="24"/>
              </w:rPr>
              <w:t></w:t>
            </w:r>
          </w:p>
          <w:p w:rsidR="006D3001" w:rsidRDefault="006D3001">
            <w:pPr>
              <w:pStyle w:val="undline"/>
              <w:jc w:val="center"/>
            </w:pPr>
            <w:r>
              <w:t>t=0</w:t>
            </w:r>
          </w:p>
        </w:tc>
        <w:tc>
          <w:tcPr>
            <w:tcW w:w="681" w:type="pct"/>
            <w:vMerge w:val="restart"/>
            <w:tcMar>
              <w:top w:w="0" w:type="dxa"/>
              <w:left w:w="6" w:type="dxa"/>
              <w:bottom w:w="0" w:type="dxa"/>
              <w:right w:w="6" w:type="dxa"/>
            </w:tcMar>
            <w:vAlign w:val="center"/>
            <w:hideMark/>
          </w:tcPr>
          <w:p w:rsidR="006D3001" w:rsidRDefault="006D3001">
            <w:pPr>
              <w:pStyle w:val="newncpi0"/>
              <w:jc w:val="center"/>
            </w:pPr>
            <w:r>
              <w:t>(</w:t>
            </w:r>
            <w:proofErr w:type="spellStart"/>
            <w:r>
              <w:t>R</w:t>
            </w:r>
            <w:r>
              <w:rPr>
                <w:vertAlign w:val="superscript"/>
              </w:rPr>
              <w:t>+</w:t>
            </w:r>
            <w:r>
              <w:rPr>
                <w:vertAlign w:val="subscript"/>
              </w:rPr>
              <w:t>ot</w:t>
            </w:r>
            <w:proofErr w:type="spellEnd"/>
            <w:r>
              <w:t xml:space="preserve"> x (1 +</w:t>
            </w:r>
          </w:p>
        </w:tc>
        <w:tc>
          <w:tcPr>
            <w:tcW w:w="230" w:type="pct"/>
            <w:tcBorders>
              <w:bottom w:val="single" w:sz="4" w:space="0" w:color="auto"/>
            </w:tcBorders>
            <w:tcMar>
              <w:top w:w="0" w:type="dxa"/>
              <w:left w:w="6" w:type="dxa"/>
              <w:bottom w:w="0" w:type="dxa"/>
              <w:right w:w="6" w:type="dxa"/>
            </w:tcMar>
            <w:hideMark/>
          </w:tcPr>
          <w:p w:rsidR="006D3001" w:rsidRDefault="006D3001">
            <w:pPr>
              <w:pStyle w:val="newncpi0"/>
              <w:jc w:val="center"/>
            </w:pPr>
            <w:r>
              <w:t>i</w:t>
            </w:r>
          </w:p>
        </w:tc>
        <w:tc>
          <w:tcPr>
            <w:tcW w:w="376" w:type="pct"/>
            <w:vMerge w:val="restart"/>
            <w:tcMar>
              <w:top w:w="0" w:type="dxa"/>
              <w:left w:w="6" w:type="dxa"/>
              <w:bottom w:w="0" w:type="dxa"/>
              <w:right w:w="6" w:type="dxa"/>
            </w:tcMar>
            <w:vAlign w:val="center"/>
            <w:hideMark/>
          </w:tcPr>
          <w:p w:rsidR="006D3001" w:rsidRDefault="006D3001">
            <w:pPr>
              <w:pStyle w:val="newncpi0"/>
              <w:jc w:val="left"/>
            </w:pPr>
            <w:proofErr w:type="gramStart"/>
            <w:r>
              <w:t>)</w:t>
            </w:r>
            <w:r>
              <w:rPr>
                <w:vertAlign w:val="superscript"/>
              </w:rPr>
              <w:t>t</w:t>
            </w:r>
            <w:proofErr w:type="gramEnd"/>
            <w:r>
              <w:rPr>
                <w:vertAlign w:val="superscript"/>
              </w:rPr>
              <w:t>/365</w:t>
            </w:r>
            <w:r>
              <w:t>),</w:t>
            </w:r>
          </w:p>
        </w:tc>
      </w:tr>
      <w:tr w:rsidR="006D3001">
        <w:trPr>
          <w:trHeight w:val="240"/>
        </w:trPr>
        <w:tc>
          <w:tcPr>
            <w:tcW w:w="0" w:type="auto"/>
            <w:vMerge/>
            <w:vAlign w:val="center"/>
            <w:hideMark/>
          </w:tcPr>
          <w:p w:rsidR="006D3001" w:rsidRDefault="006D3001">
            <w:pPr>
              <w:rPr>
                <w:rFonts w:eastAsiaTheme="minorEastAsia"/>
                <w:sz w:val="24"/>
                <w:szCs w:val="24"/>
              </w:rPr>
            </w:pPr>
          </w:p>
        </w:tc>
        <w:tc>
          <w:tcPr>
            <w:tcW w:w="228" w:type="pct"/>
            <w:tcBorders>
              <w:top w:val="single" w:sz="4" w:space="0" w:color="auto"/>
            </w:tcBorders>
            <w:tcMar>
              <w:top w:w="0" w:type="dxa"/>
              <w:left w:w="6" w:type="dxa"/>
              <w:bottom w:w="0" w:type="dxa"/>
              <w:right w:w="6" w:type="dxa"/>
            </w:tcMar>
            <w:hideMark/>
          </w:tcPr>
          <w:p w:rsidR="006D3001" w:rsidRDefault="006D3001">
            <w:pPr>
              <w:pStyle w:val="newncpi0"/>
              <w:jc w:val="center"/>
            </w:pPr>
            <w:r>
              <w:t>100</w:t>
            </w:r>
          </w:p>
        </w:tc>
        <w:tc>
          <w:tcPr>
            <w:tcW w:w="0" w:type="auto"/>
            <w:vMerge/>
            <w:vAlign w:val="center"/>
            <w:hideMark/>
          </w:tcPr>
          <w:p w:rsidR="006D3001" w:rsidRDefault="006D3001">
            <w:pPr>
              <w:rPr>
                <w:rFonts w:eastAsiaTheme="minorEastAsia"/>
                <w:sz w:val="24"/>
                <w:szCs w:val="24"/>
              </w:rPr>
            </w:pPr>
          </w:p>
        </w:tc>
        <w:tc>
          <w:tcPr>
            <w:tcW w:w="0" w:type="auto"/>
            <w:vMerge/>
            <w:vAlign w:val="center"/>
            <w:hideMark/>
          </w:tcPr>
          <w:p w:rsidR="006D3001" w:rsidRDefault="006D3001">
            <w:pPr>
              <w:rPr>
                <w:rFonts w:eastAsiaTheme="minorEastAsia"/>
                <w:sz w:val="20"/>
                <w:szCs w:val="20"/>
              </w:rPr>
            </w:pPr>
          </w:p>
        </w:tc>
        <w:tc>
          <w:tcPr>
            <w:tcW w:w="0" w:type="auto"/>
            <w:vMerge/>
            <w:vAlign w:val="center"/>
            <w:hideMark/>
          </w:tcPr>
          <w:p w:rsidR="006D3001" w:rsidRDefault="006D3001">
            <w:pPr>
              <w:rPr>
                <w:rFonts w:eastAsiaTheme="minorEastAsia"/>
                <w:sz w:val="24"/>
                <w:szCs w:val="24"/>
              </w:rPr>
            </w:pPr>
          </w:p>
        </w:tc>
        <w:tc>
          <w:tcPr>
            <w:tcW w:w="227" w:type="pct"/>
            <w:tcBorders>
              <w:top w:val="single" w:sz="4" w:space="0" w:color="auto"/>
            </w:tcBorders>
            <w:tcMar>
              <w:top w:w="0" w:type="dxa"/>
              <w:left w:w="6" w:type="dxa"/>
              <w:bottom w:w="0" w:type="dxa"/>
              <w:right w:w="6" w:type="dxa"/>
            </w:tcMar>
            <w:hideMark/>
          </w:tcPr>
          <w:p w:rsidR="006D3001" w:rsidRDefault="006D3001">
            <w:pPr>
              <w:pStyle w:val="newncpi0"/>
              <w:jc w:val="center"/>
            </w:pPr>
            <w:r>
              <w:t>100</w:t>
            </w:r>
          </w:p>
        </w:tc>
        <w:tc>
          <w:tcPr>
            <w:tcW w:w="0" w:type="auto"/>
            <w:vMerge/>
            <w:vAlign w:val="center"/>
            <w:hideMark/>
          </w:tcPr>
          <w:p w:rsidR="006D3001" w:rsidRDefault="006D3001">
            <w:pPr>
              <w:rPr>
                <w:rFonts w:eastAsiaTheme="minorEastAsia"/>
                <w:sz w:val="24"/>
                <w:szCs w:val="24"/>
              </w:rPr>
            </w:pPr>
          </w:p>
        </w:tc>
        <w:tc>
          <w:tcPr>
            <w:tcW w:w="0" w:type="auto"/>
            <w:vMerge/>
            <w:vAlign w:val="center"/>
            <w:hideMark/>
          </w:tcPr>
          <w:p w:rsidR="006D3001" w:rsidRDefault="006D3001">
            <w:pPr>
              <w:rPr>
                <w:rFonts w:eastAsiaTheme="minorEastAsia"/>
                <w:sz w:val="20"/>
                <w:szCs w:val="20"/>
              </w:rPr>
            </w:pPr>
          </w:p>
        </w:tc>
        <w:tc>
          <w:tcPr>
            <w:tcW w:w="0" w:type="auto"/>
            <w:vMerge/>
            <w:vAlign w:val="center"/>
            <w:hideMark/>
          </w:tcPr>
          <w:p w:rsidR="006D3001" w:rsidRDefault="006D3001">
            <w:pPr>
              <w:rPr>
                <w:rFonts w:eastAsiaTheme="minorEastAsia"/>
                <w:sz w:val="24"/>
                <w:szCs w:val="24"/>
              </w:rPr>
            </w:pPr>
          </w:p>
        </w:tc>
        <w:tc>
          <w:tcPr>
            <w:tcW w:w="230" w:type="pct"/>
            <w:tcBorders>
              <w:top w:val="single" w:sz="4" w:space="0" w:color="auto"/>
            </w:tcBorders>
            <w:tcMar>
              <w:top w:w="0" w:type="dxa"/>
              <w:left w:w="6" w:type="dxa"/>
              <w:bottom w:w="0" w:type="dxa"/>
              <w:right w:w="6" w:type="dxa"/>
            </w:tcMar>
            <w:hideMark/>
          </w:tcPr>
          <w:p w:rsidR="006D3001" w:rsidRDefault="006D3001">
            <w:pPr>
              <w:pStyle w:val="newncpi0"/>
              <w:jc w:val="center"/>
            </w:pPr>
            <w:r>
              <w:t>100</w:t>
            </w:r>
          </w:p>
        </w:tc>
        <w:tc>
          <w:tcPr>
            <w:tcW w:w="0" w:type="auto"/>
            <w:vMerge/>
            <w:vAlign w:val="center"/>
            <w:hideMark/>
          </w:tcPr>
          <w:p w:rsidR="006D3001" w:rsidRDefault="006D3001">
            <w:pPr>
              <w:rPr>
                <w:rFonts w:eastAsiaTheme="minorEastAsia"/>
                <w:sz w:val="24"/>
                <w:szCs w:val="24"/>
              </w:rPr>
            </w:pPr>
          </w:p>
        </w:tc>
      </w:tr>
    </w:tbl>
    <w:p w:rsidR="006D3001" w:rsidRDefault="006D3001">
      <w:pPr>
        <w:pStyle w:val="newncpi"/>
      </w:pPr>
      <w:r>
        <w:t> </w:t>
      </w:r>
    </w:p>
    <w:p w:rsidR="006D3001" w:rsidRDefault="006D3001">
      <w:pPr>
        <w:pStyle w:val="newncpi"/>
        <w:ind w:firstLine="0"/>
      </w:pPr>
      <w:r>
        <w:t>где   P – размер математического резерва на отчетную дату;</w:t>
      </w:r>
    </w:p>
    <w:p w:rsidR="006D3001" w:rsidRDefault="006D3001">
      <w:pPr>
        <w:pStyle w:val="newncpi"/>
      </w:pPr>
      <w:proofErr w:type="spellStart"/>
      <w:r>
        <w:t>Р</w:t>
      </w:r>
      <w:r>
        <w:rPr>
          <w:vertAlign w:val="subscript"/>
        </w:rPr>
        <w:t>н</w:t>
      </w:r>
      <w:proofErr w:type="spellEnd"/>
      <w:r>
        <w:t> – сумма математического резерва на начало отчетного месяца;</w:t>
      </w:r>
    </w:p>
    <w:p w:rsidR="006D3001" w:rsidRDefault="006D3001">
      <w:pPr>
        <w:pStyle w:val="newncpi"/>
      </w:pPr>
      <w:r>
        <w:t>В – сумма выплат в отчетном месяце, произведенная из резерва (выплаты страхового обеспечения, выплаты по досрочно прекращенным договорам страхования);</w:t>
      </w:r>
    </w:p>
    <w:p w:rsidR="006D3001" w:rsidRDefault="006D3001">
      <w:pPr>
        <w:pStyle w:val="newncpi"/>
      </w:pPr>
      <w:r>
        <w:t>I – сумма дохода, начисленного на начало отчетного месяца в соответствии с установленной по договору нормой доходности и не подлежащего выплате;</w:t>
      </w:r>
    </w:p>
    <w:p w:rsidR="006D3001" w:rsidRDefault="006D3001">
      <w:pPr>
        <w:pStyle w:val="newncpi"/>
      </w:pPr>
      <w:r>
        <w:t>R</w:t>
      </w:r>
      <w:r>
        <w:rPr>
          <w:vertAlign w:val="superscript"/>
        </w:rPr>
        <w:t>–</w:t>
      </w:r>
      <w:r>
        <w:rPr>
          <w:vertAlign w:val="subscript"/>
        </w:rPr>
        <w:t>o</w:t>
      </w:r>
      <w:r>
        <w:t> – сумма математического резерва на начало отчетного месяца по договорам страхования, переданным в отчетном месяце другим страховым организациям;</w:t>
      </w:r>
    </w:p>
    <w:p w:rsidR="006D3001" w:rsidRDefault="006D3001">
      <w:pPr>
        <w:pStyle w:val="newncpi"/>
      </w:pPr>
      <w:proofErr w:type="spellStart"/>
      <w:r>
        <w:t>П</w:t>
      </w:r>
      <w:r>
        <w:rPr>
          <w:vertAlign w:val="subscript"/>
        </w:rPr>
        <w:t>оt</w:t>
      </w:r>
      <w:proofErr w:type="spellEnd"/>
      <w:r>
        <w:t> – страховая нетто-премия по данному виду (разновидности) страхования, начисленная в отчетном месяце за t дней со дня, следующего за днем ее начисления, до конца месяца;</w:t>
      </w:r>
    </w:p>
    <w:p w:rsidR="006D3001" w:rsidRDefault="006D3001">
      <w:pPr>
        <w:pStyle w:val="newncpi"/>
      </w:pPr>
      <w:proofErr w:type="spellStart"/>
      <w:r>
        <w:t>R</w:t>
      </w:r>
      <w:r>
        <w:rPr>
          <w:vertAlign w:val="superscript"/>
        </w:rPr>
        <w:t>+</w:t>
      </w:r>
      <w:r>
        <w:rPr>
          <w:vertAlign w:val="subscript"/>
        </w:rPr>
        <w:t>оt</w:t>
      </w:r>
      <w:proofErr w:type="spellEnd"/>
      <w:r>
        <w:t> – сумма полученных в отчетном месяце от других страховых организаций математических резервов за t дней со дня, следующего за днем их поступления, до конца месяца;</w:t>
      </w:r>
    </w:p>
    <w:p w:rsidR="006D3001" w:rsidRDefault="006D3001">
      <w:pPr>
        <w:pStyle w:val="newncpi"/>
      </w:pPr>
      <w:r>
        <w:t>i – эффективная норма доходности, предусмотренная в правилах страхования по данному виду (разновидности) страхования, выраженная в процентах (гарантированная доходность);</w:t>
      </w:r>
    </w:p>
    <w:p w:rsidR="006D3001" w:rsidRDefault="006D3001">
      <w:pPr>
        <w:pStyle w:val="newncpi"/>
      </w:pPr>
      <w:r>
        <w:t>n – количество календарных дней в отчетном месяце.</w:t>
      </w:r>
    </w:p>
    <w:p w:rsidR="006D3001" w:rsidRDefault="006D3001">
      <w:pPr>
        <w:pStyle w:val="point"/>
      </w:pPr>
      <w:r>
        <w:t>11. В случае, когда обязательства страховой организации и страховые взносы выражены в иностранной валюте, а расчеты производятся в рублях по официальному курсу белорусского рубля, установленному Национальным банком на день уплаты страхового взноса (выплаты страхового обеспечения), математический резерв рассчитывается следующим образом:</w:t>
      </w:r>
    </w:p>
    <w:p w:rsidR="006D3001" w:rsidRDefault="006D3001">
      <w:pPr>
        <w:pStyle w:val="underpoint"/>
      </w:pPr>
      <w:r>
        <w:t xml:space="preserve">11.1. расчет математического резерва на отчетную дату производится в иностранной валюте. При этом для проведения расчетов данные о страховых взносах, выплатах, доходе, сумме математического резерва на начало отчетного месяца, а также сумме переданного </w:t>
      </w:r>
      <w:r>
        <w:lastRenderedPageBreak/>
        <w:t>другим страховым организациям и принятого от других страховых организаций математического резерва принимаются в иностранной валюте;</w:t>
      </w:r>
    </w:p>
    <w:p w:rsidR="006D3001" w:rsidRDefault="006D3001">
      <w:pPr>
        <w:pStyle w:val="underpoint"/>
      </w:pPr>
      <w:r>
        <w:t>11.2. размер полученного математического резерва пересчитывается в белорусские рубли по официальному курсу, установленному Национальным банком на последний день отчетного месяца.</w:t>
      </w:r>
    </w:p>
    <w:p w:rsidR="006D3001" w:rsidRDefault="006D3001">
      <w:pPr>
        <w:pStyle w:val="point"/>
      </w:pPr>
      <w:r>
        <w:t>12. При расчете математического резерва страховая организация использует форму согласно приложению 1.</w:t>
      </w:r>
    </w:p>
    <w:p w:rsidR="006D3001" w:rsidRDefault="006D3001">
      <w:pPr>
        <w:pStyle w:val="point"/>
      </w:pPr>
      <w:r>
        <w:t>13. Размер резерва дополнительных выплат на отчетную дату рассчитывается по формуле</w:t>
      </w:r>
    </w:p>
    <w:p w:rsidR="006D3001" w:rsidRDefault="006D3001">
      <w:pPr>
        <w:pStyle w:val="newncpi"/>
      </w:pPr>
      <w:r>
        <w:t> </w:t>
      </w:r>
    </w:p>
    <w:p w:rsidR="006D3001" w:rsidRDefault="006D3001">
      <w:pPr>
        <w:pStyle w:val="newncpi0"/>
        <w:jc w:val="center"/>
      </w:pPr>
      <w:proofErr w:type="spellStart"/>
      <w:r>
        <w:t>РДВ</w:t>
      </w:r>
      <w:r>
        <w:rPr>
          <w:i/>
          <w:iCs/>
          <w:vertAlign w:val="subscript"/>
        </w:rPr>
        <w:t>i</w:t>
      </w:r>
      <w:proofErr w:type="spellEnd"/>
      <w:r>
        <w:t xml:space="preserve"> = </w:t>
      </w:r>
      <w:proofErr w:type="spellStart"/>
      <w:r>
        <w:t>РДВ</w:t>
      </w:r>
      <w:r>
        <w:rPr>
          <w:i/>
          <w:iCs/>
          <w:vertAlign w:val="subscript"/>
        </w:rPr>
        <w:t>i</w:t>
      </w:r>
      <w:proofErr w:type="spellEnd"/>
      <w:r>
        <w:rPr>
          <w:i/>
          <w:iCs/>
          <w:vertAlign w:val="subscript"/>
        </w:rPr>
        <w:t xml:space="preserve"> – </w:t>
      </w:r>
      <w:r>
        <w:rPr>
          <w:vertAlign w:val="subscript"/>
        </w:rPr>
        <w:t>1</w:t>
      </w:r>
      <w:r>
        <w:t xml:space="preserve"> – В</w:t>
      </w:r>
      <w:r>
        <w:rPr>
          <w:vertAlign w:val="subscript"/>
        </w:rPr>
        <w:t>РДВ</w:t>
      </w:r>
      <w:r>
        <w:t xml:space="preserve"> – В</w:t>
      </w:r>
      <w:r>
        <w:rPr>
          <w:vertAlign w:val="subscript"/>
        </w:rPr>
        <w:t>Н</w:t>
      </w:r>
      <w:r>
        <w:t xml:space="preserve"> + К х (Д</w:t>
      </w:r>
      <w:r>
        <w:rPr>
          <w:vertAlign w:val="subscript"/>
        </w:rPr>
        <w:t>МР</w:t>
      </w:r>
      <w:r>
        <w:t xml:space="preserve"> + Д</w:t>
      </w:r>
      <w:r>
        <w:rPr>
          <w:vertAlign w:val="subscript"/>
        </w:rPr>
        <w:t>РДВ</w:t>
      </w:r>
      <w:r>
        <w:t xml:space="preserve"> – </w:t>
      </w:r>
      <w:r>
        <w:rPr>
          <w:i/>
          <w:iCs/>
        </w:rPr>
        <w:t>I</w:t>
      </w:r>
      <w:r>
        <w:t xml:space="preserve"> – ГД),</w:t>
      </w:r>
    </w:p>
    <w:p w:rsidR="006D3001" w:rsidRDefault="006D3001">
      <w:pPr>
        <w:pStyle w:val="newncpi"/>
      </w:pPr>
      <w:r>
        <w:t> </w:t>
      </w:r>
    </w:p>
    <w:p w:rsidR="006D3001" w:rsidRDefault="006D3001">
      <w:pPr>
        <w:pStyle w:val="newncpi0"/>
      </w:pPr>
      <w:r>
        <w:t>где   </w:t>
      </w:r>
      <w:proofErr w:type="spellStart"/>
      <w:r>
        <w:t>РДВ</w:t>
      </w:r>
      <w:r>
        <w:rPr>
          <w:i/>
          <w:iCs/>
          <w:vertAlign w:val="subscript"/>
        </w:rPr>
        <w:t>i</w:t>
      </w:r>
      <w:proofErr w:type="spellEnd"/>
      <w:r>
        <w:t> – резерв дополнительных выплат на конец отчетного периода;</w:t>
      </w:r>
    </w:p>
    <w:p w:rsidR="006D3001" w:rsidRDefault="006D3001">
      <w:pPr>
        <w:pStyle w:val="newncpi"/>
      </w:pPr>
      <w:proofErr w:type="spellStart"/>
      <w:r>
        <w:t>РДВ</w:t>
      </w:r>
      <w:r>
        <w:rPr>
          <w:i/>
          <w:iCs/>
          <w:vertAlign w:val="subscript"/>
        </w:rPr>
        <w:t>i</w:t>
      </w:r>
      <w:proofErr w:type="spellEnd"/>
      <w:r>
        <w:rPr>
          <w:i/>
          <w:iCs/>
          <w:vertAlign w:val="subscript"/>
        </w:rPr>
        <w:t> – </w:t>
      </w:r>
      <w:r>
        <w:rPr>
          <w:vertAlign w:val="subscript"/>
        </w:rPr>
        <w:t>1</w:t>
      </w:r>
      <w:r>
        <w:t> – резерв дополнительных выплат на начало отчетного периода;</w:t>
      </w:r>
    </w:p>
    <w:p w:rsidR="006D3001" w:rsidRDefault="006D3001">
      <w:pPr>
        <w:pStyle w:val="newncpi"/>
      </w:pPr>
      <w:r>
        <w:t>В</w:t>
      </w:r>
      <w:r>
        <w:rPr>
          <w:vertAlign w:val="subscript"/>
        </w:rPr>
        <w:t>РДВ</w:t>
      </w:r>
      <w:r>
        <w:t> – выплаты, произведенные из резерва дополнительных выплат за отчетный период;</w:t>
      </w:r>
    </w:p>
    <w:p w:rsidR="006D3001" w:rsidRDefault="006D3001">
      <w:pPr>
        <w:pStyle w:val="newncpi"/>
      </w:pPr>
      <w:r>
        <w:t>В</w:t>
      </w:r>
      <w:r>
        <w:rPr>
          <w:vertAlign w:val="subscript"/>
        </w:rPr>
        <w:t>Н</w:t>
      </w:r>
      <w:r>
        <w:t> – сумма резерва дополнительных выплат, начисленного на начало отчетного месяца, но не подлежащего выплате за отчетный период;</w:t>
      </w:r>
    </w:p>
    <w:p w:rsidR="006D3001" w:rsidRDefault="006D3001">
      <w:pPr>
        <w:pStyle w:val="newncpi"/>
      </w:pPr>
      <w:r>
        <w:t xml:space="preserve">К – коэффициент, утверждаемый страховой организацией и определяющий долю прибыли от осуществления инвестиций посредством вложения средств математических резервов и их размещения, направляемую на увеличение накоплений застрахованных лиц (0,5 </w:t>
      </w:r>
      <w:proofErr w:type="gramStart"/>
      <w:r>
        <w:rPr>
          <w:u w:val="single"/>
        </w:rPr>
        <w:t>&lt;</w:t>
      </w:r>
      <w:r>
        <w:t xml:space="preserve"> К</w:t>
      </w:r>
      <w:proofErr w:type="gramEnd"/>
      <w:r>
        <w:t xml:space="preserve"> </w:t>
      </w:r>
      <w:r>
        <w:rPr>
          <w:u w:val="single"/>
        </w:rPr>
        <w:t>&lt;</w:t>
      </w:r>
      <w:r>
        <w:t xml:space="preserve"> 1,0);</w:t>
      </w:r>
    </w:p>
    <w:p w:rsidR="006D3001" w:rsidRDefault="006D3001">
      <w:pPr>
        <w:pStyle w:val="newncpi"/>
      </w:pPr>
      <w:r>
        <w:t>Д</w:t>
      </w:r>
      <w:r>
        <w:rPr>
          <w:vertAlign w:val="subscript"/>
        </w:rPr>
        <w:t>МР</w:t>
      </w:r>
      <w:r>
        <w:t> – доход за отчетный период, полученный от осуществления инвестиций посредством вложения средств математических резервов и их размещения;</w:t>
      </w:r>
    </w:p>
    <w:p w:rsidR="006D3001" w:rsidRDefault="006D3001">
      <w:pPr>
        <w:pStyle w:val="newncpi"/>
      </w:pPr>
      <w:r>
        <w:t>Д</w:t>
      </w:r>
      <w:r>
        <w:rPr>
          <w:vertAlign w:val="subscript"/>
        </w:rPr>
        <w:t>РДВ</w:t>
      </w:r>
      <w:r>
        <w:t> – доход за отчетный период, полученный от осуществления инвестиций посредством вложения средств резерва дополнительных выплат и их размещения;</w:t>
      </w:r>
    </w:p>
    <w:p w:rsidR="006D3001" w:rsidRDefault="006D3001">
      <w:pPr>
        <w:pStyle w:val="newncpi"/>
      </w:pPr>
      <w:r>
        <w:rPr>
          <w:i/>
          <w:iCs/>
        </w:rPr>
        <w:t>I</w:t>
      </w:r>
      <w:r>
        <w:t> – расходы по осуществлению инвестиций посредством вложения средств математических резервов и резерва дополнительных выплат и их размещения;</w:t>
      </w:r>
    </w:p>
    <w:p w:rsidR="006D3001" w:rsidRDefault="006D3001">
      <w:pPr>
        <w:pStyle w:val="newncpi"/>
      </w:pPr>
      <w:r>
        <w:t>ГД – сумма гарантированного дохода, начисленного за отчетный период по действующим договорам страхования и рассчитанного по формуле</w:t>
      </w:r>
    </w:p>
    <w:p w:rsidR="006D3001" w:rsidRDefault="006D3001">
      <w:pPr>
        <w:pStyle w:val="newncpi"/>
      </w:pPr>
      <w:r>
        <w:t> </w:t>
      </w:r>
    </w:p>
    <w:p w:rsidR="006D3001" w:rsidRDefault="006D3001">
      <w:pPr>
        <w:pStyle w:val="newncpi0"/>
        <w:jc w:val="center"/>
      </w:pPr>
      <w:r>
        <w:t>ГД = МР</w:t>
      </w:r>
      <w:r>
        <w:rPr>
          <w:vertAlign w:val="subscript"/>
        </w:rPr>
        <w:t>1</w:t>
      </w:r>
      <w:r>
        <w:t xml:space="preserve"> – МР</w:t>
      </w:r>
      <w:r>
        <w:rPr>
          <w:vertAlign w:val="subscript"/>
        </w:rPr>
        <w:t>0</w:t>
      </w:r>
      <w:r>
        <w:t xml:space="preserve"> – НВ + В,</w:t>
      </w:r>
    </w:p>
    <w:p w:rsidR="006D3001" w:rsidRDefault="006D3001">
      <w:pPr>
        <w:pStyle w:val="newncpi"/>
      </w:pPr>
      <w:r>
        <w:t> </w:t>
      </w:r>
    </w:p>
    <w:p w:rsidR="006D3001" w:rsidRDefault="006D3001">
      <w:pPr>
        <w:pStyle w:val="newncpi0"/>
      </w:pPr>
      <w:proofErr w:type="gramStart"/>
      <w:r>
        <w:t>где  МР</w:t>
      </w:r>
      <w:proofErr w:type="gramEnd"/>
      <w:r>
        <w:rPr>
          <w:vertAlign w:val="subscript"/>
        </w:rPr>
        <w:t>1</w:t>
      </w:r>
      <w:r>
        <w:t>  – сумма математических резервов на конец отчетного периода, сформированных в валюте расчета резерва дополнительных выплат;</w:t>
      </w:r>
    </w:p>
    <w:p w:rsidR="006D3001" w:rsidRDefault="006D3001">
      <w:pPr>
        <w:pStyle w:val="newncpi"/>
      </w:pPr>
      <w:r>
        <w:t>МР</w:t>
      </w:r>
      <w:r>
        <w:rPr>
          <w:vertAlign w:val="subscript"/>
        </w:rPr>
        <w:t>0</w:t>
      </w:r>
      <w:r>
        <w:t> – сумма математических резервов на начало отчетного периода, сформированных в валюте расчета резерва дополнительных выплат;</w:t>
      </w:r>
    </w:p>
    <w:p w:rsidR="006D3001" w:rsidRDefault="006D3001">
      <w:pPr>
        <w:pStyle w:val="newncpi"/>
      </w:pPr>
      <w:r>
        <w:t>НВ – страховая нетто-премия, начисленная в отчетном периоде по договорам страхования, участвующим в расчете резерва дополнительных выплат;</w:t>
      </w:r>
    </w:p>
    <w:p w:rsidR="006D3001" w:rsidRDefault="006D3001">
      <w:pPr>
        <w:pStyle w:val="newncpi"/>
      </w:pPr>
      <w:r>
        <w:t>В – выплаты страхового обеспечения, произведенные из математического резерва за отчетный период по договорам страхования, участвующим в расчете резерва дополнительных выплат.</w:t>
      </w:r>
    </w:p>
    <w:p w:rsidR="006D3001" w:rsidRDefault="006D3001">
      <w:pPr>
        <w:pStyle w:val="newncpi"/>
      </w:pPr>
      <w:r>
        <w:t>В случае, если ГД принимает отрицательное значение, значение ГД принимается равным нулю.</w:t>
      </w:r>
    </w:p>
    <w:p w:rsidR="006D3001" w:rsidRDefault="006D3001">
      <w:pPr>
        <w:pStyle w:val="newncpi"/>
      </w:pPr>
      <w:r>
        <w:t xml:space="preserve">В случае, если </w:t>
      </w:r>
      <w:proofErr w:type="spellStart"/>
      <w:r>
        <w:t>РДВ</w:t>
      </w:r>
      <w:r>
        <w:rPr>
          <w:i/>
          <w:iCs/>
          <w:vertAlign w:val="subscript"/>
        </w:rPr>
        <w:t>i</w:t>
      </w:r>
      <w:proofErr w:type="spellEnd"/>
      <w:r>
        <w:t xml:space="preserve"> принимает отрицательное значение, значение </w:t>
      </w:r>
      <w:proofErr w:type="spellStart"/>
      <w:r>
        <w:t>РДВ</w:t>
      </w:r>
      <w:r>
        <w:rPr>
          <w:i/>
          <w:iCs/>
          <w:vertAlign w:val="subscript"/>
        </w:rPr>
        <w:t>i</w:t>
      </w:r>
      <w:proofErr w:type="spellEnd"/>
      <w:r>
        <w:t xml:space="preserve"> принимается равным нулю.</w:t>
      </w:r>
    </w:p>
    <w:p w:rsidR="006D3001" w:rsidRDefault="006D3001">
      <w:pPr>
        <w:pStyle w:val="newncpi"/>
      </w:pPr>
      <w:r>
        <w:t>При расчете резерва дополнительных выплат страховая организация использует форму согласно приложению 2.</w:t>
      </w:r>
    </w:p>
    <w:p w:rsidR="006D3001" w:rsidRDefault="006D3001">
      <w:pPr>
        <w:pStyle w:val="newncpi"/>
      </w:pPr>
      <w:r>
        <w:t>Резерв дополнительных выплат на отчетную дату должен быть равен сумме резервов дополнительных выплат по договорам страхования на отчетную дату в соответствующей валюте:</w:t>
      </w:r>
    </w:p>
    <w:p w:rsidR="006D3001" w:rsidRDefault="006D3001">
      <w:pPr>
        <w:pStyle w:val="newncpi"/>
      </w:pPr>
      <w:r>
        <w:t> </w:t>
      </w:r>
    </w:p>
    <w:p w:rsidR="006D3001" w:rsidRDefault="006D3001">
      <w:pPr>
        <w:pStyle w:val="newncpi0"/>
        <w:jc w:val="center"/>
      </w:pPr>
      <w:proofErr w:type="spellStart"/>
      <w:r>
        <w:lastRenderedPageBreak/>
        <w:t>РДВ</w:t>
      </w:r>
      <w:r>
        <w:rPr>
          <w:i/>
          <w:iCs/>
          <w:vertAlign w:val="subscript"/>
        </w:rPr>
        <w:t>i</w:t>
      </w:r>
      <w:proofErr w:type="spellEnd"/>
      <w:r>
        <w:t xml:space="preserve"> = </w:t>
      </w:r>
      <w:r>
        <w:rPr>
          <w:rStyle w:val="onesymbol"/>
        </w:rPr>
        <w:t></w:t>
      </w:r>
      <w:proofErr w:type="spellStart"/>
      <w:r>
        <w:t>РДВ</w:t>
      </w:r>
      <w:r>
        <w:rPr>
          <w:i/>
          <w:iCs/>
          <w:vertAlign w:val="subscript"/>
        </w:rPr>
        <w:t>i</w:t>
      </w:r>
      <w:r>
        <w:rPr>
          <w:vertAlign w:val="superscript"/>
        </w:rPr>
        <w:t>Д</w:t>
      </w:r>
      <w:proofErr w:type="spellEnd"/>
      <w:r>
        <w:t>,</w:t>
      </w:r>
    </w:p>
    <w:p w:rsidR="006D3001" w:rsidRDefault="006D3001">
      <w:pPr>
        <w:pStyle w:val="newncpi"/>
      </w:pPr>
      <w:r>
        <w:t> </w:t>
      </w:r>
    </w:p>
    <w:p w:rsidR="006D3001" w:rsidRDefault="006D3001">
      <w:pPr>
        <w:pStyle w:val="newncpi0"/>
      </w:pPr>
      <w:r>
        <w:t xml:space="preserve">где </w:t>
      </w:r>
      <w:proofErr w:type="spellStart"/>
      <w:r>
        <w:t>РДВ</w:t>
      </w:r>
      <w:r>
        <w:rPr>
          <w:i/>
          <w:iCs/>
          <w:vertAlign w:val="subscript"/>
        </w:rPr>
        <w:t>i</w:t>
      </w:r>
      <w:r>
        <w:rPr>
          <w:vertAlign w:val="superscript"/>
        </w:rPr>
        <w:t>Д</w:t>
      </w:r>
      <w:proofErr w:type="spellEnd"/>
      <w:r>
        <w:t xml:space="preserve"> – резерв дополнительных выплат по договору страхования на конец отчетного периода, рассчитанный по формуле</w:t>
      </w:r>
    </w:p>
    <w:p w:rsidR="006D3001" w:rsidRDefault="006D3001">
      <w:pPr>
        <w:pStyle w:val="newncpi"/>
      </w:pPr>
      <w:r>
        <w:t> </w:t>
      </w:r>
    </w:p>
    <w:p w:rsidR="006D3001" w:rsidRDefault="006D3001">
      <w:pPr>
        <w:pStyle w:val="newncpi0"/>
        <w:jc w:val="center"/>
      </w:pPr>
      <w:proofErr w:type="spellStart"/>
      <w:r>
        <w:t>РДВ</w:t>
      </w:r>
      <w:r>
        <w:rPr>
          <w:i/>
          <w:iCs/>
          <w:vertAlign w:val="subscript"/>
        </w:rPr>
        <w:t>i</w:t>
      </w:r>
      <w:r>
        <w:rPr>
          <w:vertAlign w:val="superscript"/>
        </w:rPr>
        <w:t>Д</w:t>
      </w:r>
      <w:proofErr w:type="spellEnd"/>
      <w:r>
        <w:t xml:space="preserve"> = </w:t>
      </w:r>
      <w:proofErr w:type="spellStart"/>
      <w:r>
        <w:t>РДВ</w:t>
      </w:r>
      <w:r>
        <w:rPr>
          <w:vertAlign w:val="superscript"/>
        </w:rPr>
        <w:t>Д</w:t>
      </w:r>
      <w:r>
        <w:rPr>
          <w:i/>
          <w:iCs/>
          <w:vertAlign w:val="subscript"/>
        </w:rPr>
        <w:t>i</w:t>
      </w:r>
      <w:proofErr w:type="spellEnd"/>
      <w:r>
        <w:rPr>
          <w:i/>
          <w:iCs/>
          <w:vertAlign w:val="subscript"/>
        </w:rPr>
        <w:t xml:space="preserve"> – </w:t>
      </w:r>
      <w:r>
        <w:rPr>
          <w:vertAlign w:val="subscript"/>
        </w:rPr>
        <w:t>1</w:t>
      </w:r>
      <w:r>
        <w:t xml:space="preserve"> – В + </w:t>
      </w:r>
      <w:r>
        <w:rPr>
          <w:i/>
          <w:iCs/>
        </w:rPr>
        <w:t xml:space="preserve">k </w:t>
      </w:r>
      <w:r>
        <w:t xml:space="preserve">х </w:t>
      </w:r>
      <w:proofErr w:type="spellStart"/>
      <w:r>
        <w:t>П</w:t>
      </w:r>
      <w:r>
        <w:rPr>
          <w:i/>
          <w:iCs/>
          <w:vertAlign w:val="subscript"/>
        </w:rPr>
        <w:t>i</w:t>
      </w:r>
      <w:proofErr w:type="spellEnd"/>
      <w:r>
        <w:rPr>
          <w:i/>
          <w:iCs/>
          <w:vertAlign w:val="subscript"/>
        </w:rPr>
        <w:t xml:space="preserve"> – </w:t>
      </w:r>
      <w:r>
        <w:rPr>
          <w:vertAlign w:val="subscript"/>
        </w:rPr>
        <w:t>1</w:t>
      </w:r>
      <w:r>
        <w:t>,</w:t>
      </w:r>
    </w:p>
    <w:p w:rsidR="006D3001" w:rsidRDefault="006D3001">
      <w:pPr>
        <w:pStyle w:val="newncpi"/>
      </w:pPr>
      <w:r>
        <w:t> </w:t>
      </w:r>
    </w:p>
    <w:p w:rsidR="006D3001" w:rsidRDefault="006D3001">
      <w:pPr>
        <w:pStyle w:val="newncpi0"/>
      </w:pPr>
      <w:proofErr w:type="gramStart"/>
      <w:r>
        <w:t>где  </w:t>
      </w:r>
      <w:proofErr w:type="spellStart"/>
      <w:r>
        <w:t>РДВ</w:t>
      </w:r>
      <w:r>
        <w:rPr>
          <w:vertAlign w:val="superscript"/>
        </w:rPr>
        <w:t>Д</w:t>
      </w:r>
      <w:proofErr w:type="gramEnd"/>
      <w:r>
        <w:rPr>
          <w:i/>
          <w:iCs/>
          <w:vertAlign w:val="subscript"/>
        </w:rPr>
        <w:t>i</w:t>
      </w:r>
      <w:proofErr w:type="spellEnd"/>
      <w:r>
        <w:rPr>
          <w:i/>
          <w:iCs/>
          <w:vertAlign w:val="subscript"/>
        </w:rPr>
        <w:t> – </w:t>
      </w:r>
      <w:r>
        <w:rPr>
          <w:vertAlign w:val="subscript"/>
        </w:rPr>
        <w:t>1</w:t>
      </w:r>
      <w:r>
        <w:t xml:space="preserve"> – резерв дополнительных выплат по договору страхования на начало отчетного периода;</w:t>
      </w:r>
    </w:p>
    <w:p w:rsidR="006D3001" w:rsidRDefault="006D3001">
      <w:pPr>
        <w:pStyle w:val="newncpi"/>
      </w:pPr>
      <w:r>
        <w:t>В – сумма выплат и удержаний из резерва дополнительных выплат по договору страхования, произведенных в течение отчетного периода;</w:t>
      </w:r>
    </w:p>
    <w:p w:rsidR="006D3001" w:rsidRDefault="006D3001">
      <w:pPr>
        <w:pStyle w:val="newncpi"/>
      </w:pPr>
      <w:r>
        <w:rPr>
          <w:i/>
          <w:iCs/>
        </w:rPr>
        <w:t>k</w:t>
      </w:r>
      <w:r>
        <w:t xml:space="preserve"> – коэффициент доходности, определяемый страховой организацией, </w:t>
      </w:r>
      <w:proofErr w:type="gramStart"/>
      <w:r>
        <w:rPr>
          <w:i/>
          <w:iCs/>
        </w:rPr>
        <w:t xml:space="preserve">k </w:t>
      </w:r>
      <w:r>
        <w:rPr>
          <w:u w:val="single"/>
        </w:rPr>
        <w:t>&gt;</w:t>
      </w:r>
      <w:proofErr w:type="gramEnd"/>
      <w:r>
        <w:t xml:space="preserve"> 1;</w:t>
      </w:r>
    </w:p>
    <w:p w:rsidR="006D3001" w:rsidRDefault="006D3001">
      <w:pPr>
        <w:pStyle w:val="newncpi"/>
      </w:pPr>
      <w:proofErr w:type="spellStart"/>
      <w:r>
        <w:t>П</w:t>
      </w:r>
      <w:r>
        <w:rPr>
          <w:i/>
          <w:iCs/>
          <w:vertAlign w:val="subscript"/>
        </w:rPr>
        <w:t>i</w:t>
      </w:r>
      <w:proofErr w:type="spellEnd"/>
      <w:r>
        <w:rPr>
          <w:i/>
          <w:iCs/>
          <w:vertAlign w:val="subscript"/>
        </w:rPr>
        <w:t> – </w:t>
      </w:r>
      <w:r>
        <w:rPr>
          <w:vertAlign w:val="subscript"/>
        </w:rPr>
        <w:t>1</w:t>
      </w:r>
      <w:r>
        <w:t> – нетто-премия, поступившая в течение отчетного периода, которая определяется как произведение суммы страховой премии (брутто-премии), фактически поступившей за отчетный период, и доли нетто-тарифа в структуре брутто-тарифа по данному виду страхования, предусмотренной в правилах страхования.</w:t>
      </w:r>
    </w:p>
    <w:p w:rsidR="006D3001" w:rsidRDefault="006D3001">
      <w:pPr>
        <w:pStyle w:val="newncpi"/>
      </w:pPr>
      <w:r>
        <w:t>Суммирование ведется по всем договорам страхования, участвующим в распределении резерва дополнительных выплат.</w:t>
      </w:r>
    </w:p>
    <w:p w:rsidR="006D3001" w:rsidRDefault="006D3001">
      <w:pPr>
        <w:pStyle w:val="point"/>
      </w:pPr>
      <w:r>
        <w:t>14. В случае, когда обязательства страховой организации и страховые взносы выражены в иностранной валюте, а расчеты производятся в рублях по официальному курсу белорусского рубля, установленному Национальным банком на день уплаты страхового взноса (выплаты страхового обеспечения), резерв дополнительных выплат по договору страхования рассчитывается следующим образом:</w:t>
      </w:r>
    </w:p>
    <w:p w:rsidR="006D3001" w:rsidRDefault="006D3001">
      <w:pPr>
        <w:pStyle w:val="underpoint"/>
      </w:pPr>
      <w:r>
        <w:t>14.1. расчет резерва дополнительных выплат по договору страхования на отчетную дату производится в иностранной валюте. При этом для проведения расчетов данные о страховых взносах, выплатах, доходе, сумме резерва дополнительных выплат на начало отчетного месяца, а также сумме переданного другим страховым организациям и принятого от других страховых организаций резерва дополнительных выплат принимаются в иностранной валюте;</w:t>
      </w:r>
    </w:p>
    <w:p w:rsidR="006D3001" w:rsidRDefault="006D3001">
      <w:pPr>
        <w:pStyle w:val="underpoint"/>
      </w:pPr>
      <w:r>
        <w:t>14.2. размер полученного резерва дополнительных выплат по договору страхования пересчитывается в белорусские рубли по официальному курсу, установленному Национальным банком на последний день отчетного месяца.</w:t>
      </w:r>
    </w:p>
    <w:p w:rsidR="006D3001" w:rsidRDefault="006D3001">
      <w:pPr>
        <w:pStyle w:val="newncpi"/>
      </w:pPr>
      <w:r>
        <w:t> </w:t>
      </w:r>
    </w:p>
    <w:p w:rsidR="006D3001" w:rsidRDefault="006D3001">
      <w:pPr>
        <w:rPr>
          <w:rFonts w:eastAsia="Times New Roman"/>
        </w:rPr>
        <w:sectPr w:rsidR="006D3001" w:rsidSect="006D300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6D3001" w:rsidRDefault="006D300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790"/>
        <w:gridCol w:w="4419"/>
      </w:tblGrid>
      <w:tr w:rsidR="006D3001">
        <w:tc>
          <w:tcPr>
            <w:tcW w:w="3637" w:type="pct"/>
            <w:tcMar>
              <w:top w:w="0" w:type="dxa"/>
              <w:left w:w="6" w:type="dxa"/>
              <w:bottom w:w="0" w:type="dxa"/>
              <w:right w:w="6" w:type="dxa"/>
            </w:tcMar>
            <w:hideMark/>
          </w:tcPr>
          <w:p w:rsidR="006D3001" w:rsidRDefault="006D3001">
            <w:pPr>
              <w:pStyle w:val="newncpi"/>
            </w:pPr>
            <w:r>
              <w:t> </w:t>
            </w:r>
          </w:p>
        </w:tc>
        <w:tc>
          <w:tcPr>
            <w:tcW w:w="1363" w:type="pct"/>
            <w:tcMar>
              <w:top w:w="0" w:type="dxa"/>
              <w:left w:w="6" w:type="dxa"/>
              <w:bottom w:w="0" w:type="dxa"/>
              <w:right w:w="6" w:type="dxa"/>
            </w:tcMar>
            <w:hideMark/>
          </w:tcPr>
          <w:p w:rsidR="006D3001" w:rsidRDefault="006D3001">
            <w:pPr>
              <w:pStyle w:val="append1"/>
            </w:pPr>
            <w:r>
              <w:t>Приложение 1</w:t>
            </w:r>
          </w:p>
          <w:p w:rsidR="006D3001" w:rsidRDefault="006D3001">
            <w:pPr>
              <w:pStyle w:val="append"/>
            </w:pPr>
            <w:r>
              <w:t xml:space="preserve">к Инструкции о порядке </w:t>
            </w:r>
            <w:r>
              <w:br/>
              <w:t xml:space="preserve">и условиях образования </w:t>
            </w:r>
            <w:r>
              <w:br/>
              <w:t xml:space="preserve">страховых резервов </w:t>
            </w:r>
            <w:r>
              <w:br/>
              <w:t xml:space="preserve">страховых организаций, </w:t>
            </w:r>
            <w:r>
              <w:br/>
              <w:t xml:space="preserve">осуществляющих </w:t>
            </w:r>
            <w:r>
              <w:br/>
              <w:t>страхование жизни</w:t>
            </w:r>
          </w:p>
        </w:tc>
      </w:tr>
    </w:tbl>
    <w:p w:rsidR="006D3001" w:rsidRDefault="006D3001">
      <w:pPr>
        <w:pStyle w:val="begform"/>
      </w:pPr>
      <w:r>
        <w:t> </w:t>
      </w:r>
    </w:p>
    <w:p w:rsidR="006D3001" w:rsidRDefault="006D3001">
      <w:pPr>
        <w:pStyle w:val="onestring"/>
      </w:pPr>
      <w:r>
        <w:t>Форма</w:t>
      </w:r>
    </w:p>
    <w:p w:rsidR="006D3001" w:rsidRDefault="006D3001">
      <w:pPr>
        <w:pStyle w:val="newncpi"/>
      </w:pPr>
      <w:r>
        <w:t> </w:t>
      </w:r>
    </w:p>
    <w:p w:rsidR="006D3001" w:rsidRDefault="006D3001">
      <w:pPr>
        <w:pStyle w:val="newncpi"/>
      </w:pPr>
      <w:r>
        <w:t>Страховая организация _______________________</w:t>
      </w:r>
    </w:p>
    <w:p w:rsidR="006D3001" w:rsidRDefault="006D3001">
      <w:pPr>
        <w:pStyle w:val="titlep"/>
      </w:pPr>
      <w:r>
        <w:t>РАСЧЕТ</w:t>
      </w:r>
      <w:r>
        <w:br/>
        <w:t>математического резерва</w:t>
      </w:r>
    </w:p>
    <w:p w:rsidR="006D3001" w:rsidRDefault="006D3001">
      <w:pPr>
        <w:pStyle w:val="newncpi"/>
      </w:pPr>
      <w:r>
        <w:t>Отчетная дата ____________</w:t>
      </w:r>
    </w:p>
    <w:p w:rsidR="006D3001" w:rsidRDefault="006D3001">
      <w:pPr>
        <w:pStyle w:val="newncpi"/>
      </w:pPr>
      <w:r>
        <w:t>Вид страхования _________________</w:t>
      </w:r>
    </w:p>
    <w:p w:rsidR="006D3001" w:rsidRDefault="006D3001">
      <w:pPr>
        <w:pStyle w:val="newncpi"/>
      </w:pPr>
      <w:r>
        <w:t>Валюта ____________</w:t>
      </w:r>
    </w:p>
    <w:p w:rsidR="006D3001" w:rsidRDefault="006D3001">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35"/>
        <w:gridCol w:w="1059"/>
        <w:gridCol w:w="858"/>
        <w:gridCol w:w="1121"/>
        <w:gridCol w:w="859"/>
        <w:gridCol w:w="1379"/>
        <w:gridCol w:w="1361"/>
        <w:gridCol w:w="1480"/>
        <w:gridCol w:w="1279"/>
        <w:gridCol w:w="1257"/>
        <w:gridCol w:w="1168"/>
        <w:gridCol w:w="1434"/>
        <w:gridCol w:w="651"/>
        <w:gridCol w:w="1058"/>
      </w:tblGrid>
      <w:tr w:rsidR="006D3001">
        <w:trPr>
          <w:trHeight w:val="240"/>
        </w:trPr>
        <w:tc>
          <w:tcPr>
            <w:tcW w:w="390" w:type="pct"/>
            <w:tcBorders>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Вид, разновидность страхования</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Белорусские рубли или иная валюта</w:t>
            </w:r>
          </w:p>
        </w:tc>
        <w:tc>
          <w:tcPr>
            <w:tcW w:w="2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 xml:space="preserve">Сумма </w:t>
            </w:r>
            <w:proofErr w:type="spellStart"/>
            <w:r>
              <w:t>математи</w:t>
            </w:r>
            <w:proofErr w:type="spellEnd"/>
            <w:r>
              <w:t>-</w:t>
            </w:r>
            <w:r>
              <w:br/>
            </w:r>
            <w:proofErr w:type="spellStart"/>
            <w:r>
              <w:t>ческого</w:t>
            </w:r>
            <w:proofErr w:type="spellEnd"/>
            <w:r>
              <w:t xml:space="preserve"> резерва на начало отчетного месяца</w:t>
            </w:r>
          </w:p>
        </w:tc>
        <w:tc>
          <w:tcPr>
            <w:tcW w:w="3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Страховой взнос, начисленный за отчетный месяц</w:t>
            </w:r>
          </w:p>
        </w:tc>
        <w:tc>
          <w:tcPr>
            <w:tcW w:w="2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Доля нетто-тарифа в брутто-тарифе, %</w:t>
            </w:r>
          </w:p>
        </w:tc>
        <w:tc>
          <w:tcPr>
            <w:tcW w:w="4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Страховая нетто-премия по данному виду (разновидности) страхования, начисленная в отчетном месяце за t дней со дня, следующего за днем ее начисления, до конца месяца</w:t>
            </w:r>
          </w:p>
        </w:tc>
        <w:tc>
          <w:tcPr>
            <w:tcW w:w="4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 xml:space="preserve">Сумма полученных в отчетном месяце от других страховых организаций математических резервов за </w:t>
            </w:r>
            <w:r>
              <w:rPr>
                <w:i/>
                <w:iCs/>
              </w:rPr>
              <w:t>t</w:t>
            </w:r>
            <w:r>
              <w:t xml:space="preserve"> дней со дня, следующего за днем их поступления, до конца месяца</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Эффективная норма доходности, предусмотренная в правилах страхования по данному виду (разновидности) страхования, выраженная в процентах (гарантированная доходность), %</w:t>
            </w:r>
          </w:p>
        </w:tc>
        <w:tc>
          <w:tcPr>
            <w:tcW w:w="4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Сумма выплат в отчетном месяце, произведенная из резерва (выплаты страхового обеспечения, выплаты по досрочно прекращенным договорам страхования)</w:t>
            </w:r>
          </w:p>
        </w:tc>
        <w:tc>
          <w:tcPr>
            <w:tcW w:w="3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Сумма дохода, начисленного на начало отчетного месяца в соответствии с установленной по договору нормой доходности и не подлежащего выплате</w:t>
            </w:r>
          </w:p>
        </w:tc>
        <w:tc>
          <w:tcPr>
            <w:tcW w:w="3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 xml:space="preserve">Сумма </w:t>
            </w:r>
            <w:proofErr w:type="spellStart"/>
            <w:r>
              <w:t>математи</w:t>
            </w:r>
            <w:proofErr w:type="spellEnd"/>
            <w:r>
              <w:t>-</w:t>
            </w:r>
            <w:r>
              <w:br/>
            </w:r>
            <w:proofErr w:type="spellStart"/>
            <w:r>
              <w:t>ческого</w:t>
            </w:r>
            <w:proofErr w:type="spellEnd"/>
            <w:r>
              <w:t xml:space="preserve"> резерва на начало отчетного месяца по договорам страхования, переданным в отчетном месяце другим страховым организациям</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Сумма математического резерва на отчетную дату</w:t>
            </w:r>
          </w:p>
        </w:tc>
        <w:tc>
          <w:tcPr>
            <w:tcW w:w="2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Курс валюты</w:t>
            </w:r>
          </w:p>
        </w:tc>
        <w:tc>
          <w:tcPr>
            <w:tcW w:w="287" w:type="pct"/>
            <w:tcBorders>
              <w:left w:val="single" w:sz="4" w:space="0" w:color="auto"/>
              <w:bottom w:val="single" w:sz="4" w:space="0" w:color="auto"/>
            </w:tcBorders>
            <w:tcMar>
              <w:top w:w="0" w:type="dxa"/>
              <w:left w:w="6" w:type="dxa"/>
              <w:bottom w:w="0" w:type="dxa"/>
              <w:right w:w="6" w:type="dxa"/>
            </w:tcMar>
            <w:vAlign w:val="center"/>
            <w:hideMark/>
          </w:tcPr>
          <w:p w:rsidR="006D3001" w:rsidRDefault="006D3001">
            <w:pPr>
              <w:pStyle w:val="table10"/>
              <w:jc w:val="center"/>
            </w:pPr>
            <w:proofErr w:type="spellStart"/>
            <w:r>
              <w:t>Математи</w:t>
            </w:r>
            <w:proofErr w:type="spellEnd"/>
            <w:r>
              <w:t>-</w:t>
            </w:r>
            <w:r>
              <w:br/>
            </w:r>
            <w:proofErr w:type="spellStart"/>
            <w:r>
              <w:t>ческий</w:t>
            </w:r>
            <w:proofErr w:type="spellEnd"/>
            <w:r>
              <w:t xml:space="preserve"> резерв на отчетную дату, белорусских рублей</w:t>
            </w:r>
          </w:p>
        </w:tc>
      </w:tr>
      <w:tr w:rsidR="006D3001">
        <w:trPr>
          <w:trHeight w:val="240"/>
        </w:trPr>
        <w:tc>
          <w:tcPr>
            <w:tcW w:w="3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1</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2</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3</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4</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5</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6</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7</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8</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9</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10</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11</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12</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13</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3001" w:rsidRDefault="006D3001">
            <w:pPr>
              <w:pStyle w:val="table10"/>
              <w:jc w:val="center"/>
            </w:pPr>
            <w:r>
              <w:t>14</w:t>
            </w:r>
          </w:p>
        </w:tc>
      </w:tr>
      <w:tr w:rsidR="006D3001">
        <w:trPr>
          <w:trHeight w:val="240"/>
        </w:trPr>
        <w:tc>
          <w:tcPr>
            <w:tcW w:w="390" w:type="pct"/>
            <w:tcBorders>
              <w:top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rsidR="006D3001" w:rsidRDefault="006D3001">
            <w:pPr>
              <w:pStyle w:val="table10"/>
            </w:pPr>
            <w:r>
              <w:t> </w:t>
            </w:r>
          </w:p>
        </w:tc>
      </w:tr>
      <w:tr w:rsidR="006D3001">
        <w:trPr>
          <w:trHeight w:val="240"/>
        </w:trPr>
        <w:tc>
          <w:tcPr>
            <w:tcW w:w="390" w:type="pct"/>
            <w:tcBorders>
              <w:top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287"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272"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30"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68"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287" w:type="pct"/>
            <w:tcBorders>
              <w:top w:val="single" w:sz="4" w:space="0" w:color="auto"/>
              <w:left w:val="single" w:sz="4" w:space="0" w:color="auto"/>
            </w:tcBorders>
            <w:tcMar>
              <w:top w:w="0" w:type="dxa"/>
              <w:left w:w="6" w:type="dxa"/>
              <w:bottom w:w="0" w:type="dxa"/>
              <w:right w:w="6" w:type="dxa"/>
            </w:tcMar>
            <w:hideMark/>
          </w:tcPr>
          <w:p w:rsidR="006D3001" w:rsidRDefault="006D3001">
            <w:pPr>
              <w:pStyle w:val="table10"/>
            </w:pPr>
            <w:r>
              <w:t> </w:t>
            </w:r>
          </w:p>
        </w:tc>
      </w:tr>
    </w:tbl>
    <w:p w:rsidR="006D3001" w:rsidRDefault="006D3001">
      <w:pPr>
        <w:pStyle w:val="newncpi"/>
      </w:pPr>
      <w:r>
        <w:t> </w:t>
      </w:r>
    </w:p>
    <w:p w:rsidR="006D3001" w:rsidRDefault="006D3001">
      <w:pPr>
        <w:pStyle w:val="newncpi0"/>
      </w:pPr>
      <w:r>
        <w:t>_______________________________</w:t>
      </w:r>
    </w:p>
    <w:p w:rsidR="006D3001" w:rsidRDefault="006D3001">
      <w:pPr>
        <w:pStyle w:val="underline"/>
        <w:ind w:firstLine="408"/>
      </w:pPr>
      <w:r>
        <w:lastRenderedPageBreak/>
        <w:t>(подпись ответственного лица)</w:t>
      </w:r>
    </w:p>
    <w:p w:rsidR="006D3001" w:rsidRDefault="006D3001">
      <w:pPr>
        <w:pStyle w:val="endform"/>
      </w:pPr>
      <w:r>
        <w:t> </w:t>
      </w:r>
    </w:p>
    <w:p w:rsidR="006D3001" w:rsidRDefault="006D3001">
      <w:pPr>
        <w:pStyle w:val="newncpi"/>
      </w:pPr>
      <w:r>
        <w:t> </w:t>
      </w:r>
    </w:p>
    <w:tbl>
      <w:tblPr>
        <w:tblW w:w="5000" w:type="pct"/>
        <w:tblCellMar>
          <w:left w:w="0" w:type="dxa"/>
          <w:right w:w="0" w:type="dxa"/>
        </w:tblCellMar>
        <w:tblLook w:val="04A0" w:firstRow="1" w:lastRow="0" w:firstColumn="1" w:lastColumn="0" w:noHBand="0" w:noVBand="1"/>
      </w:tblPr>
      <w:tblGrid>
        <w:gridCol w:w="11790"/>
        <w:gridCol w:w="4419"/>
      </w:tblGrid>
      <w:tr w:rsidR="006D3001">
        <w:tc>
          <w:tcPr>
            <w:tcW w:w="3637" w:type="pct"/>
            <w:tcMar>
              <w:top w:w="0" w:type="dxa"/>
              <w:left w:w="6" w:type="dxa"/>
              <w:bottom w:w="0" w:type="dxa"/>
              <w:right w:w="6" w:type="dxa"/>
            </w:tcMar>
            <w:hideMark/>
          </w:tcPr>
          <w:p w:rsidR="006D3001" w:rsidRDefault="006D3001">
            <w:pPr>
              <w:pStyle w:val="newncpi"/>
            </w:pPr>
            <w:r>
              <w:t> </w:t>
            </w:r>
          </w:p>
        </w:tc>
        <w:tc>
          <w:tcPr>
            <w:tcW w:w="1363" w:type="pct"/>
            <w:tcMar>
              <w:top w:w="0" w:type="dxa"/>
              <w:left w:w="6" w:type="dxa"/>
              <w:bottom w:w="0" w:type="dxa"/>
              <w:right w:w="6" w:type="dxa"/>
            </w:tcMar>
            <w:hideMark/>
          </w:tcPr>
          <w:p w:rsidR="006D3001" w:rsidRDefault="006D3001">
            <w:pPr>
              <w:pStyle w:val="append1"/>
            </w:pPr>
            <w:r>
              <w:t>Приложение 2</w:t>
            </w:r>
          </w:p>
          <w:p w:rsidR="006D3001" w:rsidRDefault="006D3001">
            <w:pPr>
              <w:pStyle w:val="append"/>
            </w:pPr>
            <w:r>
              <w:t xml:space="preserve">к Инструкции о порядке </w:t>
            </w:r>
            <w:r>
              <w:br/>
              <w:t xml:space="preserve">и условиях образования </w:t>
            </w:r>
            <w:r>
              <w:br/>
              <w:t xml:space="preserve">страховых резервов </w:t>
            </w:r>
            <w:r>
              <w:br/>
              <w:t xml:space="preserve">страховых организаций, </w:t>
            </w:r>
            <w:r>
              <w:br/>
              <w:t xml:space="preserve">осуществляющих </w:t>
            </w:r>
            <w:r>
              <w:br/>
              <w:t>страхование жизни</w:t>
            </w:r>
          </w:p>
        </w:tc>
      </w:tr>
    </w:tbl>
    <w:p w:rsidR="006D3001" w:rsidRDefault="006D3001">
      <w:pPr>
        <w:pStyle w:val="begform"/>
      </w:pPr>
      <w:r>
        <w:t> </w:t>
      </w:r>
    </w:p>
    <w:p w:rsidR="006D3001" w:rsidRDefault="006D3001">
      <w:pPr>
        <w:pStyle w:val="onestring"/>
      </w:pPr>
      <w:r>
        <w:t>Форма</w:t>
      </w:r>
    </w:p>
    <w:p w:rsidR="006D3001" w:rsidRDefault="006D3001">
      <w:pPr>
        <w:pStyle w:val="newncpi"/>
      </w:pPr>
      <w:r>
        <w:t> </w:t>
      </w:r>
    </w:p>
    <w:p w:rsidR="006D3001" w:rsidRDefault="006D3001">
      <w:pPr>
        <w:pStyle w:val="newncpi"/>
      </w:pPr>
      <w:r>
        <w:t>Страховая организация _______________________</w:t>
      </w:r>
    </w:p>
    <w:p w:rsidR="006D3001" w:rsidRDefault="006D3001">
      <w:pPr>
        <w:pStyle w:val="titlep"/>
      </w:pPr>
      <w:r>
        <w:t>РАСЧЕТ</w:t>
      </w:r>
      <w:r>
        <w:br/>
        <w:t>резерва дополнительных выплат</w:t>
      </w:r>
    </w:p>
    <w:p w:rsidR="006D3001" w:rsidRDefault="006D3001">
      <w:pPr>
        <w:pStyle w:val="newncpi"/>
      </w:pPr>
      <w:r>
        <w:t>Отчетная дата ____________</w:t>
      </w:r>
    </w:p>
    <w:p w:rsidR="006D3001" w:rsidRDefault="006D3001">
      <w:pPr>
        <w:pStyle w:val="newncpi"/>
      </w:pPr>
      <w:r>
        <w:t>Валюта страхования _______________</w:t>
      </w:r>
    </w:p>
    <w:p w:rsidR="006D3001" w:rsidRDefault="006D3001">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7"/>
        <w:gridCol w:w="1444"/>
        <w:gridCol w:w="1444"/>
        <w:gridCol w:w="1443"/>
        <w:gridCol w:w="1395"/>
        <w:gridCol w:w="1443"/>
        <w:gridCol w:w="1395"/>
        <w:gridCol w:w="1443"/>
        <w:gridCol w:w="1552"/>
        <w:gridCol w:w="1443"/>
        <w:gridCol w:w="667"/>
        <w:gridCol w:w="1443"/>
      </w:tblGrid>
      <w:tr w:rsidR="006D3001">
        <w:trPr>
          <w:trHeight w:val="240"/>
        </w:trPr>
        <w:tc>
          <w:tcPr>
            <w:tcW w:w="198" w:type="pct"/>
            <w:tcBorders>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Белорусские рубли или иная валюта</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Резерв дополнительных выплат на начало отчетного периода</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Выплаты, произведенные из резерва дополнительных выплат за отчетный период</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Сумма резерва дополнительных выплат, начисленного на начало отчетного периода, но не подлежащего выплате за отчетный период</w:t>
            </w:r>
          </w:p>
        </w:tc>
        <w:tc>
          <w:tcPr>
            <w:tcW w:w="4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Доход за отчетный период, полученный от осуществления инвестиций посредством вложения средств математических резервов и их размещения</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Доход за отчетный период, полученный от осуществления инвестиций посредством вложения средств резерва дополнительных выплат и их размещения</w:t>
            </w:r>
          </w:p>
        </w:tc>
        <w:tc>
          <w:tcPr>
            <w:tcW w:w="4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 xml:space="preserve">Коэффициент, определяющий </w:t>
            </w:r>
            <w:proofErr w:type="gramStart"/>
            <w:r>
              <w:t>долю</w:t>
            </w:r>
            <w:proofErr w:type="gramEnd"/>
            <w:r>
              <w:t xml:space="preserve"> прибыли от осуществления инвестиций посредством вложения средств математических резервов и их размещения, направляемую на увеличение накоплений застрахованных лиц</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Расходы по осуществлению инвестиций посредством вложения средств математических резервов и резерва дополнительных выплат и их размещения</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Сумма гарантированного дохода, начисленного за отчетный период по действующим договорам страхования</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Резерв дополнительных выплат на конец отчетного периода</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001" w:rsidRDefault="006D3001">
            <w:pPr>
              <w:pStyle w:val="table10"/>
              <w:jc w:val="center"/>
            </w:pPr>
            <w:r>
              <w:t>Курс валюты</w:t>
            </w:r>
          </w:p>
        </w:tc>
        <w:tc>
          <w:tcPr>
            <w:tcW w:w="458" w:type="pct"/>
            <w:tcBorders>
              <w:left w:val="single" w:sz="4" w:space="0" w:color="auto"/>
              <w:bottom w:val="single" w:sz="4" w:space="0" w:color="auto"/>
            </w:tcBorders>
            <w:tcMar>
              <w:top w:w="0" w:type="dxa"/>
              <w:left w:w="6" w:type="dxa"/>
              <w:bottom w:w="0" w:type="dxa"/>
              <w:right w:w="6" w:type="dxa"/>
            </w:tcMar>
            <w:vAlign w:val="center"/>
            <w:hideMark/>
          </w:tcPr>
          <w:p w:rsidR="006D3001" w:rsidRDefault="006D3001">
            <w:pPr>
              <w:pStyle w:val="table10"/>
              <w:jc w:val="center"/>
            </w:pPr>
            <w:r>
              <w:t>Резерв дополнительных выплат на конец отчетного периода, белорусских рублей</w:t>
            </w:r>
          </w:p>
        </w:tc>
      </w:tr>
      <w:tr w:rsidR="006D3001">
        <w:trPr>
          <w:trHeight w:val="240"/>
        </w:trPr>
        <w:tc>
          <w:tcPr>
            <w:tcW w:w="198" w:type="pct"/>
            <w:tcBorders>
              <w:top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jc w:val="center"/>
            </w:pPr>
            <w:r>
              <w:t>1</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jc w:val="center"/>
            </w:pPr>
            <w:r>
              <w:t>2</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jc w:val="center"/>
            </w:pPr>
            <w:r>
              <w:t>3</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jc w:val="center"/>
            </w:pPr>
            <w:r>
              <w:t>4</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jc w:val="center"/>
            </w:pPr>
            <w:r>
              <w:t>5</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jc w:val="center"/>
            </w:pPr>
            <w:r>
              <w:t>6</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jc w:val="center"/>
            </w:pPr>
            <w:r>
              <w:t>7</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jc w:val="center"/>
            </w:pPr>
            <w:r>
              <w:t>8</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jc w:val="center"/>
            </w:pPr>
            <w:r>
              <w:t>9</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jc w:val="center"/>
            </w:pPr>
            <w:r>
              <w:t>10</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jc w:val="center"/>
            </w:pPr>
            <w:r>
              <w:t>11</w:t>
            </w:r>
          </w:p>
        </w:tc>
        <w:tc>
          <w:tcPr>
            <w:tcW w:w="458" w:type="pct"/>
            <w:tcBorders>
              <w:top w:val="single" w:sz="4" w:space="0" w:color="auto"/>
              <w:left w:val="single" w:sz="4" w:space="0" w:color="auto"/>
              <w:bottom w:val="single" w:sz="4" w:space="0" w:color="auto"/>
            </w:tcBorders>
            <w:tcMar>
              <w:top w:w="0" w:type="dxa"/>
              <w:left w:w="6" w:type="dxa"/>
              <w:bottom w:w="0" w:type="dxa"/>
              <w:right w:w="6" w:type="dxa"/>
            </w:tcMar>
            <w:hideMark/>
          </w:tcPr>
          <w:p w:rsidR="006D3001" w:rsidRDefault="006D3001">
            <w:pPr>
              <w:pStyle w:val="table10"/>
              <w:jc w:val="center"/>
            </w:pPr>
            <w:r>
              <w:t>12</w:t>
            </w:r>
          </w:p>
        </w:tc>
      </w:tr>
      <w:tr w:rsidR="006D3001">
        <w:trPr>
          <w:trHeight w:val="240"/>
        </w:trPr>
        <w:tc>
          <w:tcPr>
            <w:tcW w:w="198" w:type="pct"/>
            <w:tcBorders>
              <w:top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8" w:type="pct"/>
            <w:tcBorders>
              <w:top w:val="single" w:sz="4" w:space="0" w:color="auto"/>
              <w:left w:val="single" w:sz="4" w:space="0" w:color="auto"/>
              <w:bottom w:val="single" w:sz="4" w:space="0" w:color="auto"/>
            </w:tcBorders>
            <w:tcMar>
              <w:top w:w="0" w:type="dxa"/>
              <w:left w:w="6" w:type="dxa"/>
              <w:bottom w:w="0" w:type="dxa"/>
              <w:right w:w="6" w:type="dxa"/>
            </w:tcMar>
            <w:hideMark/>
          </w:tcPr>
          <w:p w:rsidR="006D3001" w:rsidRDefault="006D3001">
            <w:pPr>
              <w:pStyle w:val="table10"/>
            </w:pPr>
            <w:r>
              <w:t> </w:t>
            </w:r>
          </w:p>
        </w:tc>
      </w:tr>
      <w:tr w:rsidR="006D3001">
        <w:trPr>
          <w:trHeight w:val="240"/>
        </w:trPr>
        <w:tc>
          <w:tcPr>
            <w:tcW w:w="198" w:type="pct"/>
            <w:tcBorders>
              <w:top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rsidR="006D3001" w:rsidRDefault="006D3001">
            <w:pPr>
              <w:pStyle w:val="table10"/>
            </w:pPr>
            <w:r>
              <w:t> </w:t>
            </w:r>
          </w:p>
        </w:tc>
        <w:tc>
          <w:tcPr>
            <w:tcW w:w="458" w:type="pct"/>
            <w:tcBorders>
              <w:top w:val="single" w:sz="4" w:space="0" w:color="auto"/>
              <w:left w:val="single" w:sz="4" w:space="0" w:color="auto"/>
            </w:tcBorders>
            <w:tcMar>
              <w:top w:w="0" w:type="dxa"/>
              <w:left w:w="6" w:type="dxa"/>
              <w:bottom w:w="0" w:type="dxa"/>
              <w:right w:w="6" w:type="dxa"/>
            </w:tcMar>
            <w:hideMark/>
          </w:tcPr>
          <w:p w:rsidR="006D3001" w:rsidRDefault="006D3001">
            <w:pPr>
              <w:pStyle w:val="table10"/>
            </w:pPr>
            <w:r>
              <w:t> </w:t>
            </w:r>
          </w:p>
        </w:tc>
      </w:tr>
    </w:tbl>
    <w:p w:rsidR="006D3001" w:rsidRDefault="006D3001">
      <w:pPr>
        <w:pStyle w:val="newncpi"/>
      </w:pPr>
      <w:r>
        <w:lastRenderedPageBreak/>
        <w:t> </w:t>
      </w:r>
    </w:p>
    <w:p w:rsidR="006D3001" w:rsidRDefault="006D3001">
      <w:pPr>
        <w:pStyle w:val="newncpi0"/>
      </w:pPr>
      <w:r>
        <w:t>_______________________________</w:t>
      </w:r>
    </w:p>
    <w:p w:rsidR="006D3001" w:rsidRDefault="006D3001">
      <w:pPr>
        <w:pStyle w:val="underline"/>
        <w:ind w:firstLine="408"/>
      </w:pPr>
      <w:r>
        <w:t>(подпись ответственного лица)</w:t>
      </w:r>
    </w:p>
    <w:p w:rsidR="006D3001" w:rsidRDefault="006D3001">
      <w:pPr>
        <w:pStyle w:val="endform"/>
      </w:pPr>
      <w:r>
        <w:t> </w:t>
      </w:r>
    </w:p>
    <w:p w:rsidR="006D3001" w:rsidRDefault="006D3001">
      <w:pPr>
        <w:pStyle w:val="newncpi"/>
      </w:pPr>
      <w:r>
        <w:t> </w:t>
      </w:r>
    </w:p>
    <w:p w:rsidR="000472C3" w:rsidRDefault="000472C3"/>
    <w:sectPr w:rsidR="000472C3" w:rsidSect="006D3001">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CB8" w:rsidRDefault="00785CB8" w:rsidP="006D3001">
      <w:pPr>
        <w:spacing w:after="0" w:line="240" w:lineRule="auto"/>
      </w:pPr>
      <w:r>
        <w:separator/>
      </w:r>
    </w:p>
  </w:endnote>
  <w:endnote w:type="continuationSeparator" w:id="0">
    <w:p w:rsidR="00785CB8" w:rsidRDefault="00785CB8" w:rsidP="006D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01" w:rsidRDefault="006D30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01" w:rsidRDefault="006D30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6D3001" w:rsidTr="006D3001">
      <w:tc>
        <w:tcPr>
          <w:tcW w:w="1800" w:type="dxa"/>
          <w:shd w:val="clear" w:color="auto" w:fill="auto"/>
          <w:vAlign w:val="center"/>
        </w:tcPr>
        <w:p w:rsidR="006D3001" w:rsidRDefault="006D3001">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6D3001" w:rsidRDefault="006D300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D3001" w:rsidRDefault="006D300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23.10.2019</w:t>
          </w:r>
        </w:p>
        <w:p w:rsidR="006D3001" w:rsidRPr="006D3001" w:rsidRDefault="006D300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D3001" w:rsidRDefault="006D30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CB8" w:rsidRDefault="00785CB8" w:rsidP="006D3001">
      <w:pPr>
        <w:spacing w:after="0" w:line="240" w:lineRule="auto"/>
      </w:pPr>
      <w:r>
        <w:separator/>
      </w:r>
    </w:p>
  </w:footnote>
  <w:footnote w:type="continuationSeparator" w:id="0">
    <w:p w:rsidR="00785CB8" w:rsidRDefault="00785CB8" w:rsidP="006D3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01" w:rsidRDefault="006D3001" w:rsidP="000A143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6D3001" w:rsidRDefault="006D30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01" w:rsidRPr="006D3001" w:rsidRDefault="006D3001" w:rsidP="000A1434">
    <w:pPr>
      <w:pStyle w:val="a3"/>
      <w:framePr w:wrap="around" w:vAnchor="text" w:hAnchor="margin" w:xAlign="center" w:y="1"/>
      <w:rPr>
        <w:rStyle w:val="a7"/>
        <w:rFonts w:ascii="Times New Roman" w:hAnsi="Times New Roman" w:cs="Times New Roman"/>
        <w:sz w:val="24"/>
      </w:rPr>
    </w:pPr>
    <w:r w:rsidRPr="006D3001">
      <w:rPr>
        <w:rStyle w:val="a7"/>
        <w:rFonts w:ascii="Times New Roman" w:hAnsi="Times New Roman" w:cs="Times New Roman"/>
        <w:sz w:val="24"/>
      </w:rPr>
      <w:fldChar w:fldCharType="begin"/>
    </w:r>
    <w:r w:rsidRPr="006D3001">
      <w:rPr>
        <w:rStyle w:val="a7"/>
        <w:rFonts w:ascii="Times New Roman" w:hAnsi="Times New Roman" w:cs="Times New Roman"/>
        <w:sz w:val="24"/>
      </w:rPr>
      <w:instrText xml:space="preserve"> PAGE </w:instrText>
    </w:r>
    <w:r w:rsidRPr="006D3001">
      <w:rPr>
        <w:rStyle w:val="a7"/>
        <w:rFonts w:ascii="Times New Roman" w:hAnsi="Times New Roman" w:cs="Times New Roman"/>
        <w:sz w:val="24"/>
      </w:rPr>
      <w:fldChar w:fldCharType="separate"/>
    </w:r>
    <w:r w:rsidRPr="006D3001">
      <w:rPr>
        <w:rStyle w:val="a7"/>
        <w:rFonts w:ascii="Times New Roman" w:hAnsi="Times New Roman" w:cs="Times New Roman"/>
        <w:noProof/>
        <w:sz w:val="24"/>
      </w:rPr>
      <w:t>16</w:t>
    </w:r>
    <w:r w:rsidRPr="006D3001">
      <w:rPr>
        <w:rStyle w:val="a7"/>
        <w:rFonts w:ascii="Times New Roman" w:hAnsi="Times New Roman" w:cs="Times New Roman"/>
        <w:sz w:val="24"/>
      </w:rPr>
      <w:fldChar w:fldCharType="end"/>
    </w:r>
  </w:p>
  <w:p w:rsidR="006D3001" w:rsidRPr="006D3001" w:rsidRDefault="006D3001">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01" w:rsidRDefault="006D30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01"/>
    <w:rsid w:val="000472C3"/>
    <w:rsid w:val="005D4193"/>
    <w:rsid w:val="006D3001"/>
    <w:rsid w:val="00785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77D18C-9F72-4777-95CD-B2F1C108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D300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D300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D300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D300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D300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D30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D30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D30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6D300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D300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D300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D300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D300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D300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D300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D30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D3001"/>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D300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D3001"/>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6D300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D3001"/>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6D3001"/>
    <w:rPr>
      <w:rFonts w:ascii="Times New Roman" w:hAnsi="Times New Roman" w:cs="Times New Roman" w:hint="default"/>
      <w:caps/>
    </w:rPr>
  </w:style>
  <w:style w:type="character" w:customStyle="1" w:styleId="promulgator">
    <w:name w:val="promulgator"/>
    <w:basedOn w:val="a0"/>
    <w:rsid w:val="006D3001"/>
    <w:rPr>
      <w:rFonts w:ascii="Times New Roman" w:hAnsi="Times New Roman" w:cs="Times New Roman" w:hint="default"/>
      <w:caps/>
    </w:rPr>
  </w:style>
  <w:style w:type="character" w:customStyle="1" w:styleId="datepr">
    <w:name w:val="datepr"/>
    <w:basedOn w:val="a0"/>
    <w:rsid w:val="006D3001"/>
    <w:rPr>
      <w:rFonts w:ascii="Times New Roman" w:hAnsi="Times New Roman" w:cs="Times New Roman" w:hint="default"/>
    </w:rPr>
  </w:style>
  <w:style w:type="character" w:customStyle="1" w:styleId="number">
    <w:name w:val="number"/>
    <w:basedOn w:val="a0"/>
    <w:rsid w:val="006D3001"/>
    <w:rPr>
      <w:rFonts w:ascii="Times New Roman" w:hAnsi="Times New Roman" w:cs="Times New Roman" w:hint="default"/>
    </w:rPr>
  </w:style>
  <w:style w:type="character" w:customStyle="1" w:styleId="onesymbol">
    <w:name w:val="onesymbol"/>
    <w:basedOn w:val="a0"/>
    <w:rsid w:val="006D3001"/>
    <w:rPr>
      <w:rFonts w:ascii="Symbol" w:hAnsi="Symbol" w:hint="default"/>
    </w:rPr>
  </w:style>
  <w:style w:type="character" w:customStyle="1" w:styleId="post">
    <w:name w:val="post"/>
    <w:basedOn w:val="a0"/>
    <w:rsid w:val="006D3001"/>
    <w:rPr>
      <w:rFonts w:ascii="Times New Roman" w:hAnsi="Times New Roman" w:cs="Times New Roman" w:hint="default"/>
      <w:b/>
      <w:bCs/>
      <w:sz w:val="22"/>
      <w:szCs w:val="22"/>
    </w:rPr>
  </w:style>
  <w:style w:type="character" w:customStyle="1" w:styleId="pers">
    <w:name w:val="pers"/>
    <w:basedOn w:val="a0"/>
    <w:rsid w:val="006D3001"/>
    <w:rPr>
      <w:rFonts w:ascii="Times New Roman" w:hAnsi="Times New Roman" w:cs="Times New Roman" w:hint="default"/>
      <w:b/>
      <w:bCs/>
      <w:sz w:val="22"/>
      <w:szCs w:val="22"/>
    </w:rPr>
  </w:style>
  <w:style w:type="table" w:customStyle="1" w:styleId="tablencpi">
    <w:name w:val="tablencpi"/>
    <w:basedOn w:val="a1"/>
    <w:rsid w:val="006D300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D30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001"/>
  </w:style>
  <w:style w:type="paragraph" w:styleId="a5">
    <w:name w:val="footer"/>
    <w:basedOn w:val="a"/>
    <w:link w:val="a6"/>
    <w:uiPriority w:val="99"/>
    <w:unhideWhenUsed/>
    <w:rsid w:val="006D30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3001"/>
  </w:style>
  <w:style w:type="character" w:styleId="a7">
    <w:name w:val="page number"/>
    <w:basedOn w:val="a0"/>
    <w:uiPriority w:val="99"/>
    <w:semiHidden/>
    <w:unhideWhenUsed/>
    <w:rsid w:val="006D3001"/>
  </w:style>
  <w:style w:type="table" w:styleId="a8">
    <w:name w:val="Table Grid"/>
    <w:basedOn w:val="a1"/>
    <w:uiPriority w:val="39"/>
    <w:rsid w:val="006D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5135</Words>
  <Characters>36924</Characters>
  <Application>Microsoft Office Word</Application>
  <DocSecurity>0</DocSecurity>
  <Lines>1054</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2019-10-23T13:05:00Z</dcterms:created>
  <dcterms:modified xsi:type="dcterms:W3CDTF">2019-10-23T13:09:00Z</dcterms:modified>
</cp:coreProperties>
</file>