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F8" w:rsidRDefault="00EC36F8">
      <w:pPr>
        <w:pStyle w:val="newncpi0"/>
        <w:jc w:val="center"/>
      </w:pPr>
      <w:bookmarkStart w:id="0" w:name="_GoBack"/>
      <w:bookmarkEnd w:id="0"/>
      <w:r>
        <w:rPr>
          <w:rStyle w:val="name"/>
        </w:rPr>
        <w:t>ПОСТАНОВЛЕНИЕ </w:t>
      </w:r>
      <w:r>
        <w:rPr>
          <w:rStyle w:val="promulgator"/>
        </w:rPr>
        <w:t>МИНИСТЕРСТВА ПО ЧРЕЗВЫЧАЙНЫМ СИТУАЦИЯМ РЕСПУБЛИКИ БЕЛАРУСЬ</w:t>
      </w:r>
    </w:p>
    <w:p w:rsidR="00EC36F8" w:rsidRDefault="00EC36F8">
      <w:pPr>
        <w:pStyle w:val="newncpi"/>
        <w:ind w:firstLine="0"/>
        <w:jc w:val="center"/>
      </w:pPr>
      <w:r>
        <w:rPr>
          <w:rStyle w:val="datepr"/>
        </w:rPr>
        <w:t>1 августа 2019 г.</w:t>
      </w:r>
      <w:r>
        <w:rPr>
          <w:rStyle w:val="number"/>
        </w:rPr>
        <w:t xml:space="preserve"> № 49</w:t>
      </w:r>
    </w:p>
    <w:p w:rsidR="00EC36F8" w:rsidRDefault="00EC36F8">
      <w:pPr>
        <w:pStyle w:val="titlencpi"/>
      </w:pPr>
      <w:r>
        <w:t>Об оценке состояния пожарной безопасности объекта для целей страхования</w:t>
      </w:r>
    </w:p>
    <w:p w:rsidR="00EC36F8" w:rsidRDefault="00EC36F8">
      <w:pPr>
        <w:pStyle w:val="preamble"/>
      </w:pPr>
      <w:r>
        <w:t>На основании частей четвертой и пятой пункта 434 Положения о страховой деятельности в Республике Беларусь, утвержденного Указом Президента Республики Беларусь от 25 августа 2006 г. № 530, подпункта 7.4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Министерство по чрезвычайным ситуациям Республики Беларусь ПОСТАНОВЛЯЕТ:</w:t>
      </w:r>
    </w:p>
    <w:p w:rsidR="00EC36F8" w:rsidRDefault="00EC36F8">
      <w:pPr>
        <w:pStyle w:val="point"/>
      </w:pPr>
      <w:r>
        <w:t>1. Утвердить:</w:t>
      </w:r>
    </w:p>
    <w:p w:rsidR="00EC36F8" w:rsidRDefault="00EC36F8">
      <w:pPr>
        <w:pStyle w:val="newncpi"/>
      </w:pPr>
      <w:r>
        <w:t>Инструкцию о порядке заполнения чек-листа, содержащего сведения о состоянии пожарной безопасности объекта (прилагается);</w:t>
      </w:r>
    </w:p>
    <w:p w:rsidR="00EC36F8" w:rsidRDefault="00EC36F8">
      <w:pPr>
        <w:pStyle w:val="newncpi"/>
      </w:pPr>
      <w:r>
        <w:t>Инструкцию о порядке проведения страховщиком оценки состояния пожарной безопасности объекта (прилагается).</w:t>
      </w:r>
    </w:p>
    <w:p w:rsidR="00EC36F8" w:rsidRDefault="00EC36F8">
      <w:pPr>
        <w:pStyle w:val="point"/>
      </w:pPr>
      <w:r>
        <w:t>2. Установить форму чек-листа, содержащего сведения о состоянии пожарной безопасности объекта, согласно приложению.</w:t>
      </w:r>
    </w:p>
    <w:p w:rsidR="00EC36F8" w:rsidRDefault="00EC36F8">
      <w:pPr>
        <w:pStyle w:val="point"/>
      </w:pPr>
      <w:r>
        <w:t>3. Настоящее постановление вступает в силу с 1 сентября 2019 г.</w:t>
      </w:r>
    </w:p>
    <w:p w:rsidR="00EC36F8" w:rsidRDefault="00EC36F8">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EC36F8">
        <w:tc>
          <w:tcPr>
            <w:tcW w:w="2500" w:type="pct"/>
            <w:tcMar>
              <w:top w:w="0" w:type="dxa"/>
              <w:left w:w="6" w:type="dxa"/>
              <w:bottom w:w="0" w:type="dxa"/>
              <w:right w:w="6" w:type="dxa"/>
            </w:tcMar>
            <w:vAlign w:val="bottom"/>
            <w:hideMark/>
          </w:tcPr>
          <w:p w:rsidR="00EC36F8" w:rsidRDefault="00EC36F8">
            <w:pPr>
              <w:pStyle w:val="newncpi0"/>
              <w:jc w:val="left"/>
            </w:pPr>
            <w:r>
              <w:rPr>
                <w:rStyle w:val="post"/>
              </w:rPr>
              <w:t>Министр</w:t>
            </w:r>
          </w:p>
        </w:tc>
        <w:tc>
          <w:tcPr>
            <w:tcW w:w="2500" w:type="pct"/>
            <w:tcMar>
              <w:top w:w="0" w:type="dxa"/>
              <w:left w:w="6" w:type="dxa"/>
              <w:bottom w:w="0" w:type="dxa"/>
              <w:right w:w="6" w:type="dxa"/>
            </w:tcMar>
            <w:vAlign w:val="bottom"/>
            <w:hideMark/>
          </w:tcPr>
          <w:p w:rsidR="00EC36F8" w:rsidRDefault="00EC36F8">
            <w:pPr>
              <w:pStyle w:val="newncpi0"/>
              <w:jc w:val="right"/>
            </w:pPr>
            <w:proofErr w:type="spellStart"/>
            <w:r>
              <w:rPr>
                <w:rStyle w:val="pers"/>
              </w:rPr>
              <w:t>В.А.Ващенко</w:t>
            </w:r>
            <w:proofErr w:type="spellEnd"/>
          </w:p>
        </w:tc>
      </w:tr>
    </w:tbl>
    <w:p w:rsidR="00EC36F8" w:rsidRDefault="00EC36F8">
      <w:pPr>
        <w:pStyle w:val="newncpi"/>
      </w:pPr>
      <w:r>
        <w:t> </w:t>
      </w:r>
    </w:p>
    <w:p w:rsidR="00EC36F8" w:rsidRDefault="00EC36F8">
      <w:pPr>
        <w:rPr>
          <w:rFonts w:eastAsia="Times New Roman"/>
        </w:rPr>
        <w:sectPr w:rsidR="00EC36F8" w:rsidSect="00EC36F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EC36F8" w:rsidRDefault="00EC36F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183"/>
        <w:gridCol w:w="3048"/>
      </w:tblGrid>
      <w:tr w:rsidR="00EC36F8">
        <w:tc>
          <w:tcPr>
            <w:tcW w:w="4061" w:type="pct"/>
            <w:tcMar>
              <w:top w:w="0" w:type="dxa"/>
              <w:left w:w="6" w:type="dxa"/>
              <w:bottom w:w="0" w:type="dxa"/>
              <w:right w:w="6" w:type="dxa"/>
            </w:tcMar>
            <w:hideMark/>
          </w:tcPr>
          <w:p w:rsidR="00EC36F8" w:rsidRDefault="00EC36F8">
            <w:pPr>
              <w:pStyle w:val="newncpi"/>
              <w:ind w:firstLine="0"/>
            </w:pPr>
            <w:r>
              <w:t> </w:t>
            </w:r>
          </w:p>
        </w:tc>
        <w:tc>
          <w:tcPr>
            <w:tcW w:w="939" w:type="pct"/>
            <w:tcMar>
              <w:top w:w="0" w:type="dxa"/>
              <w:left w:w="6" w:type="dxa"/>
              <w:bottom w:w="0" w:type="dxa"/>
              <w:right w:w="6" w:type="dxa"/>
            </w:tcMar>
            <w:hideMark/>
          </w:tcPr>
          <w:p w:rsidR="00EC36F8" w:rsidRDefault="00EC36F8">
            <w:pPr>
              <w:pStyle w:val="append1"/>
            </w:pPr>
            <w:r>
              <w:t>Приложение</w:t>
            </w:r>
          </w:p>
          <w:p w:rsidR="00EC36F8" w:rsidRDefault="00EC36F8">
            <w:pPr>
              <w:pStyle w:val="append"/>
            </w:pPr>
            <w:r>
              <w:t xml:space="preserve">к постановлению </w:t>
            </w:r>
            <w:r>
              <w:br/>
              <w:t xml:space="preserve">Министерства </w:t>
            </w:r>
            <w:r>
              <w:br/>
              <w:t xml:space="preserve">по чрезвычайным ситуациям </w:t>
            </w:r>
            <w:r>
              <w:br/>
              <w:t>Республики Беларусь</w:t>
            </w:r>
            <w:r>
              <w:br/>
              <w:t>01.08.2019 № 49</w:t>
            </w:r>
          </w:p>
        </w:tc>
      </w:tr>
    </w:tbl>
    <w:p w:rsidR="00EC36F8" w:rsidRDefault="00EC36F8">
      <w:pPr>
        <w:pStyle w:val="begform"/>
      </w:pPr>
      <w:r>
        <w:t> </w:t>
      </w:r>
    </w:p>
    <w:p w:rsidR="00EC36F8" w:rsidRDefault="00EC36F8">
      <w:pPr>
        <w:pStyle w:val="onestring"/>
      </w:pPr>
      <w:r>
        <w:t>Форма</w:t>
      </w:r>
    </w:p>
    <w:p w:rsidR="00EC36F8" w:rsidRDefault="00EC36F8">
      <w:pPr>
        <w:pStyle w:val="titlep"/>
      </w:pPr>
      <w:r>
        <w:t>ЧЕК-ЛИСТ,</w:t>
      </w:r>
      <w:r>
        <w:br/>
        <w:t>содержащий сведения о состоянии пожарной безопасности объекта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000"/>
        <w:gridCol w:w="8221"/>
      </w:tblGrid>
      <w:tr w:rsidR="00EC36F8">
        <w:trPr>
          <w:trHeight w:val="240"/>
        </w:trPr>
        <w:tc>
          <w:tcPr>
            <w:tcW w:w="2466" w:type="pct"/>
            <w:tcBorders>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СВЕДЕНИЯ О СУБЪЕКТЕ ХОЗЯЙСТВОВАНИЯ</w:t>
            </w:r>
          </w:p>
        </w:tc>
        <w:tc>
          <w:tcPr>
            <w:tcW w:w="2534" w:type="pct"/>
            <w:tcBorders>
              <w:left w:val="single" w:sz="4" w:space="0" w:color="auto"/>
              <w:bottom w:val="single" w:sz="4" w:space="0" w:color="auto"/>
            </w:tcBorders>
            <w:tcMar>
              <w:top w:w="0" w:type="dxa"/>
              <w:left w:w="6" w:type="dxa"/>
              <w:bottom w:w="0" w:type="dxa"/>
              <w:right w:w="6" w:type="dxa"/>
            </w:tcMar>
            <w:hideMark/>
          </w:tcPr>
          <w:p w:rsidR="00EC36F8" w:rsidRDefault="00EC36F8">
            <w:pPr>
              <w:pStyle w:val="table10"/>
              <w:jc w:val="center"/>
            </w:pPr>
            <w:r>
              <w:t>СВЕДЕНИЯ ОБ ОБЪЕКТЕ</w:t>
            </w:r>
          </w:p>
        </w:tc>
      </w:tr>
      <w:tr w:rsidR="00EC36F8">
        <w:trPr>
          <w:trHeight w:val="2300"/>
        </w:trPr>
        <w:tc>
          <w:tcPr>
            <w:tcW w:w="2466" w:type="pct"/>
            <w:tcBorders>
              <w:top w:val="single" w:sz="4" w:space="0" w:color="auto"/>
              <w:right w:val="single" w:sz="4" w:space="0" w:color="auto"/>
            </w:tcBorders>
            <w:tcMar>
              <w:top w:w="0" w:type="dxa"/>
              <w:left w:w="6" w:type="dxa"/>
              <w:bottom w:w="0" w:type="dxa"/>
              <w:right w:w="6" w:type="dxa"/>
            </w:tcMar>
            <w:hideMark/>
          </w:tcPr>
          <w:p w:rsidR="00EC36F8" w:rsidRDefault="00EC36F8">
            <w:pPr>
              <w:pStyle w:val="table10"/>
              <w:spacing w:before="120"/>
            </w:pPr>
            <w:r>
              <w:t>Наименование субъекта хозяйствования ________________________________________</w:t>
            </w:r>
            <w:r>
              <w:br/>
              <w:t>_________________________________________________________________________</w:t>
            </w:r>
          </w:p>
          <w:p w:rsidR="00EC36F8" w:rsidRDefault="00EC36F8">
            <w:pPr>
              <w:pStyle w:val="table10"/>
              <w:spacing w:before="120"/>
            </w:pPr>
            <w:r>
              <w:t>Местонахождение (место жительства) субъекта хозяйствования _____________________</w:t>
            </w:r>
            <w:r>
              <w:br/>
              <w:t>_________________________________________________________________________</w:t>
            </w:r>
          </w:p>
          <w:p w:rsidR="00EC36F8" w:rsidRDefault="00EC36F8">
            <w:pPr>
              <w:pStyle w:val="table10"/>
              <w:spacing w:before="120"/>
            </w:pPr>
            <w:r>
              <w:t>Учетный номер плательщика _________________________</w:t>
            </w:r>
          </w:p>
        </w:tc>
        <w:tc>
          <w:tcPr>
            <w:tcW w:w="2534" w:type="pct"/>
            <w:tcBorders>
              <w:top w:val="single" w:sz="4" w:space="0" w:color="auto"/>
              <w:left w:val="single" w:sz="4" w:space="0" w:color="auto"/>
            </w:tcBorders>
            <w:tcMar>
              <w:top w:w="0" w:type="dxa"/>
              <w:left w:w="6" w:type="dxa"/>
              <w:bottom w:w="0" w:type="dxa"/>
              <w:right w:w="6" w:type="dxa"/>
            </w:tcMar>
            <w:hideMark/>
          </w:tcPr>
          <w:p w:rsidR="00EC36F8" w:rsidRDefault="00EC36F8">
            <w:pPr>
              <w:pStyle w:val="table10"/>
              <w:spacing w:before="120"/>
            </w:pPr>
            <w:r>
              <w:t>Наименование объекта ________________________________________________________</w:t>
            </w:r>
            <w:r>
              <w:br/>
              <w:t>___________________________________________________________________________</w:t>
            </w:r>
          </w:p>
          <w:p w:rsidR="00EC36F8" w:rsidRDefault="00EC36F8">
            <w:pPr>
              <w:pStyle w:val="table10"/>
              <w:spacing w:before="120"/>
            </w:pPr>
            <w:r>
              <w:t>Местонахождение объекта _____________________________________________________</w:t>
            </w:r>
            <w:r>
              <w:br/>
              <w:t>___________________________________________________________________________</w:t>
            </w:r>
          </w:p>
          <w:p w:rsidR="00EC36F8" w:rsidRDefault="00EC36F8">
            <w:pPr>
              <w:pStyle w:val="table10"/>
              <w:spacing w:before="120"/>
            </w:pPr>
            <w:r>
              <w:t>Основание для заполнения чек-листа ____________________________________________</w:t>
            </w:r>
          </w:p>
          <w:p w:rsidR="00EC36F8" w:rsidRDefault="00EC36F8">
            <w:pPr>
              <w:pStyle w:val="table10"/>
              <w:spacing w:before="120" w:after="120"/>
            </w:pPr>
            <w:r>
              <w:t>Фамилия, инициалы (инициал собственного имени), контактный телефон лица, ответственного за пожарную безопасность объекта</w:t>
            </w:r>
            <w:r>
              <w:br/>
              <w:t>_______________________________________________________________________________</w:t>
            </w:r>
          </w:p>
        </w:tc>
      </w:tr>
    </w:tbl>
    <w:p w:rsidR="00EC36F8" w:rsidRDefault="00EC36F8">
      <w:pPr>
        <w:pStyle w:val="newncpi"/>
      </w:pPr>
      <w:r>
        <w:t> </w:t>
      </w:r>
    </w:p>
    <w:p w:rsidR="00EC36F8" w:rsidRDefault="00EC36F8">
      <w:pPr>
        <w:pStyle w:val="newncpi0"/>
        <w:jc w:val="center"/>
      </w:pPr>
      <w:r>
        <w:rPr>
          <w:b/>
          <w:bCs/>
        </w:rPr>
        <w:t>СВЕДЕНИЯ</w:t>
      </w:r>
    </w:p>
    <w:p w:rsidR="00EC36F8" w:rsidRDefault="00EC36F8">
      <w:pPr>
        <w:pStyle w:val="newncpi0"/>
        <w:jc w:val="center"/>
      </w:pPr>
      <w:r>
        <w:rPr>
          <w:b/>
          <w:bCs/>
        </w:rPr>
        <w:t>о состоянии пожарной безопасности объекта</w:t>
      </w:r>
    </w:p>
    <w:p w:rsidR="00EC36F8" w:rsidRDefault="00EC36F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4"/>
        <w:gridCol w:w="7400"/>
        <w:gridCol w:w="4250"/>
        <w:gridCol w:w="568"/>
        <w:gridCol w:w="568"/>
        <w:gridCol w:w="1418"/>
        <w:gridCol w:w="1343"/>
      </w:tblGrid>
      <w:tr w:rsidR="00EC36F8">
        <w:trPr>
          <w:trHeight w:val="240"/>
        </w:trPr>
        <w:tc>
          <w:tcPr>
            <w:tcW w:w="208" w:type="pct"/>
            <w:tcBorders>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w:t>
            </w:r>
            <w:r>
              <w:br/>
              <w:t>п/п</w:t>
            </w:r>
          </w:p>
        </w:tc>
        <w:tc>
          <w:tcPr>
            <w:tcW w:w="22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Перечень предъявляемых требований пожарной безопасности к объекту</w:t>
            </w:r>
          </w:p>
        </w:tc>
        <w:tc>
          <w:tcPr>
            <w:tcW w:w="13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Структурные элементы нормативных правовых актов</w:t>
            </w:r>
          </w:p>
        </w:tc>
        <w:tc>
          <w:tcPr>
            <w:tcW w:w="1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Да</w:t>
            </w:r>
          </w:p>
        </w:tc>
        <w:tc>
          <w:tcPr>
            <w:tcW w:w="1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Нет</w:t>
            </w:r>
          </w:p>
        </w:tc>
        <w:tc>
          <w:tcPr>
            <w:tcW w:w="4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Не требуется</w:t>
            </w:r>
          </w:p>
        </w:tc>
        <w:tc>
          <w:tcPr>
            <w:tcW w:w="414" w:type="pct"/>
            <w:tcBorders>
              <w:left w:val="single" w:sz="4" w:space="0" w:color="auto"/>
              <w:bottom w:val="single" w:sz="4" w:space="0" w:color="auto"/>
            </w:tcBorders>
            <w:tcMar>
              <w:top w:w="0" w:type="dxa"/>
              <w:left w:w="6" w:type="dxa"/>
              <w:bottom w:w="0" w:type="dxa"/>
              <w:right w:w="6" w:type="dxa"/>
            </w:tcMar>
            <w:vAlign w:val="center"/>
            <w:hideMark/>
          </w:tcPr>
          <w:p w:rsidR="00EC36F8" w:rsidRDefault="00EC36F8">
            <w:pPr>
              <w:pStyle w:val="table10"/>
              <w:jc w:val="center"/>
            </w:pPr>
            <w:r>
              <w:t>Примечание</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1</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2</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3</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4</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5</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36F8" w:rsidRDefault="00EC36F8">
            <w:pPr>
              <w:pStyle w:val="table10"/>
              <w:jc w:val="center"/>
            </w:pPr>
            <w:r>
              <w:t>6</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36F8" w:rsidRDefault="00EC36F8">
            <w:pPr>
              <w:pStyle w:val="table10"/>
              <w:jc w:val="center"/>
            </w:pPr>
            <w:r>
              <w:t>7</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1</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Обеспечены работоспособность и исправность средств противопожарной защиты и пожаротушения, а также постоянная готовность к применению этих средств</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подпункт 3.1</w:t>
            </w:r>
            <w:r>
              <w:br/>
              <w:t>пункта 3</w:t>
            </w:r>
            <w:r>
              <w:br/>
              <w:t>общих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(далее – общие требования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lastRenderedPageBreak/>
              <w:t>2</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Обеспечены работоспособность и исправность противопожарного водоснабжения, а также постоянная готовность к его применению</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подпункт 3.1</w:t>
            </w:r>
            <w:r>
              <w:br/>
              <w:t>пункта 3</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3</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Обеспечены работоспособность и исправность средств связи, защиты от статического электричества, наружных пожарных лестниц, ограждений крыш зданий, а также постоянная готовность к применению этих средств</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подпункт 3.1</w:t>
            </w:r>
            <w:r>
              <w:br/>
              <w:t>пункта 3</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4</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Объект обеспечен необходимым типом и количеством первичных средств пожаротушения в соответствии с постановлением Министерства по чрезвычайным ситуациям Республики Беларусь от 18 мая 2018 г. № 35 «Об установлении норм оснащения объектов первичными средствами пожаротушения» в зависимости от их огнетушащей способности, а также площади защищаемых помещений, открытых площадок и установок</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53</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5</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xml:space="preserve">Разработана </w:t>
            </w:r>
            <w:proofErr w:type="spellStart"/>
            <w:r>
              <w:t>общеобъектовая</w:t>
            </w:r>
            <w:proofErr w:type="spellEnd"/>
            <w:r>
              <w:t xml:space="preserve"> инструкция по пожарной безопасности в соответствии с общими требованиями пожарной безопасности, постановлением Министерства по чрезвычайным ситуациям Республики Беларусь от 28 апреля 2018 г. № 28 «Об установлении требований к содержанию </w:t>
            </w:r>
            <w:proofErr w:type="spellStart"/>
            <w:r>
              <w:t>общеобъектовой</w:t>
            </w:r>
            <w:proofErr w:type="spellEnd"/>
            <w:r>
              <w:t xml:space="preserve"> инструкции по пожарной безопасности» и другими обязательными для соблюдения требованиями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 </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подпункт 3.2</w:t>
            </w:r>
            <w:r>
              <w:br/>
              <w:t>пункта 3,</w:t>
            </w:r>
            <w:r>
              <w:br/>
              <w:t>пункты 7 и 8</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6</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Организованы подготовка работников по программам пожарно-технического минимума в соответствии с постановлением Министерства по чрезвычайным ситуациям Республики Беларусь от 2 мая 2018 г. № 30 «Об утверждении программ пожарно-технического минимума», проведение противопожарных инструктажей, а также обучение работников мерам пожарной безопасности в соответствии с постановлением Министерства по чрезвычайным ситуациям Республики Беларусь от 22 мая 2018 г. № 36 «Об утверждении Инструкции о порядке подготовки работников по вопросам пожарной безопасности и проверки их знаний в данной сфере»</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подпункт 3.2</w:t>
            </w:r>
            <w:r>
              <w:br/>
              <w:t>пункта 3</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7</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Организовано проведение технологических процессов в соответствии с эксплуатационной и технологической документацией</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подпункт 3.2</w:t>
            </w:r>
            <w:r>
              <w:br/>
              <w:t>пункта 3</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8</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xml:space="preserve">Организовано наличие стендов с информацией о пожарной безопасности и их своевременное обновление </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подпункт 3.2</w:t>
            </w:r>
            <w:r>
              <w:br/>
              <w:t>пункта 3</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9</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Организована уборка территории объекта от сухой растительности и горючих отходов</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подпункт 3.2</w:t>
            </w:r>
            <w:r>
              <w:br/>
              <w:t>пункта 3</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10</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Лица, ответственные за пожарную безопасность объекта, информируют руководителя обо всех обнаруженных нарушениях требований пожарной безопасности и противопожарного режима и незамедлительно принимают меры по их устранению</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подпункт 4.2</w:t>
            </w:r>
            <w:r>
              <w:br/>
              <w:t>пункта 4</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11</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xml:space="preserve">Каждый работник объекта знает требования пожарной безопасности, соблюдает противопожарный режим, умеет применять первичные средства пожаротушения и средства </w:t>
            </w:r>
            <w:proofErr w:type="spellStart"/>
            <w:r>
              <w:t>самоспасения</w:t>
            </w:r>
            <w:proofErr w:type="spellEnd"/>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6</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lastRenderedPageBreak/>
              <w:t>12</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Объект и оборудование эксплуатируются в соответствии с проектной и эксплуатационной документацией на них</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9</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13</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Для объекта определены категории по взрывопожарной опасности в соответствии с критериями, определяемыми Министерством по чрезвычайным ситуациям</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10</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14</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xml:space="preserve">Курение допускается только в специально отведенных местах, определенных </w:t>
            </w:r>
            <w:proofErr w:type="spellStart"/>
            <w:r>
              <w:t>общеобъектовой</w:t>
            </w:r>
            <w:proofErr w:type="spellEnd"/>
            <w:r>
              <w:t xml:space="preserve"> инструкцией по пожарной безопасности, оборудованных в установленном порядке и обозначенных указателями «Место для курения»</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11</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15</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Обеспечено ознакомление (под подпись) граждан, прибывающих в общежития и другие здания, приспособленные для временного пребывания людей, с правилами пожарной безопасности.</w:t>
            </w:r>
            <w:r>
              <w:br/>
              <w:t>При наличии на объекте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выполнены на русском и английском языках</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13</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16</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Въезды (выезды), дороги, проезды и подъезды к объекту и водоисточникам содержатся в состоянии, обеспечивающем свободный подъезд аварийно-спасательной техники</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14</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17</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xml:space="preserve">При механизированном открывании въездных ворот, шлагбаумов или других ограничивающих въезд устройств они имеют возможность ручного открывания </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15</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18</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16</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792"/>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19</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При разведении костров, размещении специальных приспособлений для горящего угля (мангал, барбекю, гриль, камин и аналогичные приспособления) соблюдаются следующие условия:</w:t>
            </w:r>
            <w:r>
              <w:br/>
              <w:t>осуществляется контролируемое разведение костров, размещение специальных приспособлений для горящего угля (мангал, барбекю, гриль, камин и аналогичные приспособления);</w:t>
            </w:r>
            <w:r>
              <w:br/>
              <w:t>очаги горения размещаются на расстоянии, исключающем загорание ближайших строений и других горючих предметов (материалов);</w:t>
            </w:r>
            <w:r>
              <w:br/>
              <w:t>вблизи очагов горения размещаются средства тушения;</w:t>
            </w:r>
            <w:r>
              <w:br/>
              <w:t>обеспечивается непрерывный контроль за процессом горения;</w:t>
            </w:r>
            <w:r>
              <w:br/>
              <w:t>по окончании использования очагов горения либо после прекращения постоянного контроля за процессом горения обеспечено потухание остатков горящих (тлеющих) материалов до полного прекращения тления</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17</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20</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здания, на лестничных клетках и в лифтовых холлах, на балконах и лоджиях, в </w:t>
            </w:r>
            <w:proofErr w:type="spellStart"/>
            <w:r>
              <w:t>заэкранном</w:t>
            </w:r>
            <w:proofErr w:type="spellEnd"/>
            <w:r>
              <w:t xml:space="preserve"> и </w:t>
            </w:r>
            <w:proofErr w:type="spellStart"/>
            <w:r>
              <w:t>подтрибунном</w:t>
            </w:r>
            <w:proofErr w:type="spellEnd"/>
            <w:r>
              <w:t xml:space="preserve"> пространстве, под сценой или подмостками для эстрадных выступлений </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20</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21</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В здании, сооружении не допускается применение пиротехнических изделий, открытого огня (свечи, факелы и другие эффекты с применением огня)</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21</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22</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xml:space="preserve">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систематически очищаются. Периодичность очистки определена </w:t>
            </w:r>
            <w:proofErr w:type="spellStart"/>
            <w:r>
              <w:t>общеобъектовой</w:t>
            </w:r>
            <w:proofErr w:type="spellEnd"/>
            <w:r>
              <w:t xml:space="preserve"> инструкцией по пожарной безопасности либо иными документами, </w:t>
            </w:r>
            <w:r>
              <w:lastRenderedPageBreak/>
              <w:t>принятыми субъектом хозяйствования, с учетом особенностей технологических процессов, графика проведения технического обслуживания и ремонта</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lastRenderedPageBreak/>
              <w:t>пункт 22</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23</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Хранение бензина, дизельного топлива в помещениях гаражей-стоянок осуществляется только в плотно закрывающейся металлической таре либо полимерной таре с антистатическими свойствами</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23</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24</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В гаражах-стоянках, а также на автомобильных стоянках под навесами не допускается пользование открытым огнем, оставление транспортных средств при наличии течи из топливной системы, заправка и слив топлива в помещениях</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24</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25</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xml:space="preserve">Декорации, бутафории, сценическое и выставочное оформление, драпировки и шторы изготовлены из трудновоспламеняемых материалов либо обработаны с использованием огнезащиты для придания им </w:t>
            </w:r>
            <w:proofErr w:type="spellStart"/>
            <w:r>
              <w:t>трудновоспламеняемости</w:t>
            </w:r>
            <w:proofErr w:type="spellEnd"/>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25</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26</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В процессе эксплуатации конструктивные решения по обеспечению огнестойкости не ухудшаются, поврежденные участки огнезащитных покрытий своевременно восстанавливаются</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26</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27</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К эксплуатации допускаются теплогенерирующие аппараты и отопительные приборы только промышленного (заводского) изготовления (кроме теплоемких печей) с соблюдением требований постановления Министерства по чрезвычайным ситуациям Республики Беларусь от 24 мая 2018 г. № 37 «О теплогенерирующих аппаратах и отопительных приборах, теплоемких печах» в части их размещения и эксплуатации</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27</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28</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xml:space="preserve">При эксплуатации вентиляционных систем не допускается подключение к ним газовых отопительных приборов, отключение или снятие </w:t>
            </w:r>
            <w:proofErr w:type="spellStart"/>
            <w:r>
              <w:t>огнезадерживающих</w:t>
            </w:r>
            <w:proofErr w:type="spellEnd"/>
            <w:r>
              <w:t xml:space="preserve"> устройств, закрытие вытяжных каналов, отверстий и решеток, входящих в противодымную защиту</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28</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29</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Технологические процессы проводятся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субъектом хозяйствования</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29</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30</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На объекте не допускается:</w:t>
            </w:r>
            <w:r>
              <w:br/>
              <w:t>выполнение производственных операций (технологических процессов)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r>
              <w:br/>
              <w:t>оставление без присмотра включенных в электросеть электрических приборов и оборудования, за исключением приборов, эксплуатационными документами на которые допускается их работа без надзора;</w:t>
            </w:r>
            <w:r>
              <w:br/>
              <w:t>складирование в производственных помещениях горючих веществ, горючих материалов и готовой продукции, которая может воспламениться;</w:t>
            </w:r>
            <w:r>
              <w:br/>
              <w:t xml:space="preserve">вскрытие тары, фасовка продукции, приготовление рабочей смеси </w:t>
            </w:r>
            <w:proofErr w:type="spellStart"/>
            <w:r>
              <w:t>взрыво</w:t>
            </w:r>
            <w:proofErr w:type="spellEnd"/>
            <w:r>
              <w:t>- и пожароопасных веществ и материалов в местах их хранения;</w:t>
            </w:r>
            <w:r>
              <w:br/>
              <w:t>выдача (прием) легковоспламеняющихся и горючих жидкостей, горючих газов на территории субъекта хозяйствования во время грозы и при опасности появления атмосферных разрядов</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30</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31</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xml:space="preserve">Хранение (складирование) веществ и материалов осуществляется с учетом их агрегатного состояния, совместимости хранения, а также однородности средств </w:t>
            </w:r>
            <w:r>
              <w:lastRenderedPageBreak/>
              <w:t>тушения в соответствии с порядком хранения веществ и материалов, установленным постановлением Министерства по чрезвычайным ситуациям Республики Беларусь от 26 апреля 2018 г. № 24 «Об утверждении Инструкции о порядке хранения веществ и материалов» и технологическими инструкциями</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lastRenderedPageBreak/>
              <w:t>пункт 31</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32</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При работе с легковоспламеняющимися и горючими жидкостями, горючими газами предусмотрены мероприятия по предотвращению образования искр и статического электричества</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32</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33</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При утечке легковоспламеняющихся и горючих жидкостей, горючих газов прекращаются все технологические операции, обеспечены принятие мер по ликвидации пожароопасных ситуаций, немедленная уборка пролитых легковоспламеняющихся и горючих жидкостей с помощью сорбирующих материалов или других пожаробезопасных средств, удаление их из помещений и с территории</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33</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34</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Огневые работы проводятся с соблюдением требований, перечисленных в пунктах 34–43 общих требований пожарной безопасности</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пункты 34–43</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35</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Пути эвакуации и эвакуационные выходы обозначены указательными знаками пожарной безопасности, предусмотренными техническими нормативными правовыми актами. Указанные знаки содержатся в исправном состоянии</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44</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36</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Для каждого этажа здания, сооружения при единовременном нахождении на этаже более 10 человек разработаны планы эвакуации людей при пожаре. Планы эвакуации утверждены руководителем субъекта хозяйствования, соответствуют форме, определяемой постановлением Министерства по чрезвычайным ситуациям Республики Беларусь от 20 апреля 2018 г. № 21 «Об установлении формы плана эвакуации людей при пожаре», и размещены на видных местах</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45</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37</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В жилых помещениях здания, сооружения, предназначенных для временного проживания людей, на видных местах вывешены схематические планы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46</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38</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Для размещения тяжелобольных и лиц, лишенных возможности самостоятельно свободно передвигаться, используются кровати, позволяющие перевозить (эвакуировать) их при пожаре. При отсутствии таких кроватей для эвакуации людей при пожаре имеются носилки из расчета одни носилки на каждые пять человек. Носилки хранятся в доступных, специально отведенных местах</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47</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39</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обеспечивают возможность их свободного открывания изнутри без ключа</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48</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40</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xml:space="preserve">Устройства, автоматически закрывающие противопожарные и дымонепроницаемые двери и шторы, работоспособны и исправны </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49</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41</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Фиксация противопожарных и дымонепроницаемых дверей в открытом положении, а также их снятие не допускается (если иное не предусмотрено проектной документацией)</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49</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42</w:t>
            </w:r>
          </w:p>
        </w:tc>
        <w:tc>
          <w:tcPr>
            <w:tcW w:w="2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Обеспечена безопасная эвакуация из здания, сооружения в соответствии с пунктом 50 общих требований пожарной безопасности</w:t>
            </w:r>
          </w:p>
        </w:tc>
        <w:tc>
          <w:tcPr>
            <w:tcW w:w="1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пункт 50</w:t>
            </w:r>
            <w:r>
              <w:br/>
              <w:t>общих требований пожарной безопасности</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208" w:type="pct"/>
            <w:tcBorders>
              <w:top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lastRenderedPageBreak/>
              <w:t>43</w:t>
            </w:r>
          </w:p>
        </w:tc>
        <w:tc>
          <w:tcPr>
            <w:tcW w:w="2281" w:type="pct"/>
            <w:tcBorders>
              <w:top w:val="single" w:sz="4" w:space="0" w:color="auto"/>
              <w:left w:val="single" w:sz="4" w:space="0" w:color="auto"/>
              <w:right w:val="single" w:sz="4" w:space="0" w:color="auto"/>
            </w:tcBorders>
            <w:tcMar>
              <w:top w:w="0" w:type="dxa"/>
              <w:left w:w="6" w:type="dxa"/>
              <w:bottom w:w="0" w:type="dxa"/>
              <w:right w:w="6" w:type="dxa"/>
            </w:tcMar>
            <w:hideMark/>
          </w:tcPr>
          <w:p w:rsidR="00EC36F8" w:rsidRDefault="00EC36F8">
            <w:pPr>
              <w:pStyle w:val="table10"/>
            </w:pPr>
            <w:r>
              <w:t>Предписание (рекомендации) органов государственного пожарного надзора по результатам последней проверки (мониторинга) объекта выполнено (выполнены) в полном объеме</w:t>
            </w:r>
          </w:p>
        </w:tc>
        <w:tc>
          <w:tcPr>
            <w:tcW w:w="1310" w:type="pct"/>
            <w:tcBorders>
              <w:top w:val="single" w:sz="4" w:space="0" w:color="auto"/>
              <w:left w:val="single" w:sz="4" w:space="0" w:color="auto"/>
              <w:right w:val="single" w:sz="4" w:space="0" w:color="auto"/>
            </w:tcBorders>
            <w:tcMar>
              <w:top w:w="0" w:type="dxa"/>
              <w:left w:w="6" w:type="dxa"/>
              <w:bottom w:w="0" w:type="dxa"/>
              <w:right w:w="6" w:type="dxa"/>
            </w:tcMar>
            <w:hideMark/>
          </w:tcPr>
          <w:p w:rsidR="00EC36F8" w:rsidRDefault="00EC36F8">
            <w:pPr>
              <w:pStyle w:val="table10"/>
              <w:jc w:val="center"/>
            </w:pPr>
            <w:r>
              <w:t>статья 17</w:t>
            </w:r>
            <w:r>
              <w:br/>
              <w:t>Закона Республики Беларусь от 15 июня 1993 г. № 2403-XII «О пожарной безопасности»</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hideMark/>
          </w:tcPr>
          <w:p w:rsidR="00EC36F8" w:rsidRDefault="00EC36F8">
            <w:pPr>
              <w:pStyle w:val="table10"/>
            </w:pPr>
            <w:r>
              <w:t> </w:t>
            </w:r>
          </w:p>
        </w:tc>
        <w:tc>
          <w:tcPr>
            <w:tcW w:w="414" w:type="pct"/>
            <w:tcBorders>
              <w:top w:val="single" w:sz="4" w:space="0" w:color="auto"/>
              <w:left w:val="single" w:sz="4" w:space="0" w:color="auto"/>
            </w:tcBorders>
            <w:tcMar>
              <w:top w:w="0" w:type="dxa"/>
              <w:left w:w="6" w:type="dxa"/>
              <w:bottom w:w="0" w:type="dxa"/>
              <w:right w:w="6" w:type="dxa"/>
            </w:tcMar>
            <w:hideMark/>
          </w:tcPr>
          <w:p w:rsidR="00EC36F8" w:rsidRDefault="00EC36F8">
            <w:pPr>
              <w:pStyle w:val="table10"/>
            </w:pPr>
            <w:r>
              <w:t> </w:t>
            </w:r>
          </w:p>
        </w:tc>
      </w:tr>
    </w:tbl>
    <w:p w:rsidR="00EC36F8" w:rsidRDefault="00EC36F8">
      <w:pPr>
        <w:pStyle w:val="newncpi"/>
      </w:pPr>
      <w:r>
        <w:t> </w:t>
      </w:r>
    </w:p>
    <w:tbl>
      <w:tblPr>
        <w:tblW w:w="5000" w:type="pct"/>
        <w:tblCellMar>
          <w:left w:w="0" w:type="dxa"/>
          <w:right w:w="0" w:type="dxa"/>
        </w:tblCellMar>
        <w:tblLook w:val="04A0" w:firstRow="1" w:lastRow="0" w:firstColumn="1" w:lastColumn="0" w:noHBand="0" w:noVBand="1"/>
      </w:tblPr>
      <w:tblGrid>
        <w:gridCol w:w="3119"/>
        <w:gridCol w:w="1844"/>
        <w:gridCol w:w="11268"/>
      </w:tblGrid>
      <w:tr w:rsidR="00EC36F8">
        <w:trPr>
          <w:trHeight w:val="240"/>
        </w:trPr>
        <w:tc>
          <w:tcPr>
            <w:tcW w:w="961" w:type="pct"/>
            <w:tcBorders>
              <w:bottom w:val="single" w:sz="4" w:space="0" w:color="auto"/>
            </w:tcBorders>
            <w:tcMar>
              <w:top w:w="0" w:type="dxa"/>
              <w:left w:w="6" w:type="dxa"/>
              <w:bottom w:w="0" w:type="dxa"/>
              <w:right w:w="6" w:type="dxa"/>
            </w:tcMar>
            <w:hideMark/>
          </w:tcPr>
          <w:p w:rsidR="00EC36F8" w:rsidRDefault="00EC36F8">
            <w:pPr>
              <w:pStyle w:val="table10"/>
            </w:pPr>
            <w:r>
              <w:t> </w:t>
            </w:r>
          </w:p>
        </w:tc>
        <w:tc>
          <w:tcPr>
            <w:tcW w:w="568" w:type="pct"/>
            <w:tcMar>
              <w:top w:w="0" w:type="dxa"/>
              <w:left w:w="6" w:type="dxa"/>
              <w:bottom w:w="0" w:type="dxa"/>
              <w:right w:w="6" w:type="dxa"/>
            </w:tcMar>
            <w:hideMark/>
          </w:tcPr>
          <w:p w:rsidR="00EC36F8" w:rsidRDefault="00EC36F8">
            <w:pPr>
              <w:pStyle w:val="table10"/>
            </w:pPr>
            <w:r>
              <w:t> </w:t>
            </w:r>
          </w:p>
        </w:tc>
        <w:tc>
          <w:tcPr>
            <w:tcW w:w="3471" w:type="pct"/>
            <w:tcBorders>
              <w:bottom w:val="single" w:sz="4" w:space="0" w:color="auto"/>
            </w:tcBorders>
            <w:tcMar>
              <w:top w:w="0" w:type="dxa"/>
              <w:left w:w="6" w:type="dxa"/>
              <w:bottom w:w="0" w:type="dxa"/>
              <w:right w:w="6" w:type="dxa"/>
            </w:tcMar>
            <w:hideMark/>
          </w:tcPr>
          <w:p w:rsidR="00EC36F8" w:rsidRDefault="00EC36F8">
            <w:pPr>
              <w:pStyle w:val="table10"/>
            </w:pPr>
            <w:r>
              <w:t> </w:t>
            </w:r>
          </w:p>
        </w:tc>
      </w:tr>
      <w:tr w:rsidR="00EC36F8">
        <w:trPr>
          <w:trHeight w:val="240"/>
        </w:trPr>
        <w:tc>
          <w:tcPr>
            <w:tcW w:w="961" w:type="pct"/>
            <w:tcBorders>
              <w:top w:val="single" w:sz="4" w:space="0" w:color="auto"/>
            </w:tcBorders>
            <w:tcMar>
              <w:top w:w="0" w:type="dxa"/>
              <w:left w:w="6" w:type="dxa"/>
              <w:bottom w:w="0" w:type="dxa"/>
              <w:right w:w="6" w:type="dxa"/>
            </w:tcMar>
            <w:hideMark/>
          </w:tcPr>
          <w:p w:rsidR="00EC36F8" w:rsidRDefault="00EC36F8">
            <w:pPr>
              <w:pStyle w:val="undline"/>
              <w:jc w:val="center"/>
            </w:pPr>
            <w:r>
              <w:t>(подпись)</w:t>
            </w:r>
          </w:p>
        </w:tc>
        <w:tc>
          <w:tcPr>
            <w:tcW w:w="568" w:type="pct"/>
            <w:tcMar>
              <w:top w:w="0" w:type="dxa"/>
              <w:left w:w="6" w:type="dxa"/>
              <w:bottom w:w="0" w:type="dxa"/>
              <w:right w:w="6" w:type="dxa"/>
            </w:tcMar>
            <w:hideMark/>
          </w:tcPr>
          <w:p w:rsidR="00EC36F8" w:rsidRDefault="00EC36F8">
            <w:pPr>
              <w:pStyle w:val="table10"/>
              <w:jc w:val="center"/>
            </w:pPr>
            <w:r>
              <w:t> </w:t>
            </w:r>
          </w:p>
        </w:tc>
        <w:tc>
          <w:tcPr>
            <w:tcW w:w="3471" w:type="pct"/>
            <w:tcBorders>
              <w:top w:val="single" w:sz="4" w:space="0" w:color="auto"/>
            </w:tcBorders>
            <w:tcMar>
              <w:top w:w="0" w:type="dxa"/>
              <w:left w:w="6" w:type="dxa"/>
              <w:bottom w:w="0" w:type="dxa"/>
              <w:right w:w="6" w:type="dxa"/>
            </w:tcMar>
            <w:hideMark/>
          </w:tcPr>
          <w:p w:rsidR="00EC36F8" w:rsidRDefault="00EC36F8">
            <w:pPr>
              <w:pStyle w:val="undline"/>
              <w:jc w:val="center"/>
            </w:pPr>
            <w:r>
              <w:t>(фамилия, инициалы (инициал собственного имени) руководителя субъекта хозяйствования)</w:t>
            </w:r>
          </w:p>
        </w:tc>
      </w:tr>
    </w:tbl>
    <w:p w:rsidR="00EC36F8" w:rsidRDefault="00EC36F8">
      <w:pPr>
        <w:pStyle w:val="newncpi"/>
      </w:pPr>
      <w:r>
        <w:t> </w:t>
      </w:r>
    </w:p>
    <w:p w:rsidR="00EC36F8" w:rsidRDefault="00EC36F8">
      <w:pPr>
        <w:pStyle w:val="newncpi0"/>
      </w:pPr>
      <w:r>
        <w:t>__ _________________ 20__ г.</w:t>
      </w:r>
    </w:p>
    <w:p w:rsidR="00EC36F8" w:rsidRDefault="00EC36F8">
      <w:pPr>
        <w:pStyle w:val="endform"/>
      </w:pPr>
      <w:r>
        <w:t> </w:t>
      </w:r>
    </w:p>
    <w:p w:rsidR="00EC36F8" w:rsidRDefault="00EC36F8">
      <w:pPr>
        <w:pStyle w:val="newncpi"/>
      </w:pPr>
      <w:r>
        <w:t> </w:t>
      </w:r>
    </w:p>
    <w:p w:rsidR="00EC36F8" w:rsidRDefault="00EC36F8">
      <w:pPr>
        <w:rPr>
          <w:rFonts w:eastAsia="Times New Roman"/>
        </w:rPr>
        <w:sectPr w:rsidR="00EC36F8" w:rsidSect="00EC36F8">
          <w:pgSz w:w="16860" w:h="11906" w:orient="landscape"/>
          <w:pgMar w:top="567" w:right="289" w:bottom="567" w:left="340" w:header="280" w:footer="0" w:gutter="0"/>
          <w:cols w:space="720"/>
          <w:docGrid w:linePitch="299"/>
        </w:sectPr>
      </w:pPr>
    </w:p>
    <w:p w:rsidR="00EC36F8" w:rsidRDefault="00EC36F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78"/>
        <w:gridCol w:w="2977"/>
      </w:tblGrid>
      <w:tr w:rsidR="00EC36F8">
        <w:tc>
          <w:tcPr>
            <w:tcW w:w="3409" w:type="pct"/>
            <w:tcMar>
              <w:top w:w="0" w:type="dxa"/>
              <w:left w:w="6" w:type="dxa"/>
              <w:bottom w:w="0" w:type="dxa"/>
              <w:right w:w="6" w:type="dxa"/>
            </w:tcMar>
            <w:hideMark/>
          </w:tcPr>
          <w:p w:rsidR="00EC36F8" w:rsidRDefault="00EC36F8">
            <w:pPr>
              <w:pStyle w:val="newncpi"/>
            </w:pPr>
            <w:r>
              <w:t> </w:t>
            </w:r>
          </w:p>
        </w:tc>
        <w:tc>
          <w:tcPr>
            <w:tcW w:w="1591" w:type="pct"/>
            <w:tcMar>
              <w:top w:w="0" w:type="dxa"/>
              <w:left w:w="6" w:type="dxa"/>
              <w:bottom w:w="0" w:type="dxa"/>
              <w:right w:w="6" w:type="dxa"/>
            </w:tcMar>
            <w:hideMark/>
          </w:tcPr>
          <w:p w:rsidR="00EC36F8" w:rsidRDefault="00EC36F8">
            <w:pPr>
              <w:pStyle w:val="capu1"/>
            </w:pPr>
            <w:r>
              <w:t>УТВЕРЖДЕНО</w:t>
            </w:r>
          </w:p>
          <w:p w:rsidR="00EC36F8" w:rsidRDefault="00EC36F8">
            <w:pPr>
              <w:pStyle w:val="cap1"/>
            </w:pPr>
            <w:r>
              <w:t xml:space="preserve">Постановление </w:t>
            </w:r>
            <w:r>
              <w:br/>
              <w:t xml:space="preserve">Министерства </w:t>
            </w:r>
            <w:r>
              <w:br/>
              <w:t xml:space="preserve">по чрезвычайным ситуациям </w:t>
            </w:r>
            <w:r>
              <w:br/>
              <w:t>Республики Беларусь</w:t>
            </w:r>
            <w:r>
              <w:br/>
              <w:t>01.08.2019 № 49</w:t>
            </w:r>
          </w:p>
        </w:tc>
      </w:tr>
    </w:tbl>
    <w:p w:rsidR="00EC36F8" w:rsidRDefault="00EC36F8">
      <w:pPr>
        <w:pStyle w:val="titleu"/>
      </w:pPr>
      <w:r>
        <w:t>ИНСТРУКЦИЯ</w:t>
      </w:r>
      <w:r>
        <w:br/>
        <w:t>о порядке заполнения чек-листа, содержащего сведения о состоянии пожарной безопасности объекта</w:t>
      </w:r>
    </w:p>
    <w:p w:rsidR="00EC36F8" w:rsidRDefault="00EC36F8">
      <w:pPr>
        <w:pStyle w:val="point"/>
      </w:pPr>
      <w:r>
        <w:t>1. Настоящая Инструкция определяет порядок заполнения чек-листа, содержащего сведения о состоянии пожарной безопасности объекта, в отношении которого ответственность за вред, причиненный деятельностью, связанной с его эксплуатацией, подлежит обязательному страхованию (далее – объект).</w:t>
      </w:r>
    </w:p>
    <w:p w:rsidR="00EC36F8" w:rsidRDefault="00EC36F8">
      <w:pPr>
        <w:pStyle w:val="point"/>
      </w:pPr>
      <w:r>
        <w:t>2. Чек-лист заполняется отдельно для каждого объекта лицом, ответственным за пожарную безопасность объекта, подписывается руководителем юридического лица, индивидуальным предпринимателем, осуществляющими в соответствии с актами законодательства деятельность, связанную с эксплуатацией отдельных объектов, принадлежащих им на праве собственности, хозяйственного ведения, оперативного управления либо на ином законном основании (далее, если не определено иное, – субъект хозяйствования).</w:t>
      </w:r>
    </w:p>
    <w:p w:rsidR="00EC36F8" w:rsidRDefault="00EC36F8">
      <w:pPr>
        <w:pStyle w:val="newncpi"/>
      </w:pPr>
      <w:r>
        <w:t>В случае, если лицо, ответственное за пожарную безопасность объекта, не назначено, чек-лист заполняется иным лицом по решению руководителя субъекта хозяйствования.</w:t>
      </w:r>
    </w:p>
    <w:p w:rsidR="00EC36F8" w:rsidRDefault="00EC36F8">
      <w:pPr>
        <w:pStyle w:val="point"/>
      </w:pPr>
      <w:r>
        <w:t>3. На титульной странице чек-листа указываются:</w:t>
      </w:r>
    </w:p>
    <w:p w:rsidR="00EC36F8" w:rsidRDefault="00EC36F8">
      <w:pPr>
        <w:pStyle w:val="newncpi"/>
      </w:pPr>
      <w:r>
        <w:t>наименование и местонахождение юридического лица, фамилия, собственное имя, отчество (если таковое имеется), место жительства индивидуального предпринимателя, учетный номер плательщика;</w:t>
      </w:r>
    </w:p>
    <w:p w:rsidR="00EC36F8" w:rsidRDefault="00EC36F8">
      <w:pPr>
        <w:pStyle w:val="newncpi"/>
      </w:pPr>
      <w:r>
        <w:t>наименование, местонахождение объекта, основание для заполнения чек-листа (пункт приложения 1 к Положению о страховой деятельности в Республике Беларусь), фамилия, инициалы (инициал собственного имени), контактный телефон лица, ответственного за пожарную безопасность объекта.</w:t>
      </w:r>
    </w:p>
    <w:p w:rsidR="00EC36F8" w:rsidRDefault="00EC36F8">
      <w:pPr>
        <w:pStyle w:val="point"/>
      </w:pPr>
      <w:r>
        <w:t>4. Заполнение чек-листа проводится путем последовательной проверки соблюдения перечисленных в нем требований пожарной безопасности.</w:t>
      </w:r>
    </w:p>
    <w:p w:rsidR="00EC36F8" w:rsidRDefault="00EC36F8">
      <w:pPr>
        <w:pStyle w:val="point"/>
      </w:pPr>
      <w:r>
        <w:t>5. Сведения о состоянии пожарной безопасности объекта вносятся в чек-лист путем проставления отметок «+» в графах «Да», «Нет», «Не требуется» напротив соответствующих требований пожарной безопасности.</w:t>
      </w:r>
    </w:p>
    <w:p w:rsidR="00EC36F8" w:rsidRDefault="00EC36F8">
      <w:pPr>
        <w:pStyle w:val="newncpi"/>
      </w:pPr>
      <w:r>
        <w:t>Отметка «+» проставляется:</w:t>
      </w:r>
    </w:p>
    <w:p w:rsidR="00EC36F8" w:rsidRDefault="00EC36F8">
      <w:pPr>
        <w:pStyle w:val="newncpi"/>
      </w:pPr>
      <w:r>
        <w:t>в графе «Да» – если предъявляемое требование пожарной безопасности реализовано на объекте в полном объеме;</w:t>
      </w:r>
    </w:p>
    <w:p w:rsidR="00EC36F8" w:rsidRDefault="00EC36F8">
      <w:pPr>
        <w:pStyle w:val="newncpi"/>
      </w:pPr>
      <w:r>
        <w:t>в графе «Нет» – если предъявляемое требование пожарной безопасности не реализовано или реализовано не в полном объеме;</w:t>
      </w:r>
    </w:p>
    <w:p w:rsidR="00EC36F8" w:rsidRDefault="00EC36F8">
      <w:pPr>
        <w:pStyle w:val="newncpi"/>
      </w:pPr>
      <w:r>
        <w:t>в графе «Не требуется» – если предъявляемое требование не подлежит реализации на данном объекте.</w:t>
      </w:r>
    </w:p>
    <w:p w:rsidR="00EC36F8" w:rsidRDefault="00EC36F8">
      <w:pPr>
        <w:pStyle w:val="point"/>
      </w:pPr>
      <w:r>
        <w:t>6. В графу «Примечание» при необходимости вносятся поясняющая запись о документе, подтверждающем выполнение предъявляемого требования пожарной безопасности, а также иные сведения на усмотрение лица, заполняющего чек-лист.</w:t>
      </w:r>
    </w:p>
    <w:p w:rsidR="00EC36F8" w:rsidRDefault="00EC36F8">
      <w:pPr>
        <w:pStyle w:val="newncpi"/>
      </w:pPr>
      <w:r>
        <w:t> </w:t>
      </w:r>
    </w:p>
    <w:tbl>
      <w:tblPr>
        <w:tblW w:w="5000" w:type="pct"/>
        <w:tblCellMar>
          <w:left w:w="0" w:type="dxa"/>
          <w:right w:w="0" w:type="dxa"/>
        </w:tblCellMar>
        <w:tblLook w:val="04A0" w:firstRow="1" w:lastRow="0" w:firstColumn="1" w:lastColumn="0" w:noHBand="0" w:noVBand="1"/>
      </w:tblPr>
      <w:tblGrid>
        <w:gridCol w:w="6378"/>
        <w:gridCol w:w="2977"/>
      </w:tblGrid>
      <w:tr w:rsidR="00EC36F8">
        <w:tc>
          <w:tcPr>
            <w:tcW w:w="3409" w:type="pct"/>
            <w:tcMar>
              <w:top w:w="0" w:type="dxa"/>
              <w:left w:w="6" w:type="dxa"/>
              <w:bottom w:w="0" w:type="dxa"/>
              <w:right w:w="6" w:type="dxa"/>
            </w:tcMar>
            <w:hideMark/>
          </w:tcPr>
          <w:p w:rsidR="00EC36F8" w:rsidRDefault="00EC36F8">
            <w:pPr>
              <w:pStyle w:val="newncpi"/>
            </w:pPr>
            <w:r>
              <w:t> </w:t>
            </w:r>
          </w:p>
        </w:tc>
        <w:tc>
          <w:tcPr>
            <w:tcW w:w="1591" w:type="pct"/>
            <w:tcMar>
              <w:top w:w="0" w:type="dxa"/>
              <w:left w:w="6" w:type="dxa"/>
              <w:bottom w:w="0" w:type="dxa"/>
              <w:right w:w="6" w:type="dxa"/>
            </w:tcMar>
            <w:hideMark/>
          </w:tcPr>
          <w:p w:rsidR="00EC36F8" w:rsidRDefault="00EC36F8">
            <w:pPr>
              <w:pStyle w:val="capu1"/>
            </w:pPr>
            <w:r>
              <w:t>УТВЕРЖДЕНО</w:t>
            </w:r>
          </w:p>
          <w:p w:rsidR="00EC36F8" w:rsidRDefault="00EC36F8">
            <w:pPr>
              <w:pStyle w:val="cap1"/>
            </w:pPr>
            <w:r>
              <w:t xml:space="preserve">Постановление </w:t>
            </w:r>
            <w:r>
              <w:br/>
              <w:t xml:space="preserve">Министерства </w:t>
            </w:r>
            <w:r>
              <w:br/>
              <w:t xml:space="preserve">по чрезвычайным ситуациям </w:t>
            </w:r>
            <w:r>
              <w:br/>
              <w:t>Республики Беларусь</w:t>
            </w:r>
            <w:r>
              <w:br/>
              <w:t>01.08.2019 № 49</w:t>
            </w:r>
          </w:p>
        </w:tc>
      </w:tr>
    </w:tbl>
    <w:p w:rsidR="00EC36F8" w:rsidRDefault="00EC36F8">
      <w:pPr>
        <w:pStyle w:val="titleu"/>
      </w:pPr>
      <w:r>
        <w:lastRenderedPageBreak/>
        <w:t>ИНСТРУКЦИЯ</w:t>
      </w:r>
      <w:r>
        <w:br/>
        <w:t>о порядке проведения страховщиком оценки состояния пожарной безопасности объекта</w:t>
      </w:r>
    </w:p>
    <w:p w:rsidR="00EC36F8" w:rsidRDefault="00EC36F8">
      <w:pPr>
        <w:pStyle w:val="point"/>
      </w:pPr>
      <w:r>
        <w:t>1. Настоящая Инструкция определяет порядок проведения страховщиком оценки состояния пожарной безопасности объекта, в отношении которого ответственность за вред, причиненный деятельностью, связанной с его эксплуатацией, подлежит обязательному страхованию (далее – объект).</w:t>
      </w:r>
    </w:p>
    <w:p w:rsidR="00EC36F8" w:rsidRDefault="00EC36F8">
      <w:pPr>
        <w:pStyle w:val="point"/>
      </w:pPr>
      <w:r>
        <w:t>2. Оценка состояния пожарной безопасности объекта проводится на основании сведений о состоянии пожарной безопасности объекта, содержащихся в чек-листе.</w:t>
      </w:r>
    </w:p>
    <w:p w:rsidR="00EC36F8" w:rsidRDefault="00EC36F8">
      <w:pPr>
        <w:pStyle w:val="point"/>
      </w:pPr>
      <w:r>
        <w:t>3. По результатам оценки определяется уровень пожарной безопасности объекта:</w:t>
      </w:r>
    </w:p>
    <w:p w:rsidR="00EC36F8" w:rsidRDefault="00EC36F8">
      <w:pPr>
        <w:pStyle w:val="newncpi"/>
      </w:pPr>
      <w:r>
        <w:t>низкий;</w:t>
      </w:r>
    </w:p>
    <w:p w:rsidR="00EC36F8" w:rsidRDefault="00EC36F8">
      <w:pPr>
        <w:pStyle w:val="newncpi"/>
      </w:pPr>
      <w:r>
        <w:t>средний;</w:t>
      </w:r>
    </w:p>
    <w:p w:rsidR="00EC36F8" w:rsidRDefault="00EC36F8">
      <w:pPr>
        <w:pStyle w:val="newncpi"/>
      </w:pPr>
      <w:r>
        <w:t>высокий.</w:t>
      </w:r>
    </w:p>
    <w:p w:rsidR="00EC36F8" w:rsidRDefault="00EC36F8">
      <w:pPr>
        <w:pStyle w:val="newncpi"/>
      </w:pPr>
      <w:r>
        <w:t>Определение уровня пожарной безопасности объекта осуществляется на основании анализа соблюдения требований пожарной безопасности на данном объекте.</w:t>
      </w:r>
    </w:p>
    <w:p w:rsidR="00EC36F8" w:rsidRDefault="00EC36F8">
      <w:pPr>
        <w:pStyle w:val="point"/>
      </w:pPr>
      <w:r>
        <w:t>4. Уровень пожарной безопасности объекта определяется как низкий в следующих случаях:</w:t>
      </w:r>
    </w:p>
    <w:p w:rsidR="00EC36F8" w:rsidRDefault="00EC36F8">
      <w:pPr>
        <w:pStyle w:val="newncpi"/>
      </w:pPr>
      <w:r>
        <w:t>имеется отметка о несоблюдении хотя бы одного из предъявляемых требований пожарной безопасности, перечисленных в пунктах 1, 12, 15, 21, 42, 43 приложения к постановлению, утвердившему настоящую Инструкцию;</w:t>
      </w:r>
    </w:p>
    <w:p w:rsidR="00EC36F8" w:rsidRDefault="00EC36F8">
      <w:pPr>
        <w:pStyle w:val="newncpi"/>
      </w:pPr>
      <w:r>
        <w:t>имеются отметки о несоблюдении более 3 предъявляемых требований пожарной безопасности, за исключением требований, перечисленных в пунктах 1, 12, 15, 21, 42, 43 приложения к постановлению, утвердившему настоящую Инструкцию.</w:t>
      </w:r>
    </w:p>
    <w:p w:rsidR="00EC36F8" w:rsidRDefault="00EC36F8">
      <w:pPr>
        <w:pStyle w:val="point"/>
      </w:pPr>
      <w:r>
        <w:t>5. Уровень пожарной безопасности объекта определяется как средний, если имеются отметки о несоблюдении от 1 до 3 предъявляемых требований пожарной безопасности, за исключением требований, перечисленных в пунктах 1, 12, 15, 21, 42, 43 приложения к постановлению, утвердившему настоящую Инструкцию.</w:t>
      </w:r>
    </w:p>
    <w:p w:rsidR="00EC36F8" w:rsidRDefault="00EC36F8">
      <w:pPr>
        <w:pStyle w:val="point"/>
      </w:pPr>
      <w:r>
        <w:t>6. Уровень пожарной безопасности объекта определяется как высокий, если в графе 5 приложения к постановлению, утвердившему настоящую Инструкцию, отсутствуют отметки (соблюдаются все предъявляемые требования пожарной безопасности).</w:t>
      </w:r>
    </w:p>
    <w:p w:rsidR="00EC36F8" w:rsidRDefault="00EC36F8">
      <w:pPr>
        <w:pStyle w:val="newncpi"/>
      </w:pPr>
      <w:r>
        <w:t> </w:t>
      </w:r>
    </w:p>
    <w:p w:rsidR="000472C3" w:rsidRDefault="000472C3"/>
    <w:sectPr w:rsidR="000472C3" w:rsidSect="00EC36F8">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597" w:rsidRDefault="00E47597" w:rsidP="00EC36F8">
      <w:pPr>
        <w:spacing w:after="0" w:line="240" w:lineRule="auto"/>
      </w:pPr>
      <w:r>
        <w:separator/>
      </w:r>
    </w:p>
  </w:endnote>
  <w:endnote w:type="continuationSeparator" w:id="0">
    <w:p w:rsidR="00E47597" w:rsidRDefault="00E47597" w:rsidP="00EC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6F8" w:rsidRDefault="00EC36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6F8" w:rsidRDefault="00EC36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EC36F8" w:rsidTr="00EC36F8">
      <w:tc>
        <w:tcPr>
          <w:tcW w:w="1800" w:type="dxa"/>
          <w:shd w:val="clear" w:color="auto" w:fill="auto"/>
          <w:vAlign w:val="center"/>
        </w:tcPr>
        <w:p w:rsidR="00EC36F8" w:rsidRDefault="00EC36F8">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EC36F8" w:rsidRDefault="00EC36F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C36F8" w:rsidRDefault="00EC36F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23.10.2019</w:t>
          </w:r>
        </w:p>
        <w:p w:rsidR="00EC36F8" w:rsidRPr="00EC36F8" w:rsidRDefault="00EC36F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C36F8" w:rsidRDefault="00EC36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597" w:rsidRDefault="00E47597" w:rsidP="00EC36F8">
      <w:pPr>
        <w:spacing w:after="0" w:line="240" w:lineRule="auto"/>
      </w:pPr>
      <w:r>
        <w:separator/>
      </w:r>
    </w:p>
  </w:footnote>
  <w:footnote w:type="continuationSeparator" w:id="0">
    <w:p w:rsidR="00E47597" w:rsidRDefault="00E47597" w:rsidP="00EC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6F8" w:rsidRDefault="00EC36F8" w:rsidP="000A143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C36F8" w:rsidRDefault="00EC36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6F8" w:rsidRPr="00EC36F8" w:rsidRDefault="00EC36F8" w:rsidP="000A1434">
    <w:pPr>
      <w:pStyle w:val="a3"/>
      <w:framePr w:wrap="around" w:vAnchor="text" w:hAnchor="margin" w:xAlign="center" w:y="1"/>
      <w:rPr>
        <w:rStyle w:val="a7"/>
        <w:rFonts w:ascii="Times New Roman" w:hAnsi="Times New Roman" w:cs="Times New Roman"/>
        <w:sz w:val="24"/>
      </w:rPr>
    </w:pPr>
    <w:r w:rsidRPr="00EC36F8">
      <w:rPr>
        <w:rStyle w:val="a7"/>
        <w:rFonts w:ascii="Times New Roman" w:hAnsi="Times New Roman" w:cs="Times New Roman"/>
        <w:sz w:val="24"/>
      </w:rPr>
      <w:fldChar w:fldCharType="begin"/>
    </w:r>
    <w:r w:rsidRPr="00EC36F8">
      <w:rPr>
        <w:rStyle w:val="a7"/>
        <w:rFonts w:ascii="Times New Roman" w:hAnsi="Times New Roman" w:cs="Times New Roman"/>
        <w:sz w:val="24"/>
      </w:rPr>
      <w:instrText xml:space="preserve"> PAGE </w:instrText>
    </w:r>
    <w:r w:rsidRPr="00EC36F8">
      <w:rPr>
        <w:rStyle w:val="a7"/>
        <w:rFonts w:ascii="Times New Roman" w:hAnsi="Times New Roman" w:cs="Times New Roman"/>
        <w:sz w:val="24"/>
      </w:rPr>
      <w:fldChar w:fldCharType="separate"/>
    </w:r>
    <w:r w:rsidRPr="00EC36F8">
      <w:rPr>
        <w:rStyle w:val="a7"/>
        <w:rFonts w:ascii="Times New Roman" w:hAnsi="Times New Roman" w:cs="Times New Roman"/>
        <w:noProof/>
        <w:sz w:val="24"/>
      </w:rPr>
      <w:t>9</w:t>
    </w:r>
    <w:r w:rsidRPr="00EC36F8">
      <w:rPr>
        <w:rStyle w:val="a7"/>
        <w:rFonts w:ascii="Times New Roman" w:hAnsi="Times New Roman" w:cs="Times New Roman"/>
        <w:sz w:val="24"/>
      </w:rPr>
      <w:fldChar w:fldCharType="end"/>
    </w:r>
  </w:p>
  <w:p w:rsidR="00EC36F8" w:rsidRPr="00EC36F8" w:rsidRDefault="00EC36F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6F8" w:rsidRDefault="00EC36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F8"/>
    <w:rsid w:val="000472C3"/>
    <w:rsid w:val="005D4193"/>
    <w:rsid w:val="00E47597"/>
    <w:rsid w:val="00EC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9B2B8D-E717-40D7-A296-DE1B14CB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C36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C36F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C36F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C36F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C36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C36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EC36F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C36F8"/>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EC36F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C36F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C36F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C36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C36F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C36F8"/>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EC36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C36F8"/>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EC36F8"/>
    <w:rPr>
      <w:rFonts w:ascii="Times New Roman" w:hAnsi="Times New Roman" w:cs="Times New Roman" w:hint="default"/>
      <w:caps/>
    </w:rPr>
  </w:style>
  <w:style w:type="character" w:customStyle="1" w:styleId="promulgator">
    <w:name w:val="promulgator"/>
    <w:basedOn w:val="a0"/>
    <w:rsid w:val="00EC36F8"/>
    <w:rPr>
      <w:rFonts w:ascii="Times New Roman" w:hAnsi="Times New Roman" w:cs="Times New Roman" w:hint="default"/>
      <w:caps/>
    </w:rPr>
  </w:style>
  <w:style w:type="character" w:customStyle="1" w:styleId="datepr">
    <w:name w:val="datepr"/>
    <w:basedOn w:val="a0"/>
    <w:rsid w:val="00EC36F8"/>
    <w:rPr>
      <w:rFonts w:ascii="Times New Roman" w:hAnsi="Times New Roman" w:cs="Times New Roman" w:hint="default"/>
    </w:rPr>
  </w:style>
  <w:style w:type="character" w:customStyle="1" w:styleId="number">
    <w:name w:val="number"/>
    <w:basedOn w:val="a0"/>
    <w:rsid w:val="00EC36F8"/>
    <w:rPr>
      <w:rFonts w:ascii="Times New Roman" w:hAnsi="Times New Roman" w:cs="Times New Roman" w:hint="default"/>
    </w:rPr>
  </w:style>
  <w:style w:type="character" w:customStyle="1" w:styleId="post">
    <w:name w:val="post"/>
    <w:basedOn w:val="a0"/>
    <w:rsid w:val="00EC36F8"/>
    <w:rPr>
      <w:rFonts w:ascii="Times New Roman" w:hAnsi="Times New Roman" w:cs="Times New Roman" w:hint="default"/>
      <w:b/>
      <w:bCs/>
      <w:sz w:val="22"/>
      <w:szCs w:val="22"/>
    </w:rPr>
  </w:style>
  <w:style w:type="character" w:customStyle="1" w:styleId="pers">
    <w:name w:val="pers"/>
    <w:basedOn w:val="a0"/>
    <w:rsid w:val="00EC36F8"/>
    <w:rPr>
      <w:rFonts w:ascii="Times New Roman" w:hAnsi="Times New Roman" w:cs="Times New Roman" w:hint="default"/>
      <w:b/>
      <w:bCs/>
      <w:sz w:val="22"/>
      <w:szCs w:val="22"/>
    </w:rPr>
  </w:style>
  <w:style w:type="paragraph" w:styleId="a3">
    <w:name w:val="header"/>
    <w:basedOn w:val="a"/>
    <w:link w:val="a4"/>
    <w:uiPriority w:val="99"/>
    <w:unhideWhenUsed/>
    <w:rsid w:val="00EC3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36F8"/>
  </w:style>
  <w:style w:type="paragraph" w:styleId="a5">
    <w:name w:val="footer"/>
    <w:basedOn w:val="a"/>
    <w:link w:val="a6"/>
    <w:uiPriority w:val="99"/>
    <w:unhideWhenUsed/>
    <w:rsid w:val="00EC3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36F8"/>
  </w:style>
  <w:style w:type="character" w:styleId="a7">
    <w:name w:val="page number"/>
    <w:basedOn w:val="a0"/>
    <w:uiPriority w:val="99"/>
    <w:semiHidden/>
    <w:unhideWhenUsed/>
    <w:rsid w:val="00EC36F8"/>
  </w:style>
  <w:style w:type="table" w:styleId="a8">
    <w:name w:val="Table Grid"/>
    <w:basedOn w:val="a1"/>
    <w:uiPriority w:val="39"/>
    <w:rsid w:val="00EC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2553</Words>
  <Characters>19307</Characters>
  <Application>Microsoft Office Word</Application>
  <DocSecurity>0</DocSecurity>
  <Lines>689</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2019-10-23T12:51:00Z</dcterms:created>
  <dcterms:modified xsi:type="dcterms:W3CDTF">2019-10-23T12:55:00Z</dcterms:modified>
</cp:coreProperties>
</file>