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DD" w:rsidRDefault="003F3BD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3F3BDD" w:rsidRDefault="003F3BDD">
      <w:pPr>
        <w:pStyle w:val="newncpi"/>
        <w:ind w:firstLine="0"/>
        <w:jc w:val="center"/>
      </w:pPr>
      <w:r>
        <w:rPr>
          <w:rStyle w:val="datepr"/>
        </w:rPr>
        <w:t>7 февраля 2003 г.</w:t>
      </w:r>
      <w:r>
        <w:rPr>
          <w:rStyle w:val="number"/>
        </w:rPr>
        <w:t xml:space="preserve"> № 16</w:t>
      </w:r>
    </w:p>
    <w:p w:rsidR="003F3BDD" w:rsidRDefault="003F3BDD">
      <w:pPr>
        <w:pStyle w:val="title"/>
      </w:pPr>
      <w:r>
        <w:t>О нормативе ответственности</w:t>
      </w:r>
    </w:p>
    <w:p w:rsidR="003F3BDD" w:rsidRDefault="003F3BDD">
      <w:pPr>
        <w:pStyle w:val="changei"/>
      </w:pPr>
      <w:r>
        <w:t>Изменения и дополнения: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10 декабря 2003 г. № 170 (зарегистрировано в Национальном реестре - № 8/10337 от 19.12.2003 г.) &lt;W20310337&gt;;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12 апреля 2005 г. № 50 (зарегистрировано в Национальном реестре - № 8/12457 от 19.04.2005 г.) &lt;W20512457&gt;;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6 сентября 2006 г. № 109 (зарегистрировано в Национальном реестре - № 8/15030 от 15.09.2006 г.) &lt;W20615030&gt;;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28 ноября 2006 г. № 144 (зарегистрировано в Национальном реестре - № 8/15447 от 05.12.2006 г.) &lt;W20615447&gt;;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28 июня 2007 г. № 103 (зарегистрировано в Национальном реестре - № 8/16808 от 12.07.2007 г.) &lt;W20716808&gt;;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20 июня 2008 г. № 104 (зарегистрировано в Национальном реестре - № 8/19101 от 10.07.2008 г.) &lt;W20819101&gt;;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16 апреля 2009 г. № 51 (зарегистрировано в Национальном реестре - № 8/20892 от 06.05.2009 г.) &lt;W20920892&gt;;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7 августа 2009 г. № 95 (зарегистрировано в Национальном реестре - № 8/21364 от 26.08.2009 г.) &lt;W20921364&gt;;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14 января 2010 г. № 3 (зарегистрировано в Национальном реестре - № 8/21858 от 29.01.2010 г.) &lt;W21021858&gt;;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29 декабря 2011 г. № 141 (зарегистрировано в Национальном реестре - № 8/24650 от 06.01.2012 г.) &lt;W21224650&gt;;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13 апреля 2012 г. № 23 (зарегистрировано в Национальном реестре - № 8/25397 от 02.05.2012 г.) &lt;W21225397&gt;;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&lt;W21429088&gt;;</w:t>
      </w:r>
    </w:p>
    <w:p w:rsidR="003F3BDD" w:rsidRDefault="003F3BDD">
      <w:pPr>
        <w:pStyle w:val="changeadd"/>
      </w:pPr>
      <w:r>
        <w:t>Постановление Министерства финансов Республики Беларусь от 9 августа 2019 г. № 39 (зарегистрировано в Национальном реестре - № 8/34642 от 24.09.2019 г.) &lt;W21934642&gt;</w:t>
      </w:r>
    </w:p>
    <w:p w:rsidR="003F3BDD" w:rsidRDefault="003F3BDD">
      <w:pPr>
        <w:pStyle w:val="preamble"/>
      </w:pPr>
      <w:r>
        <w:t> </w:t>
      </w:r>
    </w:p>
    <w:p w:rsidR="003F3BDD" w:rsidRDefault="003F3BDD">
      <w:pPr>
        <w:pStyle w:val="newncpi"/>
      </w:pPr>
      <w:r>
        <w:t>На основании абзаца одиннадцатого пункта 13 Положения о страховой деятельности в Республике Беларусь, утвержденного Указом Президента Республики Беларусь от 25 августа 2006 г. № 530, подпункта 4.53 пункта 4, 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:rsidR="003F3BDD" w:rsidRDefault="003F3BDD">
      <w:pPr>
        <w:pStyle w:val="point"/>
      </w:pPr>
      <w:r>
        <w:lastRenderedPageBreak/>
        <w:t>1. Установить норматив ответственности:</w:t>
      </w:r>
    </w:p>
    <w:p w:rsidR="003F3BDD" w:rsidRDefault="003F3BDD">
      <w:pPr>
        <w:pStyle w:val="newncpi"/>
      </w:pPr>
      <w:r>
        <w:t>по договору добровольного страхования (</w:t>
      </w:r>
      <w:proofErr w:type="spellStart"/>
      <w:r>
        <w:t>сострахования</w:t>
      </w:r>
      <w:proofErr w:type="spellEnd"/>
      <w:r>
        <w:t>, перестрахования) иного, чем страхование жизни, за исключением договора страхования экспортных рисков с поддержкой государства, договора страхования (</w:t>
      </w:r>
      <w:proofErr w:type="spellStart"/>
      <w:r>
        <w:t>сострахования</w:t>
      </w:r>
      <w:proofErr w:type="spellEnd"/>
      <w:r>
        <w:t>) ответственности за неисполнение (ненадлежащее исполнение) обязательств эмитента облигаций, в размере 20 процентов от собственного капитала страховой организации;</w:t>
      </w:r>
    </w:p>
    <w:p w:rsidR="003F3BDD" w:rsidRDefault="003F3BDD">
      <w:pPr>
        <w:pStyle w:val="newncpi"/>
      </w:pPr>
      <w:r>
        <w:t>по договору страхования экспортных рисков с поддержкой государства в размере 10 процентов от собственного капитала страховой организации;</w:t>
      </w:r>
    </w:p>
    <w:p w:rsidR="003F3BDD" w:rsidRDefault="003F3BDD">
      <w:pPr>
        <w:pStyle w:val="newncpi"/>
      </w:pPr>
      <w:r>
        <w:t>по договору страхования (</w:t>
      </w:r>
      <w:proofErr w:type="spellStart"/>
      <w:r>
        <w:t>сострахования</w:t>
      </w:r>
      <w:proofErr w:type="spellEnd"/>
      <w:r>
        <w:t>) ответственности за неисполнение (ненадлежащее исполнение) обязательств эмитента облигаций в размере 10 процентов от собственного капитала страховой организации.</w:t>
      </w:r>
    </w:p>
    <w:p w:rsidR="003F3BDD" w:rsidRDefault="003F3BDD">
      <w:pPr>
        <w:pStyle w:val="point"/>
      </w:pPr>
      <w:r>
        <w:t>2. Норматив ответственности по договору добровольного страхования (</w:t>
      </w:r>
      <w:proofErr w:type="spellStart"/>
      <w:r>
        <w:t>сострахования</w:t>
      </w:r>
      <w:proofErr w:type="spellEnd"/>
      <w:r>
        <w:t>, перестрахования) иного, чем страхование жизни, рассчитывается на 1-е число квартала, следующего за отчетным, исходя из размера собственного капитала, рассчитанного за отчетный квартал в соответствии с Инструкцией о порядке расчета размера собственного капитала страховых организаций, утвержденной постановлением Министерства финансов Республики Беларусь от 13 сентября 2007 г. № 132, и применяется с 1-го числа второго месяца квартала, следующего за отчетным.</w:t>
      </w:r>
    </w:p>
    <w:p w:rsidR="003F3BDD" w:rsidRDefault="003F3BDD">
      <w:pPr>
        <w:pStyle w:val="newncpi"/>
      </w:pPr>
      <w:r>
        <w:t>Указанный норматив распространяется на один объект или группу объектов, которые могут рассматриваться как один объект страхования, принятые на страхование по одному или нескольким договорам страхования.</w:t>
      </w:r>
    </w:p>
    <w:p w:rsidR="003F3BDD" w:rsidRDefault="003F3BDD">
      <w:pPr>
        <w:pStyle w:val="newncpi"/>
      </w:pPr>
      <w:r>
        <w:t>В случае, если объекты, принадлежащие одному страхователю, территориально рассредоточены и по каждому из них можно определить степень риска в отдельности, то указанный норматив может быть распространен на каждый такой объект при условии, если по нему заключен отдельный договор страхования, за исключением случая, предусмотренного в части четвертой настоящего пункта.</w:t>
      </w:r>
    </w:p>
    <w:p w:rsidR="003F3BDD" w:rsidRDefault="003F3BDD">
      <w:pPr>
        <w:pStyle w:val="newncpi"/>
      </w:pPr>
      <w:r>
        <w:t>В случае, если договор страхования заключен в соответствии с требованиями абзаца второго части первой пункта 31 Положения о страховой деятельности в Республике Беларусь, то указанный норматив ответственности распространяется на объект или группу объектов организации (ее каждого обособленного подразделения), принятых на страхование по одному договору страхования.</w:t>
      </w:r>
    </w:p>
    <w:p w:rsidR="003F3BDD" w:rsidRDefault="003F3BDD">
      <w:pPr>
        <w:pStyle w:val="newncpi"/>
      </w:pPr>
      <w:r>
        <w:t>В случае, если по договору добровольного страхования медицинских расходов, заключенному с одним страхователем, застрахованы два и более лица, то указанный норматив ответственности распространяется на застрахованное лицо при условии, если по нему установлена отдельная страховая сумма.</w:t>
      </w:r>
    </w:p>
    <w:p w:rsidR="003F3BDD" w:rsidRDefault="003F3BDD">
      <w:pPr>
        <w:pStyle w:val="newncpi"/>
      </w:pPr>
      <w:r>
        <w:t>Страховая организация до принятия на себя по договору добровольного страхования (</w:t>
      </w:r>
      <w:proofErr w:type="spellStart"/>
      <w:r>
        <w:t>сострахования</w:t>
      </w:r>
      <w:proofErr w:type="spellEnd"/>
      <w:r>
        <w:t>) обязательств, превышающих установленный норматив ответственности и требующих их дальнейшей передачи в перестрахование, должна обратиться к государственной страховой организации, осуществляющей страховую деятельность исключительно по перестрахованию, создаваемой Советом Министров Республики Беларусь (далее – государственный перестраховщик), за получением предварительного согласования тарифа для передачи указанных обязательств в перестрахование.</w:t>
      </w:r>
    </w:p>
    <w:p w:rsidR="003F3BDD" w:rsidRDefault="003F3BDD">
      <w:pPr>
        <w:pStyle w:val="newncpi"/>
      </w:pPr>
      <w:r>
        <w:t>Согласование осуществляется государственным перестраховщиком в течение двух рабочих дней с даты получения обращения страховой организации, содержащего сведения об условиях принятия указанных обязательств в части, касающейся установления тарифа для передачи обязательств в перестрахование. Отказ в согласовании допускается только в случае документального подтверждения невозможности передачи принимаемых страховой организацией по договору добровольного страхования (</w:t>
      </w:r>
      <w:proofErr w:type="spellStart"/>
      <w:r>
        <w:t>сострахования</w:t>
      </w:r>
      <w:proofErr w:type="spellEnd"/>
      <w:r>
        <w:t xml:space="preserve">) обязательств в части, касающейся установления страхового тарифа, государственным перестраховщиком в перестрахование иностранным страховщикам (перестраховщикам) и (или) белорусским страховщикам (перестраховщикам). При этом, если государственным перестраховщиком в течение двух рабочих дней со дня получения обращения страховой организации не будет </w:t>
      </w:r>
      <w:r>
        <w:lastRenderedPageBreak/>
        <w:t>дан ответ данной страховой организации о согласовании или отказе в согласовании тарифа для передачи обязательств в перестрахование, страховая организация вправе принять обязательства по договору добровольного страхования (</w:t>
      </w:r>
      <w:proofErr w:type="spellStart"/>
      <w:r>
        <w:t>сострахования</w:t>
      </w:r>
      <w:proofErr w:type="spellEnd"/>
      <w:r>
        <w:t>) без его согласования.</w:t>
      </w:r>
    </w:p>
    <w:p w:rsidR="003F3BDD" w:rsidRDefault="003F3BDD">
      <w:pPr>
        <w:pStyle w:val="newncpi"/>
      </w:pPr>
      <w:r>
        <w:t>Страховая организация, принявшая на себя по договору добровольного страхования (</w:t>
      </w:r>
      <w:proofErr w:type="spellStart"/>
      <w:r>
        <w:t>сострахования</w:t>
      </w:r>
      <w:proofErr w:type="spellEnd"/>
      <w:r>
        <w:t>, перестрахования) обязательства, превышающие установленный норматив ответственности, обязана обеспечить их исполнение путем перестрахования в течение 2 рабочих дней с даты заключения такого договора.</w:t>
      </w:r>
    </w:p>
    <w:p w:rsidR="003F3BDD" w:rsidRDefault="003F3BDD">
      <w:pPr>
        <w:pStyle w:val="newncpi"/>
      </w:pPr>
      <w:r>
        <w:t>При облигаторном перестраховании установленный норматив ответственности применяется в отдельности на каждый принимаемый по договору перестрахования риск.</w:t>
      </w:r>
    </w:p>
    <w:p w:rsidR="003F3BDD" w:rsidRDefault="003F3BDD">
      <w:pPr>
        <w:pStyle w:val="point"/>
      </w:pPr>
      <w:r>
        <w:t>2</w:t>
      </w:r>
      <w:r>
        <w:rPr>
          <w:vertAlign w:val="superscript"/>
        </w:rPr>
        <w:t>1</w:t>
      </w:r>
      <w:r>
        <w:t>. Страховая организация вправе принимать на себя обязательства по договору добровольного страхования (</w:t>
      </w:r>
      <w:proofErr w:type="spellStart"/>
      <w:r>
        <w:t>сострахования</w:t>
      </w:r>
      <w:proofErr w:type="spellEnd"/>
      <w:r>
        <w:t>) ответственности за неисполнение (ненадлежащее исполнение) обязательств эмитента облигаций, заключаемому со страхователем, если суммарный объем ответственности, принятый по договорам данного вида добровольного страхования, заключенным с этим страхователем, не превышает 25 процентов от собственного капитала страховой организации.</w:t>
      </w:r>
    </w:p>
    <w:p w:rsidR="003F3BDD" w:rsidRDefault="003F3BDD">
      <w:pPr>
        <w:pStyle w:val="point"/>
      </w:pPr>
      <w:r>
        <w:t>3. Страховым организациям ранее заключенные договоры перестрахования привести в соответствие с настоящим постановлением в двухмесячный срок.</w:t>
      </w:r>
    </w:p>
    <w:p w:rsidR="003F3BDD" w:rsidRDefault="003F3BD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3F3BD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3BDD" w:rsidRDefault="003F3BD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3BDD" w:rsidRDefault="003F3BD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Н.П.Корбут</w:t>
            </w:r>
            <w:proofErr w:type="spellEnd"/>
          </w:p>
        </w:tc>
      </w:tr>
    </w:tbl>
    <w:p w:rsidR="003F3BDD" w:rsidRDefault="003F3BDD">
      <w:pPr>
        <w:pStyle w:val="newncpi"/>
      </w:pPr>
      <w:r>
        <w:t> </w:t>
      </w:r>
    </w:p>
    <w:p w:rsidR="000472C3" w:rsidRDefault="000472C3"/>
    <w:sectPr w:rsidR="000472C3" w:rsidSect="003F3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72" w:rsidRDefault="004F2172" w:rsidP="003F3BDD">
      <w:pPr>
        <w:spacing w:after="0" w:line="240" w:lineRule="auto"/>
      </w:pPr>
      <w:r>
        <w:separator/>
      </w:r>
    </w:p>
  </w:endnote>
  <w:endnote w:type="continuationSeparator" w:id="0">
    <w:p w:rsidR="004F2172" w:rsidRDefault="004F2172" w:rsidP="003F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DD" w:rsidRDefault="003F3B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DD" w:rsidRDefault="003F3B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3F3BDD" w:rsidTr="003F3BDD">
      <w:tc>
        <w:tcPr>
          <w:tcW w:w="1800" w:type="dxa"/>
          <w:shd w:val="clear" w:color="auto" w:fill="auto"/>
          <w:vAlign w:val="center"/>
        </w:tcPr>
        <w:p w:rsidR="003F3BDD" w:rsidRDefault="003F3BDD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3F3BDD" w:rsidRDefault="003F3BD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F3BDD" w:rsidRDefault="003F3BD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18.10.2019</w:t>
          </w:r>
        </w:p>
        <w:p w:rsidR="003F3BDD" w:rsidRPr="003F3BDD" w:rsidRDefault="003F3BD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F3BDD" w:rsidRDefault="003F3B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72" w:rsidRDefault="004F2172" w:rsidP="003F3BDD">
      <w:pPr>
        <w:spacing w:after="0" w:line="240" w:lineRule="auto"/>
      </w:pPr>
      <w:r>
        <w:separator/>
      </w:r>
    </w:p>
  </w:footnote>
  <w:footnote w:type="continuationSeparator" w:id="0">
    <w:p w:rsidR="004F2172" w:rsidRDefault="004F2172" w:rsidP="003F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DD" w:rsidRDefault="003F3BDD" w:rsidP="00F24C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F3BDD" w:rsidRDefault="003F3B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DD" w:rsidRPr="003F3BDD" w:rsidRDefault="003F3BDD" w:rsidP="00F24C3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3BDD">
      <w:rPr>
        <w:rStyle w:val="a7"/>
        <w:rFonts w:ascii="Times New Roman" w:hAnsi="Times New Roman" w:cs="Times New Roman"/>
        <w:sz w:val="24"/>
      </w:rPr>
      <w:fldChar w:fldCharType="begin"/>
    </w:r>
    <w:r w:rsidRPr="003F3BD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F3BDD">
      <w:rPr>
        <w:rStyle w:val="a7"/>
        <w:rFonts w:ascii="Times New Roman" w:hAnsi="Times New Roman" w:cs="Times New Roman"/>
        <w:sz w:val="24"/>
      </w:rPr>
      <w:fldChar w:fldCharType="separate"/>
    </w:r>
    <w:r w:rsidRPr="003F3BDD">
      <w:rPr>
        <w:rStyle w:val="a7"/>
        <w:rFonts w:ascii="Times New Roman" w:hAnsi="Times New Roman" w:cs="Times New Roman"/>
        <w:noProof/>
        <w:sz w:val="24"/>
      </w:rPr>
      <w:t>3</w:t>
    </w:r>
    <w:r w:rsidRPr="003F3BDD">
      <w:rPr>
        <w:rStyle w:val="a7"/>
        <w:rFonts w:ascii="Times New Roman" w:hAnsi="Times New Roman" w:cs="Times New Roman"/>
        <w:sz w:val="24"/>
      </w:rPr>
      <w:fldChar w:fldCharType="end"/>
    </w:r>
  </w:p>
  <w:p w:rsidR="003F3BDD" w:rsidRPr="003F3BDD" w:rsidRDefault="003F3BD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DD" w:rsidRDefault="003F3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DD"/>
    <w:rsid w:val="000472C3"/>
    <w:rsid w:val="003F3BDD"/>
    <w:rsid w:val="004F2172"/>
    <w:rsid w:val="005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88B3-5CC2-454F-986C-AEB3847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F3B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F3B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F3B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F3B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F3B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F3B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3B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3B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3B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3B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3BD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3B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3BD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F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BDD"/>
  </w:style>
  <w:style w:type="paragraph" w:styleId="a5">
    <w:name w:val="footer"/>
    <w:basedOn w:val="a"/>
    <w:link w:val="a6"/>
    <w:uiPriority w:val="99"/>
    <w:unhideWhenUsed/>
    <w:rsid w:val="003F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BDD"/>
  </w:style>
  <w:style w:type="character" w:styleId="a7">
    <w:name w:val="page number"/>
    <w:basedOn w:val="a0"/>
    <w:uiPriority w:val="99"/>
    <w:semiHidden/>
    <w:unhideWhenUsed/>
    <w:rsid w:val="003F3BDD"/>
  </w:style>
  <w:style w:type="table" w:styleId="a8">
    <w:name w:val="Table Grid"/>
    <w:basedOn w:val="a1"/>
    <w:uiPriority w:val="39"/>
    <w:rsid w:val="003F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6973</Characters>
  <Application>Microsoft Office Word</Application>
  <DocSecurity>0</DocSecurity>
  <Lines>124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2019-10-18T13:29:00Z</dcterms:created>
  <dcterms:modified xsi:type="dcterms:W3CDTF">2019-10-18T13:30:00Z</dcterms:modified>
</cp:coreProperties>
</file>